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摩根智慧互联股票型证券投资基金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报告送出日期：二〇二三年七月十八日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摩根智慧互联股票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001313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6</w:t>
            </w:r>
            <w:r w:rsidRPr="00B27A29">
              <w:rPr>
                <w:rFonts w:eastAsiaTheme="minorEastAsia"/>
                <w:color w:val="000000" w:themeColor="text1"/>
                <w:kern w:val="0"/>
                <w:szCs w:val="21"/>
              </w:rPr>
              <w:t>月</w:t>
            </w:r>
            <w:r w:rsidRPr="00B27A29">
              <w:rPr>
                <w:rFonts w:eastAsiaTheme="minorEastAsia"/>
                <w:color w:val="000000" w:themeColor="text1"/>
                <w:kern w:val="0"/>
                <w:szCs w:val="21"/>
              </w:rPr>
              <w:t>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532,859,626.73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采用定量及定性研究方法，自下而上优选互联网主题上市公司，通过严格的风险控制，力争实现基金资产的长期增值。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本基金将专注于互联网主题投资，对其相关行业的发展进行密切跟踪，充分把握互联网概念企业的投资机会。</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在资产配置层面，本基金将根据各类证券的风险收益特征的相对变化，适度的调整确定基金资产在股票、债券及现金等类别资产间的分配比例，动态优化投资组合。</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在个股选择层面，本基金主要采取</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的选股策略，</w:t>
            </w:r>
            <w:r>
              <w:rPr>
                <w:rFonts w:eastAsiaTheme="minorEastAsia"/>
                <w:color w:val="000000" w:themeColor="text1"/>
                <w:kern w:val="0"/>
                <w:szCs w:val="21"/>
              </w:rPr>
              <w:lastRenderedPageBreak/>
              <w:t>基于对互联网主题相关的上市公司盈利水平、成长性和估值水平的综合考量，使用定性与定量相结合的方法精选股票进行投资。</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当前互联网概念不仅仅包含传统意义上的计算机、通讯等行业，而是体现在社会发展的方方面面，互联网的运用在创造新型商业模式、传统产业升级等方面发挥越来越重要的作用，融合了互联网平台与技术的传统企业将会以领先者的角色占领市场。同时，互联网作为知识密集型、低能耗、高附加值的代表，符合未来大力发展低碳经济的政策趋势，将成为推动经济发展的重要力量之一。</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专注于互联网主题投资，对其相关行业的发展进行密切跟踪，充分把握互联网概念企业的投资机会，发掘与互联主题相关的上市公司中商业模式独特、竞争优势明显，具有长期持续增长模式、估值水平相对合理的优质上市公司，分享企业成长及变革带来的资本增值。</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w:t>
            </w:r>
            <w:r>
              <w:rPr>
                <w:rFonts w:eastAsiaTheme="minorEastAsia"/>
                <w:color w:val="000000" w:themeColor="text1"/>
                <w:kern w:val="0"/>
                <w:szCs w:val="21"/>
              </w:rPr>
              <w:lastRenderedPageBreak/>
              <w:t>要通过类属配置与债券选择两个层次进行投资管理。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、其他投资策略：包括可转换债券投资策略、中小企业私募债投资策略、股指期货投资策略、资产支持证券投资策略、股票期权投资策略、存托凭证投资策略等。</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554B6" w:rsidRDefault="00785D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001313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016919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529,652,137.01</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3,207,489.72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-10,059,682.12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-526,873.68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2,365,836.19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357,258.14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0.0044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0.0542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498,886,450.91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3,010,264.46</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0.9419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0.9385</w:t>
            </w:r>
          </w:p>
        </w:tc>
      </w:tr>
    </w:tbl>
    <w:p w:rsidR="00D554B6" w:rsidRDefault="00785D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摩根智慧互联股票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554B6">
        <w:tc>
          <w:tcPr>
            <w:tcW w:w="1290" w:type="dxa"/>
            <w:vAlign w:val="center"/>
          </w:tcPr>
          <w:p w:rsidR="00D554B6" w:rsidRDefault="00785D46">
            <w:pPr>
              <w:jc w:val="left"/>
            </w:pPr>
            <w:r>
              <w:rPr>
                <w:rFonts w:eastAsiaTheme="minorEastAsia"/>
                <w:color w:val="000000" w:themeColor="text1"/>
                <w:szCs w:val="21"/>
              </w:rPr>
              <w:t>过去三个月</w:t>
            </w:r>
          </w:p>
        </w:tc>
        <w:tc>
          <w:tcPr>
            <w:tcW w:w="1291" w:type="dxa"/>
            <w:vAlign w:val="center"/>
          </w:tcPr>
          <w:p w:rsidR="00D554B6" w:rsidRDefault="00785D46">
            <w:pPr>
              <w:jc w:val="right"/>
            </w:pPr>
            <w:r>
              <w:rPr>
                <w:rFonts w:eastAsiaTheme="minorEastAsia"/>
                <w:color w:val="000000" w:themeColor="text1"/>
                <w:szCs w:val="21"/>
              </w:rPr>
              <w:t>0.59%</w:t>
            </w:r>
          </w:p>
        </w:tc>
        <w:tc>
          <w:tcPr>
            <w:tcW w:w="1291" w:type="dxa"/>
            <w:vAlign w:val="center"/>
          </w:tcPr>
          <w:p w:rsidR="00D554B6" w:rsidRDefault="00785D46">
            <w:pPr>
              <w:jc w:val="right"/>
            </w:pPr>
            <w:r>
              <w:rPr>
                <w:rFonts w:eastAsiaTheme="minorEastAsia"/>
                <w:color w:val="000000" w:themeColor="text1"/>
                <w:szCs w:val="21"/>
              </w:rPr>
              <w:t>2.47%</w:t>
            </w:r>
          </w:p>
        </w:tc>
        <w:tc>
          <w:tcPr>
            <w:tcW w:w="1291" w:type="dxa"/>
            <w:vAlign w:val="center"/>
          </w:tcPr>
          <w:p w:rsidR="00D554B6" w:rsidRDefault="00785D46">
            <w:pPr>
              <w:jc w:val="right"/>
            </w:pPr>
            <w:r>
              <w:rPr>
                <w:rFonts w:eastAsiaTheme="minorEastAsia"/>
                <w:color w:val="000000" w:themeColor="text1"/>
                <w:szCs w:val="21"/>
              </w:rPr>
              <w:t>-4.27%</w:t>
            </w:r>
          </w:p>
        </w:tc>
        <w:tc>
          <w:tcPr>
            <w:tcW w:w="1291" w:type="dxa"/>
            <w:vAlign w:val="center"/>
          </w:tcPr>
          <w:p w:rsidR="00D554B6" w:rsidRDefault="00785D46">
            <w:pPr>
              <w:jc w:val="right"/>
            </w:pPr>
            <w:r>
              <w:rPr>
                <w:rFonts w:eastAsiaTheme="minorEastAsia"/>
                <w:color w:val="000000" w:themeColor="text1"/>
                <w:szCs w:val="21"/>
              </w:rPr>
              <w:t>0.68%</w:t>
            </w:r>
          </w:p>
        </w:tc>
        <w:tc>
          <w:tcPr>
            <w:tcW w:w="1291" w:type="dxa"/>
            <w:vAlign w:val="center"/>
          </w:tcPr>
          <w:p w:rsidR="00D554B6" w:rsidRDefault="00785D46">
            <w:pPr>
              <w:jc w:val="right"/>
            </w:pPr>
            <w:r>
              <w:rPr>
                <w:rFonts w:eastAsiaTheme="minorEastAsia"/>
                <w:color w:val="000000" w:themeColor="text1"/>
                <w:szCs w:val="21"/>
              </w:rPr>
              <w:t>4.86%</w:t>
            </w:r>
          </w:p>
        </w:tc>
        <w:tc>
          <w:tcPr>
            <w:tcW w:w="1291" w:type="dxa"/>
            <w:vAlign w:val="center"/>
          </w:tcPr>
          <w:p w:rsidR="00D554B6" w:rsidRDefault="00785D46">
            <w:pPr>
              <w:jc w:val="right"/>
            </w:pPr>
            <w:r>
              <w:rPr>
                <w:rFonts w:eastAsiaTheme="minorEastAsia"/>
                <w:color w:val="000000" w:themeColor="text1"/>
                <w:szCs w:val="21"/>
              </w:rPr>
              <w:t>1.79%</w:t>
            </w:r>
          </w:p>
        </w:tc>
      </w:tr>
      <w:tr w:rsidR="00D554B6">
        <w:tc>
          <w:tcPr>
            <w:tcW w:w="1290" w:type="dxa"/>
            <w:vAlign w:val="center"/>
          </w:tcPr>
          <w:p w:rsidR="00D554B6" w:rsidRDefault="00785D46">
            <w:pPr>
              <w:jc w:val="left"/>
            </w:pPr>
            <w:r>
              <w:rPr>
                <w:rFonts w:eastAsiaTheme="minorEastAsia"/>
                <w:color w:val="000000" w:themeColor="text1"/>
                <w:szCs w:val="21"/>
              </w:rPr>
              <w:t>过去六个月</w:t>
            </w:r>
          </w:p>
        </w:tc>
        <w:tc>
          <w:tcPr>
            <w:tcW w:w="1291" w:type="dxa"/>
            <w:vAlign w:val="center"/>
          </w:tcPr>
          <w:p w:rsidR="00D554B6" w:rsidRDefault="00785D46">
            <w:pPr>
              <w:jc w:val="right"/>
            </w:pPr>
            <w:r>
              <w:rPr>
                <w:rFonts w:eastAsiaTheme="minorEastAsia"/>
                <w:color w:val="000000" w:themeColor="text1"/>
                <w:szCs w:val="21"/>
              </w:rPr>
              <w:t>11.77%</w:t>
            </w:r>
          </w:p>
        </w:tc>
        <w:tc>
          <w:tcPr>
            <w:tcW w:w="1291" w:type="dxa"/>
            <w:vAlign w:val="center"/>
          </w:tcPr>
          <w:p w:rsidR="00D554B6" w:rsidRDefault="00785D46">
            <w:pPr>
              <w:jc w:val="right"/>
            </w:pPr>
            <w:r>
              <w:rPr>
                <w:rFonts w:eastAsiaTheme="minorEastAsia"/>
                <w:color w:val="000000" w:themeColor="text1"/>
                <w:szCs w:val="21"/>
              </w:rPr>
              <w:t>2.00%</w:t>
            </w:r>
          </w:p>
        </w:tc>
        <w:tc>
          <w:tcPr>
            <w:tcW w:w="1291" w:type="dxa"/>
            <w:vAlign w:val="center"/>
          </w:tcPr>
          <w:p w:rsidR="00D554B6" w:rsidRDefault="00785D46">
            <w:pPr>
              <w:jc w:val="right"/>
            </w:pPr>
            <w:r>
              <w:rPr>
                <w:rFonts w:eastAsiaTheme="minorEastAsia"/>
                <w:color w:val="000000" w:themeColor="text1"/>
                <w:szCs w:val="21"/>
              </w:rPr>
              <w:t>0.15%</w:t>
            </w:r>
          </w:p>
        </w:tc>
        <w:tc>
          <w:tcPr>
            <w:tcW w:w="1291" w:type="dxa"/>
            <w:vAlign w:val="center"/>
          </w:tcPr>
          <w:p w:rsidR="00D554B6" w:rsidRDefault="00785D46">
            <w:pPr>
              <w:jc w:val="right"/>
            </w:pPr>
            <w:r>
              <w:rPr>
                <w:rFonts w:eastAsiaTheme="minorEastAsia"/>
                <w:color w:val="000000" w:themeColor="text1"/>
                <w:szCs w:val="21"/>
              </w:rPr>
              <w:t>0.68%</w:t>
            </w:r>
          </w:p>
        </w:tc>
        <w:tc>
          <w:tcPr>
            <w:tcW w:w="1291" w:type="dxa"/>
            <w:vAlign w:val="center"/>
          </w:tcPr>
          <w:p w:rsidR="00D554B6" w:rsidRDefault="00785D46">
            <w:pPr>
              <w:jc w:val="right"/>
            </w:pPr>
            <w:r>
              <w:rPr>
                <w:rFonts w:eastAsiaTheme="minorEastAsia"/>
                <w:color w:val="000000" w:themeColor="text1"/>
                <w:szCs w:val="21"/>
              </w:rPr>
              <w:t>11.62%</w:t>
            </w:r>
          </w:p>
        </w:tc>
        <w:tc>
          <w:tcPr>
            <w:tcW w:w="1291" w:type="dxa"/>
            <w:vAlign w:val="center"/>
          </w:tcPr>
          <w:p w:rsidR="00D554B6" w:rsidRDefault="00785D46">
            <w:pPr>
              <w:jc w:val="right"/>
            </w:pPr>
            <w:r>
              <w:rPr>
                <w:rFonts w:eastAsiaTheme="minorEastAsia"/>
                <w:color w:val="000000" w:themeColor="text1"/>
                <w:szCs w:val="21"/>
              </w:rPr>
              <w:t>1.32%</w:t>
            </w:r>
          </w:p>
        </w:tc>
      </w:tr>
      <w:tr w:rsidR="00D554B6">
        <w:tc>
          <w:tcPr>
            <w:tcW w:w="1290" w:type="dxa"/>
            <w:vAlign w:val="center"/>
          </w:tcPr>
          <w:p w:rsidR="00D554B6" w:rsidRDefault="00785D46">
            <w:pPr>
              <w:jc w:val="left"/>
            </w:pPr>
            <w:r>
              <w:rPr>
                <w:rFonts w:eastAsiaTheme="minorEastAsia"/>
                <w:color w:val="000000" w:themeColor="text1"/>
                <w:szCs w:val="21"/>
              </w:rPr>
              <w:t>过去一年</w:t>
            </w:r>
          </w:p>
        </w:tc>
        <w:tc>
          <w:tcPr>
            <w:tcW w:w="1291" w:type="dxa"/>
            <w:vAlign w:val="center"/>
          </w:tcPr>
          <w:p w:rsidR="00D554B6" w:rsidRDefault="00785D46">
            <w:pPr>
              <w:jc w:val="right"/>
            </w:pPr>
            <w:r>
              <w:rPr>
                <w:rFonts w:eastAsiaTheme="minorEastAsia"/>
                <w:color w:val="000000" w:themeColor="text1"/>
                <w:szCs w:val="21"/>
              </w:rPr>
              <w:t>-18.82%</w:t>
            </w:r>
          </w:p>
        </w:tc>
        <w:tc>
          <w:tcPr>
            <w:tcW w:w="1291" w:type="dxa"/>
            <w:vAlign w:val="center"/>
          </w:tcPr>
          <w:p w:rsidR="00D554B6" w:rsidRDefault="00785D46">
            <w:pPr>
              <w:jc w:val="right"/>
            </w:pPr>
            <w:r>
              <w:rPr>
                <w:rFonts w:eastAsiaTheme="minorEastAsia"/>
                <w:color w:val="000000" w:themeColor="text1"/>
                <w:szCs w:val="21"/>
              </w:rPr>
              <w:t>1.94%</w:t>
            </w:r>
          </w:p>
        </w:tc>
        <w:tc>
          <w:tcPr>
            <w:tcW w:w="1291" w:type="dxa"/>
            <w:vAlign w:val="center"/>
          </w:tcPr>
          <w:p w:rsidR="00D554B6" w:rsidRDefault="00785D46">
            <w:pPr>
              <w:jc w:val="right"/>
            </w:pPr>
            <w:r>
              <w:rPr>
                <w:rFonts w:eastAsiaTheme="minorEastAsia"/>
                <w:color w:val="000000" w:themeColor="text1"/>
                <w:szCs w:val="21"/>
              </w:rPr>
              <w:t>-10.50%</w:t>
            </w:r>
          </w:p>
        </w:tc>
        <w:tc>
          <w:tcPr>
            <w:tcW w:w="1291" w:type="dxa"/>
            <w:vAlign w:val="center"/>
          </w:tcPr>
          <w:p w:rsidR="00D554B6" w:rsidRDefault="00785D46">
            <w:pPr>
              <w:jc w:val="right"/>
            </w:pPr>
            <w:r>
              <w:rPr>
                <w:rFonts w:eastAsiaTheme="minorEastAsia"/>
                <w:color w:val="000000" w:themeColor="text1"/>
                <w:szCs w:val="21"/>
              </w:rPr>
              <w:t>0.80%</w:t>
            </w:r>
          </w:p>
        </w:tc>
        <w:tc>
          <w:tcPr>
            <w:tcW w:w="1291" w:type="dxa"/>
            <w:vAlign w:val="center"/>
          </w:tcPr>
          <w:p w:rsidR="00D554B6" w:rsidRDefault="00785D46">
            <w:pPr>
              <w:jc w:val="right"/>
            </w:pPr>
            <w:r>
              <w:rPr>
                <w:rFonts w:eastAsiaTheme="minorEastAsia"/>
                <w:color w:val="000000" w:themeColor="text1"/>
                <w:szCs w:val="21"/>
              </w:rPr>
              <w:t>-8.32%</w:t>
            </w:r>
          </w:p>
        </w:tc>
        <w:tc>
          <w:tcPr>
            <w:tcW w:w="1291" w:type="dxa"/>
            <w:vAlign w:val="center"/>
          </w:tcPr>
          <w:p w:rsidR="00D554B6" w:rsidRDefault="00785D46">
            <w:pPr>
              <w:jc w:val="right"/>
            </w:pPr>
            <w:r>
              <w:rPr>
                <w:rFonts w:eastAsiaTheme="minorEastAsia"/>
                <w:color w:val="000000" w:themeColor="text1"/>
                <w:szCs w:val="21"/>
              </w:rPr>
              <w:t>1.14%</w:t>
            </w:r>
          </w:p>
        </w:tc>
      </w:tr>
      <w:tr w:rsidR="00D554B6">
        <w:tc>
          <w:tcPr>
            <w:tcW w:w="1290" w:type="dxa"/>
            <w:vAlign w:val="center"/>
          </w:tcPr>
          <w:p w:rsidR="00D554B6" w:rsidRDefault="00785D46">
            <w:pPr>
              <w:jc w:val="left"/>
            </w:pPr>
            <w:r>
              <w:rPr>
                <w:rFonts w:eastAsiaTheme="minorEastAsia"/>
                <w:color w:val="000000" w:themeColor="text1"/>
                <w:szCs w:val="21"/>
              </w:rPr>
              <w:t>过去三年</w:t>
            </w:r>
          </w:p>
        </w:tc>
        <w:tc>
          <w:tcPr>
            <w:tcW w:w="1291" w:type="dxa"/>
            <w:vAlign w:val="center"/>
          </w:tcPr>
          <w:p w:rsidR="00D554B6" w:rsidRDefault="00785D46">
            <w:pPr>
              <w:jc w:val="right"/>
            </w:pPr>
            <w:r>
              <w:rPr>
                <w:rFonts w:eastAsiaTheme="minorEastAsia"/>
                <w:color w:val="000000" w:themeColor="text1"/>
                <w:szCs w:val="21"/>
              </w:rPr>
              <w:t>-16.20%</w:t>
            </w:r>
          </w:p>
        </w:tc>
        <w:tc>
          <w:tcPr>
            <w:tcW w:w="1291" w:type="dxa"/>
            <w:vAlign w:val="center"/>
          </w:tcPr>
          <w:p w:rsidR="00D554B6" w:rsidRDefault="00785D46">
            <w:pPr>
              <w:jc w:val="right"/>
            </w:pPr>
            <w:r>
              <w:rPr>
                <w:rFonts w:eastAsiaTheme="minorEastAsia"/>
                <w:color w:val="000000" w:themeColor="text1"/>
                <w:szCs w:val="21"/>
              </w:rPr>
              <w:t>1.93%</w:t>
            </w:r>
          </w:p>
        </w:tc>
        <w:tc>
          <w:tcPr>
            <w:tcW w:w="1291" w:type="dxa"/>
            <w:vAlign w:val="center"/>
          </w:tcPr>
          <w:p w:rsidR="00D554B6" w:rsidRDefault="00785D46">
            <w:pPr>
              <w:jc w:val="right"/>
            </w:pPr>
            <w:r>
              <w:rPr>
                <w:rFonts w:eastAsiaTheme="minorEastAsia"/>
                <w:color w:val="000000" w:themeColor="text1"/>
                <w:szCs w:val="21"/>
              </w:rPr>
              <w:t>-4.31%</w:t>
            </w:r>
          </w:p>
        </w:tc>
        <w:tc>
          <w:tcPr>
            <w:tcW w:w="1291" w:type="dxa"/>
            <w:vAlign w:val="center"/>
          </w:tcPr>
          <w:p w:rsidR="00D554B6" w:rsidRDefault="00785D46">
            <w:pPr>
              <w:jc w:val="right"/>
            </w:pPr>
            <w:r>
              <w:rPr>
                <w:rFonts w:eastAsiaTheme="minorEastAsia"/>
                <w:color w:val="000000" w:themeColor="text1"/>
                <w:szCs w:val="21"/>
              </w:rPr>
              <w:t>0.98%</w:t>
            </w:r>
          </w:p>
        </w:tc>
        <w:tc>
          <w:tcPr>
            <w:tcW w:w="1291" w:type="dxa"/>
            <w:vAlign w:val="center"/>
          </w:tcPr>
          <w:p w:rsidR="00D554B6" w:rsidRDefault="00785D46">
            <w:pPr>
              <w:jc w:val="right"/>
            </w:pPr>
            <w:r>
              <w:rPr>
                <w:rFonts w:eastAsiaTheme="minorEastAsia"/>
                <w:color w:val="000000" w:themeColor="text1"/>
                <w:szCs w:val="21"/>
              </w:rPr>
              <w:t>-11.89%</w:t>
            </w:r>
          </w:p>
        </w:tc>
        <w:tc>
          <w:tcPr>
            <w:tcW w:w="1291" w:type="dxa"/>
            <w:vAlign w:val="center"/>
          </w:tcPr>
          <w:p w:rsidR="00D554B6" w:rsidRDefault="00785D46">
            <w:pPr>
              <w:jc w:val="right"/>
            </w:pPr>
            <w:r>
              <w:rPr>
                <w:rFonts w:eastAsiaTheme="minorEastAsia"/>
                <w:color w:val="000000" w:themeColor="text1"/>
                <w:szCs w:val="21"/>
              </w:rPr>
              <w:t>0.95%</w:t>
            </w:r>
          </w:p>
        </w:tc>
      </w:tr>
      <w:tr w:rsidR="00D554B6">
        <w:tc>
          <w:tcPr>
            <w:tcW w:w="1290" w:type="dxa"/>
            <w:vAlign w:val="center"/>
          </w:tcPr>
          <w:p w:rsidR="00D554B6" w:rsidRDefault="00785D46">
            <w:pPr>
              <w:jc w:val="left"/>
            </w:pPr>
            <w:r>
              <w:rPr>
                <w:rFonts w:eastAsiaTheme="minorEastAsia"/>
                <w:color w:val="000000" w:themeColor="text1"/>
                <w:szCs w:val="21"/>
              </w:rPr>
              <w:t>过去五年</w:t>
            </w:r>
          </w:p>
        </w:tc>
        <w:tc>
          <w:tcPr>
            <w:tcW w:w="1291" w:type="dxa"/>
            <w:vAlign w:val="center"/>
          </w:tcPr>
          <w:p w:rsidR="00D554B6" w:rsidRDefault="00785D46">
            <w:pPr>
              <w:jc w:val="right"/>
            </w:pPr>
            <w:r>
              <w:rPr>
                <w:rFonts w:eastAsiaTheme="minorEastAsia"/>
                <w:color w:val="000000" w:themeColor="text1"/>
                <w:szCs w:val="21"/>
              </w:rPr>
              <w:t>38.51%</w:t>
            </w:r>
          </w:p>
        </w:tc>
        <w:tc>
          <w:tcPr>
            <w:tcW w:w="1291" w:type="dxa"/>
            <w:vAlign w:val="center"/>
          </w:tcPr>
          <w:p w:rsidR="00D554B6" w:rsidRDefault="00785D46">
            <w:pPr>
              <w:jc w:val="right"/>
            </w:pPr>
            <w:r>
              <w:rPr>
                <w:rFonts w:eastAsiaTheme="minorEastAsia"/>
                <w:color w:val="000000" w:themeColor="text1"/>
                <w:szCs w:val="21"/>
              </w:rPr>
              <w:t>1.90%</w:t>
            </w:r>
          </w:p>
        </w:tc>
        <w:tc>
          <w:tcPr>
            <w:tcW w:w="1291" w:type="dxa"/>
            <w:vAlign w:val="center"/>
          </w:tcPr>
          <w:p w:rsidR="00D554B6" w:rsidRDefault="00785D46">
            <w:pPr>
              <w:jc w:val="right"/>
            </w:pPr>
            <w:r>
              <w:rPr>
                <w:rFonts w:eastAsiaTheme="minorEastAsia"/>
                <w:color w:val="000000" w:themeColor="text1"/>
                <w:szCs w:val="21"/>
              </w:rPr>
              <w:t>10.25%</w:t>
            </w:r>
          </w:p>
        </w:tc>
        <w:tc>
          <w:tcPr>
            <w:tcW w:w="1291" w:type="dxa"/>
            <w:vAlign w:val="center"/>
          </w:tcPr>
          <w:p w:rsidR="00D554B6" w:rsidRDefault="00785D46">
            <w:pPr>
              <w:jc w:val="right"/>
            </w:pPr>
            <w:r>
              <w:rPr>
                <w:rFonts w:eastAsiaTheme="minorEastAsia"/>
                <w:color w:val="000000" w:themeColor="text1"/>
                <w:szCs w:val="21"/>
              </w:rPr>
              <w:t>1.07%</w:t>
            </w:r>
          </w:p>
        </w:tc>
        <w:tc>
          <w:tcPr>
            <w:tcW w:w="1291" w:type="dxa"/>
            <w:vAlign w:val="center"/>
          </w:tcPr>
          <w:p w:rsidR="00D554B6" w:rsidRDefault="00785D46">
            <w:pPr>
              <w:jc w:val="right"/>
            </w:pPr>
            <w:r>
              <w:rPr>
                <w:rFonts w:eastAsiaTheme="minorEastAsia"/>
                <w:color w:val="000000" w:themeColor="text1"/>
                <w:szCs w:val="21"/>
              </w:rPr>
              <w:t>28.26%</w:t>
            </w:r>
          </w:p>
        </w:tc>
        <w:tc>
          <w:tcPr>
            <w:tcW w:w="1291" w:type="dxa"/>
            <w:vAlign w:val="center"/>
          </w:tcPr>
          <w:p w:rsidR="00D554B6" w:rsidRDefault="00785D46">
            <w:pPr>
              <w:jc w:val="right"/>
            </w:pPr>
            <w:r>
              <w:rPr>
                <w:rFonts w:eastAsiaTheme="minorEastAsia"/>
                <w:color w:val="000000" w:themeColor="text1"/>
                <w:szCs w:val="21"/>
              </w:rPr>
              <w:t>0.83%</w:t>
            </w:r>
          </w:p>
        </w:tc>
      </w:tr>
      <w:tr w:rsidR="00D554B6">
        <w:tc>
          <w:tcPr>
            <w:tcW w:w="1290" w:type="dxa"/>
            <w:vAlign w:val="center"/>
          </w:tcPr>
          <w:p w:rsidR="00D554B6" w:rsidRDefault="00785D46">
            <w:pPr>
              <w:jc w:val="left"/>
            </w:pPr>
            <w:r>
              <w:rPr>
                <w:rFonts w:eastAsiaTheme="minorEastAsia"/>
                <w:color w:val="000000" w:themeColor="text1"/>
                <w:szCs w:val="21"/>
              </w:rPr>
              <w:t>自基金合同生效起至今</w:t>
            </w:r>
          </w:p>
        </w:tc>
        <w:tc>
          <w:tcPr>
            <w:tcW w:w="1291" w:type="dxa"/>
            <w:vAlign w:val="center"/>
          </w:tcPr>
          <w:p w:rsidR="00D554B6" w:rsidRDefault="00785D46">
            <w:pPr>
              <w:jc w:val="right"/>
            </w:pPr>
            <w:r>
              <w:rPr>
                <w:rFonts w:eastAsiaTheme="minorEastAsia"/>
                <w:color w:val="000000" w:themeColor="text1"/>
                <w:szCs w:val="21"/>
              </w:rPr>
              <w:t>-5.81%</w:t>
            </w:r>
          </w:p>
        </w:tc>
        <w:tc>
          <w:tcPr>
            <w:tcW w:w="1291" w:type="dxa"/>
            <w:vAlign w:val="center"/>
          </w:tcPr>
          <w:p w:rsidR="00D554B6" w:rsidRDefault="00785D46">
            <w:pPr>
              <w:jc w:val="right"/>
            </w:pPr>
            <w:r>
              <w:rPr>
                <w:rFonts w:eastAsiaTheme="minorEastAsia"/>
                <w:color w:val="000000" w:themeColor="text1"/>
                <w:szCs w:val="21"/>
              </w:rPr>
              <w:t>1.91%</w:t>
            </w:r>
          </w:p>
        </w:tc>
        <w:tc>
          <w:tcPr>
            <w:tcW w:w="1291" w:type="dxa"/>
            <w:vAlign w:val="center"/>
          </w:tcPr>
          <w:p w:rsidR="00D554B6" w:rsidRDefault="00785D46">
            <w:pPr>
              <w:jc w:val="right"/>
            </w:pPr>
            <w:r>
              <w:rPr>
                <w:rFonts w:eastAsiaTheme="minorEastAsia"/>
                <w:color w:val="000000" w:themeColor="text1"/>
                <w:szCs w:val="21"/>
              </w:rPr>
              <w:t>-27.53%</w:t>
            </w:r>
          </w:p>
        </w:tc>
        <w:tc>
          <w:tcPr>
            <w:tcW w:w="1291" w:type="dxa"/>
            <w:vAlign w:val="center"/>
          </w:tcPr>
          <w:p w:rsidR="00D554B6" w:rsidRDefault="00785D46">
            <w:pPr>
              <w:jc w:val="right"/>
            </w:pPr>
            <w:r>
              <w:rPr>
                <w:rFonts w:eastAsiaTheme="minorEastAsia"/>
                <w:color w:val="000000" w:themeColor="text1"/>
                <w:szCs w:val="21"/>
              </w:rPr>
              <w:t>1.20%</w:t>
            </w:r>
          </w:p>
        </w:tc>
        <w:tc>
          <w:tcPr>
            <w:tcW w:w="1291" w:type="dxa"/>
            <w:vAlign w:val="center"/>
          </w:tcPr>
          <w:p w:rsidR="00D554B6" w:rsidRDefault="00785D46">
            <w:pPr>
              <w:jc w:val="right"/>
            </w:pPr>
            <w:r>
              <w:rPr>
                <w:rFonts w:eastAsiaTheme="minorEastAsia"/>
                <w:color w:val="000000" w:themeColor="text1"/>
                <w:szCs w:val="21"/>
              </w:rPr>
              <w:t>21.72%</w:t>
            </w:r>
          </w:p>
        </w:tc>
        <w:tc>
          <w:tcPr>
            <w:tcW w:w="1291" w:type="dxa"/>
            <w:vAlign w:val="center"/>
          </w:tcPr>
          <w:p w:rsidR="00D554B6" w:rsidRDefault="00785D46">
            <w:pPr>
              <w:jc w:val="right"/>
            </w:pPr>
            <w:r>
              <w:rPr>
                <w:rFonts w:eastAsiaTheme="minorEastAsia"/>
                <w:color w:val="000000" w:themeColor="text1"/>
                <w:szCs w:val="21"/>
              </w:rPr>
              <w:t>0.71%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摩根智慧互联股票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554B6">
        <w:tc>
          <w:tcPr>
            <w:tcW w:w="1290" w:type="dxa"/>
            <w:vAlign w:val="center"/>
          </w:tcPr>
          <w:p w:rsidR="00D554B6" w:rsidRDefault="00785D46">
            <w:pPr>
              <w:jc w:val="left"/>
            </w:pPr>
            <w:r>
              <w:rPr>
                <w:rFonts w:eastAsiaTheme="minorEastAsia"/>
                <w:color w:val="000000" w:themeColor="text1"/>
                <w:szCs w:val="21"/>
              </w:rPr>
              <w:t>过去三个月</w:t>
            </w:r>
          </w:p>
        </w:tc>
        <w:tc>
          <w:tcPr>
            <w:tcW w:w="1291" w:type="dxa"/>
            <w:vAlign w:val="center"/>
          </w:tcPr>
          <w:p w:rsidR="00D554B6" w:rsidRDefault="00785D46">
            <w:pPr>
              <w:jc w:val="right"/>
            </w:pPr>
            <w:r>
              <w:rPr>
                <w:rFonts w:eastAsiaTheme="minorEastAsia"/>
                <w:color w:val="000000" w:themeColor="text1"/>
                <w:szCs w:val="21"/>
              </w:rPr>
              <w:t>0.43%</w:t>
            </w:r>
          </w:p>
        </w:tc>
        <w:tc>
          <w:tcPr>
            <w:tcW w:w="1291" w:type="dxa"/>
            <w:vAlign w:val="center"/>
          </w:tcPr>
          <w:p w:rsidR="00D554B6" w:rsidRDefault="00785D46">
            <w:pPr>
              <w:jc w:val="right"/>
            </w:pPr>
            <w:r>
              <w:rPr>
                <w:rFonts w:eastAsiaTheme="minorEastAsia"/>
                <w:color w:val="000000" w:themeColor="text1"/>
                <w:szCs w:val="21"/>
              </w:rPr>
              <w:t>2.47%</w:t>
            </w:r>
          </w:p>
        </w:tc>
        <w:tc>
          <w:tcPr>
            <w:tcW w:w="1291" w:type="dxa"/>
            <w:vAlign w:val="center"/>
          </w:tcPr>
          <w:p w:rsidR="00D554B6" w:rsidRDefault="00785D46">
            <w:pPr>
              <w:jc w:val="right"/>
            </w:pPr>
            <w:r>
              <w:rPr>
                <w:rFonts w:eastAsiaTheme="minorEastAsia"/>
                <w:color w:val="000000" w:themeColor="text1"/>
                <w:szCs w:val="21"/>
              </w:rPr>
              <w:t>-4.27%</w:t>
            </w:r>
          </w:p>
        </w:tc>
        <w:tc>
          <w:tcPr>
            <w:tcW w:w="1291" w:type="dxa"/>
            <w:vAlign w:val="center"/>
          </w:tcPr>
          <w:p w:rsidR="00D554B6" w:rsidRDefault="00785D46">
            <w:pPr>
              <w:jc w:val="right"/>
            </w:pPr>
            <w:r>
              <w:rPr>
                <w:rFonts w:eastAsiaTheme="minorEastAsia"/>
                <w:color w:val="000000" w:themeColor="text1"/>
                <w:szCs w:val="21"/>
              </w:rPr>
              <w:t>0.68%</w:t>
            </w:r>
          </w:p>
        </w:tc>
        <w:tc>
          <w:tcPr>
            <w:tcW w:w="1291" w:type="dxa"/>
            <w:vAlign w:val="center"/>
          </w:tcPr>
          <w:p w:rsidR="00D554B6" w:rsidRDefault="00785D46">
            <w:pPr>
              <w:jc w:val="right"/>
            </w:pPr>
            <w:r>
              <w:rPr>
                <w:rFonts w:eastAsiaTheme="minorEastAsia"/>
                <w:color w:val="000000" w:themeColor="text1"/>
                <w:szCs w:val="21"/>
              </w:rPr>
              <w:t>4.70%</w:t>
            </w:r>
          </w:p>
        </w:tc>
        <w:tc>
          <w:tcPr>
            <w:tcW w:w="1291" w:type="dxa"/>
            <w:vAlign w:val="center"/>
          </w:tcPr>
          <w:p w:rsidR="00D554B6" w:rsidRDefault="00785D46">
            <w:pPr>
              <w:jc w:val="right"/>
            </w:pPr>
            <w:r>
              <w:rPr>
                <w:rFonts w:eastAsiaTheme="minorEastAsia"/>
                <w:color w:val="000000" w:themeColor="text1"/>
                <w:szCs w:val="21"/>
              </w:rPr>
              <w:t>1.79%</w:t>
            </w:r>
          </w:p>
        </w:tc>
      </w:tr>
      <w:tr w:rsidR="00D554B6">
        <w:tc>
          <w:tcPr>
            <w:tcW w:w="1290" w:type="dxa"/>
            <w:vAlign w:val="center"/>
          </w:tcPr>
          <w:p w:rsidR="00D554B6" w:rsidRDefault="00785D46">
            <w:pPr>
              <w:jc w:val="left"/>
            </w:pPr>
            <w:r>
              <w:rPr>
                <w:rFonts w:eastAsiaTheme="minorEastAsia"/>
                <w:color w:val="000000" w:themeColor="text1"/>
                <w:szCs w:val="21"/>
              </w:rPr>
              <w:t>过去六个月</w:t>
            </w:r>
          </w:p>
        </w:tc>
        <w:tc>
          <w:tcPr>
            <w:tcW w:w="1291" w:type="dxa"/>
            <w:vAlign w:val="center"/>
          </w:tcPr>
          <w:p w:rsidR="00D554B6" w:rsidRDefault="00785D46">
            <w:pPr>
              <w:jc w:val="right"/>
            </w:pPr>
            <w:r>
              <w:rPr>
                <w:rFonts w:eastAsiaTheme="minorEastAsia"/>
                <w:color w:val="000000" w:themeColor="text1"/>
                <w:szCs w:val="21"/>
              </w:rPr>
              <w:t>11.45%</w:t>
            </w:r>
          </w:p>
        </w:tc>
        <w:tc>
          <w:tcPr>
            <w:tcW w:w="1291" w:type="dxa"/>
            <w:vAlign w:val="center"/>
          </w:tcPr>
          <w:p w:rsidR="00D554B6" w:rsidRDefault="00785D46">
            <w:pPr>
              <w:jc w:val="right"/>
            </w:pPr>
            <w:r>
              <w:rPr>
                <w:rFonts w:eastAsiaTheme="minorEastAsia"/>
                <w:color w:val="000000" w:themeColor="text1"/>
                <w:szCs w:val="21"/>
              </w:rPr>
              <w:t>2.00%</w:t>
            </w:r>
          </w:p>
        </w:tc>
        <w:tc>
          <w:tcPr>
            <w:tcW w:w="1291" w:type="dxa"/>
            <w:vAlign w:val="center"/>
          </w:tcPr>
          <w:p w:rsidR="00D554B6" w:rsidRDefault="00785D46">
            <w:pPr>
              <w:jc w:val="right"/>
            </w:pPr>
            <w:r>
              <w:rPr>
                <w:rFonts w:eastAsiaTheme="minorEastAsia"/>
                <w:color w:val="000000" w:themeColor="text1"/>
                <w:szCs w:val="21"/>
              </w:rPr>
              <w:t>0.15%</w:t>
            </w:r>
          </w:p>
        </w:tc>
        <w:tc>
          <w:tcPr>
            <w:tcW w:w="1291" w:type="dxa"/>
            <w:vAlign w:val="center"/>
          </w:tcPr>
          <w:p w:rsidR="00D554B6" w:rsidRDefault="00785D46">
            <w:pPr>
              <w:jc w:val="right"/>
            </w:pPr>
            <w:r>
              <w:rPr>
                <w:rFonts w:eastAsiaTheme="minorEastAsia"/>
                <w:color w:val="000000" w:themeColor="text1"/>
                <w:szCs w:val="21"/>
              </w:rPr>
              <w:t>0.68%</w:t>
            </w:r>
          </w:p>
        </w:tc>
        <w:tc>
          <w:tcPr>
            <w:tcW w:w="1291" w:type="dxa"/>
            <w:vAlign w:val="center"/>
          </w:tcPr>
          <w:p w:rsidR="00D554B6" w:rsidRDefault="00785D46">
            <w:pPr>
              <w:jc w:val="right"/>
            </w:pPr>
            <w:r>
              <w:rPr>
                <w:rFonts w:eastAsiaTheme="minorEastAsia"/>
                <w:color w:val="000000" w:themeColor="text1"/>
                <w:szCs w:val="21"/>
              </w:rPr>
              <w:t>11.30%</w:t>
            </w:r>
          </w:p>
        </w:tc>
        <w:tc>
          <w:tcPr>
            <w:tcW w:w="1291" w:type="dxa"/>
            <w:vAlign w:val="center"/>
          </w:tcPr>
          <w:p w:rsidR="00D554B6" w:rsidRDefault="00785D46">
            <w:pPr>
              <w:jc w:val="right"/>
            </w:pPr>
            <w:r>
              <w:rPr>
                <w:rFonts w:eastAsiaTheme="minorEastAsia"/>
                <w:color w:val="000000" w:themeColor="text1"/>
                <w:szCs w:val="21"/>
              </w:rPr>
              <w:t>1.32%</w:t>
            </w:r>
          </w:p>
        </w:tc>
      </w:tr>
      <w:tr w:rsidR="00D554B6">
        <w:tc>
          <w:tcPr>
            <w:tcW w:w="1290" w:type="dxa"/>
            <w:vAlign w:val="center"/>
          </w:tcPr>
          <w:p w:rsidR="00D554B6" w:rsidRDefault="00785D46">
            <w:pPr>
              <w:jc w:val="left"/>
            </w:pPr>
            <w:r>
              <w:rPr>
                <w:rFonts w:eastAsiaTheme="minorEastAsia"/>
                <w:color w:val="000000" w:themeColor="text1"/>
                <w:szCs w:val="21"/>
              </w:rPr>
              <w:t>过去一年</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r>
      <w:tr w:rsidR="00D554B6">
        <w:tc>
          <w:tcPr>
            <w:tcW w:w="1290" w:type="dxa"/>
            <w:vAlign w:val="center"/>
          </w:tcPr>
          <w:p w:rsidR="00D554B6" w:rsidRDefault="00785D46">
            <w:pPr>
              <w:jc w:val="left"/>
            </w:pPr>
            <w:r>
              <w:rPr>
                <w:rFonts w:eastAsiaTheme="minorEastAsia"/>
                <w:color w:val="000000" w:themeColor="text1"/>
                <w:szCs w:val="21"/>
              </w:rPr>
              <w:t>过去三年</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r>
      <w:tr w:rsidR="00D554B6">
        <w:tc>
          <w:tcPr>
            <w:tcW w:w="1290" w:type="dxa"/>
            <w:vAlign w:val="center"/>
          </w:tcPr>
          <w:p w:rsidR="00D554B6" w:rsidRDefault="00785D46">
            <w:pPr>
              <w:jc w:val="left"/>
            </w:pPr>
            <w:r>
              <w:rPr>
                <w:rFonts w:eastAsiaTheme="minorEastAsia"/>
                <w:color w:val="000000" w:themeColor="text1"/>
                <w:szCs w:val="21"/>
              </w:rPr>
              <w:t>过去五年</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c>
          <w:tcPr>
            <w:tcW w:w="1291" w:type="dxa"/>
            <w:vAlign w:val="center"/>
          </w:tcPr>
          <w:p w:rsidR="00D554B6" w:rsidRDefault="00785D46">
            <w:pPr>
              <w:jc w:val="right"/>
            </w:pPr>
            <w:r>
              <w:rPr>
                <w:rFonts w:eastAsiaTheme="minorEastAsia"/>
                <w:color w:val="000000" w:themeColor="text1"/>
                <w:szCs w:val="21"/>
              </w:rPr>
              <w:t>-</w:t>
            </w:r>
          </w:p>
        </w:tc>
      </w:tr>
      <w:tr w:rsidR="00D554B6">
        <w:tc>
          <w:tcPr>
            <w:tcW w:w="1290" w:type="dxa"/>
            <w:vAlign w:val="center"/>
          </w:tcPr>
          <w:p w:rsidR="00D554B6" w:rsidRDefault="00785D46">
            <w:pPr>
              <w:jc w:val="left"/>
            </w:pPr>
            <w:r>
              <w:rPr>
                <w:rFonts w:eastAsiaTheme="minorEastAsia"/>
                <w:color w:val="000000" w:themeColor="text1"/>
                <w:szCs w:val="21"/>
              </w:rPr>
              <w:t>自基金合同生效起至今</w:t>
            </w:r>
          </w:p>
        </w:tc>
        <w:tc>
          <w:tcPr>
            <w:tcW w:w="1291" w:type="dxa"/>
            <w:vAlign w:val="center"/>
          </w:tcPr>
          <w:p w:rsidR="00D554B6" w:rsidRDefault="00785D46">
            <w:pPr>
              <w:jc w:val="right"/>
            </w:pPr>
            <w:r>
              <w:rPr>
                <w:rFonts w:eastAsiaTheme="minorEastAsia"/>
                <w:color w:val="000000" w:themeColor="text1"/>
                <w:szCs w:val="21"/>
              </w:rPr>
              <w:t>7.70%</w:t>
            </w:r>
          </w:p>
        </w:tc>
        <w:tc>
          <w:tcPr>
            <w:tcW w:w="1291" w:type="dxa"/>
            <w:vAlign w:val="center"/>
          </w:tcPr>
          <w:p w:rsidR="00D554B6" w:rsidRDefault="00785D46">
            <w:pPr>
              <w:jc w:val="right"/>
            </w:pPr>
            <w:r>
              <w:rPr>
                <w:rFonts w:eastAsiaTheme="minorEastAsia"/>
                <w:color w:val="000000" w:themeColor="text1"/>
                <w:szCs w:val="21"/>
              </w:rPr>
              <w:t>1.92%</w:t>
            </w:r>
          </w:p>
        </w:tc>
        <w:tc>
          <w:tcPr>
            <w:tcW w:w="1291" w:type="dxa"/>
            <w:vAlign w:val="center"/>
          </w:tcPr>
          <w:p w:rsidR="00D554B6" w:rsidRDefault="00785D46">
            <w:pPr>
              <w:jc w:val="right"/>
            </w:pPr>
            <w:r>
              <w:rPr>
                <w:rFonts w:eastAsiaTheme="minorEastAsia"/>
                <w:color w:val="000000" w:themeColor="text1"/>
                <w:szCs w:val="21"/>
              </w:rPr>
              <w:t>6.68%</w:t>
            </w:r>
          </w:p>
        </w:tc>
        <w:tc>
          <w:tcPr>
            <w:tcW w:w="1291" w:type="dxa"/>
            <w:vAlign w:val="center"/>
          </w:tcPr>
          <w:p w:rsidR="00D554B6" w:rsidRDefault="00785D46">
            <w:pPr>
              <w:jc w:val="right"/>
            </w:pPr>
            <w:r>
              <w:rPr>
                <w:rFonts w:eastAsiaTheme="minorEastAsia"/>
                <w:color w:val="000000" w:themeColor="text1"/>
                <w:szCs w:val="21"/>
              </w:rPr>
              <w:t>0.76%</w:t>
            </w:r>
          </w:p>
        </w:tc>
        <w:tc>
          <w:tcPr>
            <w:tcW w:w="1291" w:type="dxa"/>
            <w:vAlign w:val="center"/>
          </w:tcPr>
          <w:p w:rsidR="00D554B6" w:rsidRDefault="00785D46">
            <w:pPr>
              <w:jc w:val="right"/>
            </w:pPr>
            <w:r>
              <w:rPr>
                <w:rFonts w:eastAsiaTheme="minorEastAsia"/>
                <w:color w:val="000000" w:themeColor="text1"/>
                <w:szCs w:val="21"/>
              </w:rPr>
              <w:t>1.02%</w:t>
            </w:r>
          </w:p>
        </w:tc>
        <w:tc>
          <w:tcPr>
            <w:tcW w:w="1291" w:type="dxa"/>
            <w:vAlign w:val="center"/>
          </w:tcPr>
          <w:p w:rsidR="00D554B6" w:rsidRDefault="00785D46">
            <w:pPr>
              <w:jc w:val="right"/>
            </w:pPr>
            <w:r>
              <w:rPr>
                <w:rFonts w:eastAsiaTheme="minorEastAsia"/>
                <w:color w:val="000000" w:themeColor="text1"/>
                <w:szCs w:val="21"/>
              </w:rPr>
              <w:t>1.16%</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w:t>
      </w:r>
      <w:r w:rsidRPr="00B27A29">
        <w:rPr>
          <w:rFonts w:eastAsiaTheme="minorEastAsia"/>
          <w:b/>
          <w:color w:val="000000" w:themeColor="text1"/>
          <w:szCs w:val="21"/>
        </w:rPr>
        <w:lastRenderedPageBreak/>
        <w:t>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摩根智慧互联股票型证券投资基金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．摩根智慧互联股票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．摩根智慧互联股票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554B6">
        <w:tc>
          <w:tcPr>
            <w:tcW w:w="952" w:type="dxa"/>
            <w:vAlign w:val="center"/>
          </w:tcPr>
          <w:p w:rsidR="00D554B6" w:rsidRDefault="00785D46">
            <w:pPr>
              <w:jc w:val="center"/>
            </w:pPr>
            <w:r>
              <w:rPr>
                <w:rFonts w:eastAsiaTheme="minorEastAsia"/>
                <w:color w:val="000000" w:themeColor="text1"/>
                <w:szCs w:val="21"/>
              </w:rPr>
              <w:t>郭晨</w:t>
            </w:r>
          </w:p>
        </w:tc>
        <w:tc>
          <w:tcPr>
            <w:tcW w:w="930" w:type="dxa"/>
            <w:vAlign w:val="center"/>
          </w:tcPr>
          <w:p w:rsidR="00D554B6" w:rsidRDefault="00785D46">
            <w:pPr>
              <w:jc w:val="center"/>
            </w:pPr>
            <w:r>
              <w:rPr>
                <w:rFonts w:eastAsiaTheme="minorEastAsia"/>
                <w:color w:val="000000" w:themeColor="text1"/>
                <w:szCs w:val="21"/>
              </w:rPr>
              <w:t>本基金基金经理</w:t>
            </w:r>
          </w:p>
        </w:tc>
        <w:tc>
          <w:tcPr>
            <w:tcW w:w="1210" w:type="dxa"/>
            <w:vAlign w:val="center"/>
          </w:tcPr>
          <w:p w:rsidR="00D554B6" w:rsidRDefault="00785D46">
            <w:pPr>
              <w:jc w:val="center"/>
            </w:pPr>
            <w:r>
              <w:rPr>
                <w:rFonts w:eastAsiaTheme="minorEastAsia"/>
                <w:color w:val="000000" w:themeColor="text1"/>
                <w:szCs w:val="21"/>
              </w:rPr>
              <w:t>2015-06-09</w:t>
            </w:r>
          </w:p>
        </w:tc>
        <w:tc>
          <w:tcPr>
            <w:tcW w:w="1309" w:type="dxa"/>
            <w:vAlign w:val="center"/>
          </w:tcPr>
          <w:p w:rsidR="00D554B6" w:rsidRDefault="00785D46">
            <w:pPr>
              <w:jc w:val="center"/>
            </w:pPr>
            <w:r>
              <w:rPr>
                <w:rFonts w:eastAsiaTheme="minorEastAsia"/>
                <w:color w:val="000000" w:themeColor="text1"/>
                <w:szCs w:val="21"/>
              </w:rPr>
              <w:t>-</w:t>
            </w:r>
          </w:p>
        </w:tc>
        <w:tc>
          <w:tcPr>
            <w:tcW w:w="1254" w:type="dxa"/>
            <w:vAlign w:val="center"/>
          </w:tcPr>
          <w:p w:rsidR="00D554B6" w:rsidRDefault="00785D46">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D554B6" w:rsidRDefault="00785D46">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D554B6" w:rsidRDefault="00785D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D554B6" w:rsidRDefault="00785D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郭晨先生为本基金首任基金经理，其任职日期指本基金基金合同生效之日。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5.15%</w:t>
      </w:r>
      <w:r>
        <w:rPr>
          <w:rFonts w:eastAsiaTheme="minorEastAsia"/>
          <w:color w:val="000000" w:themeColor="text1"/>
          <w:szCs w:val="21"/>
        </w:rPr>
        <w:t>，创业板指数下跌</w:t>
      </w:r>
      <w:r>
        <w:rPr>
          <w:rFonts w:eastAsiaTheme="minorEastAsia"/>
          <w:color w:val="000000" w:themeColor="text1"/>
          <w:szCs w:val="21"/>
        </w:rPr>
        <w:t>7.69%</w:t>
      </w:r>
      <w:r>
        <w:rPr>
          <w:rFonts w:eastAsiaTheme="minorEastAsia"/>
          <w:color w:val="000000" w:themeColor="text1"/>
          <w:szCs w:val="21"/>
        </w:rPr>
        <w:t>。尽管指数表现不佳，但是市场还</w:t>
      </w:r>
      <w:r>
        <w:rPr>
          <w:rFonts w:eastAsiaTheme="minorEastAsia"/>
          <w:color w:val="000000" w:themeColor="text1"/>
          <w:szCs w:val="21"/>
        </w:rPr>
        <w:lastRenderedPageBreak/>
        <w:t>是比较活跃，人工智能（</w:t>
      </w:r>
      <w:r>
        <w:rPr>
          <w:rFonts w:eastAsiaTheme="minorEastAsia"/>
          <w:color w:val="000000" w:themeColor="text1"/>
          <w:szCs w:val="21"/>
        </w:rPr>
        <w:t>AI</w:t>
      </w:r>
      <w:r>
        <w:rPr>
          <w:rFonts w:eastAsiaTheme="minorEastAsia"/>
          <w:color w:val="000000" w:themeColor="text1"/>
          <w:szCs w:val="21"/>
        </w:rPr>
        <w:t>）板块大涨，引领市场，前一季度强势的中特估板块表现相对一般。二季度国内经济恢复弱于预期，各项经济数据差强人意，政策也较为克制，依然是以经济高质量发展为主要抓手，市场对于房地产的未来比较悲观。美国经济依然稳健，美股表现强势，人民币调整幅度较大。本季度</w:t>
      </w:r>
      <w:r>
        <w:rPr>
          <w:rFonts w:eastAsiaTheme="minorEastAsia"/>
          <w:color w:val="000000" w:themeColor="text1"/>
          <w:szCs w:val="21"/>
        </w:rPr>
        <w:t>AI</w:t>
      </w:r>
      <w:r>
        <w:rPr>
          <w:rFonts w:eastAsiaTheme="minorEastAsia"/>
          <w:color w:val="000000" w:themeColor="text1"/>
          <w:szCs w:val="21"/>
        </w:rPr>
        <w:t>是市场为数不多的亮点，相关产业链轮番表现，算力板块尤为强势。市场资金依然处于存量博弈的状态，结构差异和个股波动很大。</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我们始终看好国内权益市场的长期机会，认为市场处于一个长期慢牛的走势之中，结构性行情为主。二季度本基金重点配置在一些与智慧互联主题相关的高景气度行业上，比如</w:t>
      </w:r>
      <w:r>
        <w:rPr>
          <w:rFonts w:eastAsiaTheme="minorEastAsia"/>
          <w:color w:val="000000" w:themeColor="text1"/>
          <w:szCs w:val="21"/>
        </w:rPr>
        <w:t>AI</w:t>
      </w:r>
      <w:r>
        <w:rPr>
          <w:rFonts w:eastAsiaTheme="minorEastAsia"/>
          <w:color w:val="000000" w:themeColor="text1"/>
          <w:szCs w:val="21"/>
        </w:rPr>
        <w:t>的算力和应用、信创、数字经济等，在房地产、金融、上游资源品等传统周期行业配置比例较低，净值表现良好。本基金将始终坚持价值投资思路，持续关注智慧互联主题相关高景气度行业，选择其中相对优秀的龙头公司长期投资。</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我们并不悲观。目前市场对国内经济悲观，对政策也没有什么预期，市场的主线大概率依然在成长板块，如果经济数据有见底回升的迹象，那么指数也会有一定机会。港股在经历调整之后，估值吸引力提升，依然是国内经济变化高弹性的标的。成长板块的表现，重点关注两个方向，一是新技术的变革，</w:t>
      </w:r>
      <w:r>
        <w:rPr>
          <w:rFonts w:eastAsiaTheme="minorEastAsia"/>
          <w:color w:val="000000" w:themeColor="text1"/>
          <w:szCs w:val="21"/>
        </w:rPr>
        <w:t>TMT</w:t>
      </w:r>
      <w:r>
        <w:rPr>
          <w:rFonts w:eastAsiaTheme="minorEastAsia"/>
          <w:color w:val="000000" w:themeColor="text1"/>
          <w:szCs w:val="21"/>
        </w:rPr>
        <w:t>板块可能会继续活跃，二是业绩同比增速较好的板块，比如新能源相关行业，消费的一些细分子行业。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我们会始终坚持价值投资，持续关注高景气度行业，选择朝阳行业中较优秀的龙头公司长期投资。近期智慧互联主题相关行业基本面出现了较多的向好变化，本基金会深耕这些板块，例如</w:t>
      </w:r>
      <w:r w:rsidRPr="00B27A29">
        <w:rPr>
          <w:rFonts w:eastAsiaTheme="minorEastAsia"/>
          <w:color w:val="000000" w:themeColor="text1"/>
          <w:szCs w:val="21"/>
        </w:rPr>
        <w:t>AI</w:t>
      </w:r>
      <w:r w:rsidRPr="00B27A29">
        <w:rPr>
          <w:rFonts w:eastAsiaTheme="minorEastAsia"/>
          <w:color w:val="000000" w:themeColor="text1"/>
          <w:szCs w:val="21"/>
        </w:rPr>
        <w:t>的算力和应用、智能机器人、信创、数字经济、半导体等细分行业。合理的估值，较高的业绩增速，成长的确定性是本基金最看重的。</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本报告期摩根智慧互联</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:0.59%</w:t>
      </w:r>
      <w:r>
        <w:rPr>
          <w:rFonts w:eastAsiaTheme="minorEastAsia"/>
          <w:color w:val="000000" w:themeColor="text1"/>
          <w:szCs w:val="21"/>
        </w:rPr>
        <w:t>，同期业绩比较基准收益率为</w:t>
      </w:r>
      <w:r>
        <w:rPr>
          <w:rFonts w:eastAsiaTheme="minorEastAsia"/>
          <w:color w:val="000000" w:themeColor="text1"/>
          <w:szCs w:val="21"/>
        </w:rPr>
        <w:t>:-4.27%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摩根智慧互联</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:0.43%</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:-4.27%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435,597,649.98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435,597,649.98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86.39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68,096,819.71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544,957.58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504,239,427.27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179,178,878.34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35.70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19,543,093.50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207,687,317.18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25,866,759.00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222,926.80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284,081.94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2,814,593.22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435,597,649.98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86.79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554B6">
        <w:tc>
          <w:tcPr>
            <w:tcW w:w="817" w:type="dxa"/>
            <w:vAlign w:val="center"/>
          </w:tcPr>
          <w:p w:rsidR="00D554B6" w:rsidRDefault="00785D46">
            <w:pPr>
              <w:jc w:val="center"/>
            </w:pPr>
            <w:r>
              <w:rPr>
                <w:rFonts w:eastAsiaTheme="minorEastAsia"/>
                <w:kern w:val="0"/>
                <w:szCs w:val="21"/>
              </w:rPr>
              <w:t>1</w:t>
            </w:r>
          </w:p>
        </w:tc>
        <w:tc>
          <w:tcPr>
            <w:tcW w:w="1276" w:type="dxa"/>
            <w:vAlign w:val="center"/>
          </w:tcPr>
          <w:p w:rsidR="00D554B6" w:rsidRDefault="00785D46">
            <w:pPr>
              <w:jc w:val="center"/>
            </w:pPr>
            <w:r>
              <w:rPr>
                <w:rFonts w:eastAsiaTheme="minorEastAsia"/>
                <w:kern w:val="0"/>
                <w:szCs w:val="21"/>
              </w:rPr>
              <w:t>300308</w:t>
            </w:r>
          </w:p>
        </w:tc>
        <w:tc>
          <w:tcPr>
            <w:tcW w:w="1701" w:type="dxa"/>
            <w:vAlign w:val="center"/>
          </w:tcPr>
          <w:p w:rsidR="00D554B6" w:rsidRDefault="00785D46">
            <w:pPr>
              <w:jc w:val="center"/>
            </w:pPr>
            <w:r>
              <w:rPr>
                <w:rFonts w:eastAsiaTheme="minorEastAsia"/>
                <w:kern w:val="0"/>
                <w:szCs w:val="21"/>
              </w:rPr>
              <w:t>中际旭创</w:t>
            </w:r>
          </w:p>
        </w:tc>
        <w:tc>
          <w:tcPr>
            <w:tcW w:w="1276" w:type="dxa"/>
            <w:vAlign w:val="center"/>
          </w:tcPr>
          <w:p w:rsidR="00D554B6" w:rsidRDefault="00785D46">
            <w:pPr>
              <w:jc w:val="right"/>
            </w:pPr>
            <w:r>
              <w:rPr>
                <w:rFonts w:eastAsiaTheme="minorEastAsia"/>
                <w:kern w:val="0"/>
                <w:szCs w:val="21"/>
              </w:rPr>
              <w:t>279,032.00</w:t>
            </w:r>
          </w:p>
        </w:tc>
        <w:tc>
          <w:tcPr>
            <w:tcW w:w="1842" w:type="dxa"/>
            <w:vAlign w:val="center"/>
          </w:tcPr>
          <w:p w:rsidR="00D554B6" w:rsidRDefault="00785D46">
            <w:pPr>
              <w:jc w:val="right"/>
            </w:pPr>
            <w:r>
              <w:rPr>
                <w:rFonts w:eastAsiaTheme="minorEastAsia"/>
                <w:kern w:val="0"/>
                <w:szCs w:val="21"/>
              </w:rPr>
              <w:t>41,143,268.40</w:t>
            </w:r>
          </w:p>
        </w:tc>
        <w:tc>
          <w:tcPr>
            <w:tcW w:w="1616" w:type="dxa"/>
            <w:vAlign w:val="center"/>
          </w:tcPr>
          <w:p w:rsidR="00D554B6" w:rsidRDefault="00785D46">
            <w:pPr>
              <w:jc w:val="right"/>
            </w:pPr>
            <w:r>
              <w:rPr>
                <w:rFonts w:eastAsiaTheme="minorEastAsia"/>
                <w:kern w:val="0"/>
                <w:szCs w:val="21"/>
              </w:rPr>
              <w:t>8.20</w:t>
            </w:r>
          </w:p>
        </w:tc>
      </w:tr>
      <w:tr w:rsidR="00D554B6">
        <w:tc>
          <w:tcPr>
            <w:tcW w:w="817" w:type="dxa"/>
            <w:vAlign w:val="center"/>
          </w:tcPr>
          <w:p w:rsidR="00D554B6" w:rsidRDefault="00785D46">
            <w:pPr>
              <w:jc w:val="center"/>
            </w:pPr>
            <w:r>
              <w:rPr>
                <w:rFonts w:eastAsiaTheme="minorEastAsia"/>
                <w:kern w:val="0"/>
                <w:szCs w:val="21"/>
              </w:rPr>
              <w:t>2</w:t>
            </w:r>
          </w:p>
        </w:tc>
        <w:tc>
          <w:tcPr>
            <w:tcW w:w="1276" w:type="dxa"/>
            <w:vAlign w:val="center"/>
          </w:tcPr>
          <w:p w:rsidR="00D554B6" w:rsidRDefault="00785D46">
            <w:pPr>
              <w:jc w:val="center"/>
            </w:pPr>
            <w:r>
              <w:rPr>
                <w:rFonts w:eastAsiaTheme="minorEastAsia"/>
                <w:kern w:val="0"/>
                <w:szCs w:val="21"/>
              </w:rPr>
              <w:t>300502</w:t>
            </w:r>
          </w:p>
        </w:tc>
        <w:tc>
          <w:tcPr>
            <w:tcW w:w="1701" w:type="dxa"/>
            <w:vAlign w:val="center"/>
          </w:tcPr>
          <w:p w:rsidR="00D554B6" w:rsidRDefault="00785D46">
            <w:pPr>
              <w:jc w:val="center"/>
            </w:pPr>
            <w:r>
              <w:rPr>
                <w:rFonts w:eastAsiaTheme="minorEastAsia"/>
                <w:kern w:val="0"/>
                <w:szCs w:val="21"/>
              </w:rPr>
              <w:t>新易盛</w:t>
            </w:r>
          </w:p>
        </w:tc>
        <w:tc>
          <w:tcPr>
            <w:tcW w:w="1276" w:type="dxa"/>
            <w:vAlign w:val="center"/>
          </w:tcPr>
          <w:p w:rsidR="00D554B6" w:rsidRDefault="00785D46">
            <w:pPr>
              <w:jc w:val="right"/>
            </w:pPr>
            <w:r>
              <w:rPr>
                <w:rFonts w:eastAsiaTheme="minorEastAsia"/>
                <w:kern w:val="0"/>
                <w:szCs w:val="21"/>
              </w:rPr>
              <w:t>432,540.00</w:t>
            </w:r>
          </w:p>
        </w:tc>
        <w:tc>
          <w:tcPr>
            <w:tcW w:w="1842" w:type="dxa"/>
            <w:vAlign w:val="center"/>
          </w:tcPr>
          <w:p w:rsidR="00D554B6" w:rsidRDefault="00785D46">
            <w:pPr>
              <w:jc w:val="right"/>
            </w:pPr>
            <w:r>
              <w:rPr>
                <w:rFonts w:eastAsiaTheme="minorEastAsia"/>
                <w:kern w:val="0"/>
                <w:szCs w:val="21"/>
              </w:rPr>
              <w:t>29,399,743.80</w:t>
            </w:r>
          </w:p>
        </w:tc>
        <w:tc>
          <w:tcPr>
            <w:tcW w:w="1616" w:type="dxa"/>
            <w:vAlign w:val="center"/>
          </w:tcPr>
          <w:p w:rsidR="00D554B6" w:rsidRDefault="00785D46">
            <w:pPr>
              <w:jc w:val="right"/>
            </w:pPr>
            <w:r>
              <w:rPr>
                <w:rFonts w:eastAsiaTheme="minorEastAsia"/>
                <w:kern w:val="0"/>
                <w:szCs w:val="21"/>
              </w:rPr>
              <w:t>5.86</w:t>
            </w:r>
          </w:p>
        </w:tc>
      </w:tr>
      <w:tr w:rsidR="00D554B6">
        <w:tc>
          <w:tcPr>
            <w:tcW w:w="817" w:type="dxa"/>
            <w:vAlign w:val="center"/>
          </w:tcPr>
          <w:p w:rsidR="00D554B6" w:rsidRDefault="00785D46">
            <w:pPr>
              <w:jc w:val="center"/>
            </w:pPr>
            <w:r>
              <w:rPr>
                <w:rFonts w:eastAsiaTheme="minorEastAsia"/>
                <w:kern w:val="0"/>
                <w:szCs w:val="21"/>
              </w:rPr>
              <w:t>3</w:t>
            </w:r>
          </w:p>
        </w:tc>
        <w:tc>
          <w:tcPr>
            <w:tcW w:w="1276" w:type="dxa"/>
            <w:vAlign w:val="center"/>
          </w:tcPr>
          <w:p w:rsidR="00D554B6" w:rsidRDefault="00785D46">
            <w:pPr>
              <w:jc w:val="center"/>
            </w:pPr>
            <w:r>
              <w:rPr>
                <w:rFonts w:eastAsiaTheme="minorEastAsia"/>
                <w:kern w:val="0"/>
                <w:szCs w:val="21"/>
              </w:rPr>
              <w:t>688111</w:t>
            </w:r>
          </w:p>
        </w:tc>
        <w:tc>
          <w:tcPr>
            <w:tcW w:w="1701" w:type="dxa"/>
            <w:vAlign w:val="center"/>
          </w:tcPr>
          <w:p w:rsidR="00D554B6" w:rsidRDefault="00785D46">
            <w:pPr>
              <w:jc w:val="center"/>
            </w:pPr>
            <w:r>
              <w:rPr>
                <w:rFonts w:eastAsiaTheme="minorEastAsia"/>
                <w:kern w:val="0"/>
                <w:szCs w:val="21"/>
              </w:rPr>
              <w:t>金山办公</w:t>
            </w:r>
          </w:p>
        </w:tc>
        <w:tc>
          <w:tcPr>
            <w:tcW w:w="1276" w:type="dxa"/>
            <w:vAlign w:val="center"/>
          </w:tcPr>
          <w:p w:rsidR="00D554B6" w:rsidRDefault="00785D46">
            <w:pPr>
              <w:jc w:val="right"/>
            </w:pPr>
            <w:r>
              <w:rPr>
                <w:rFonts w:eastAsiaTheme="minorEastAsia"/>
                <w:kern w:val="0"/>
                <w:szCs w:val="21"/>
              </w:rPr>
              <w:t>43,320.00</w:t>
            </w:r>
          </w:p>
        </w:tc>
        <w:tc>
          <w:tcPr>
            <w:tcW w:w="1842" w:type="dxa"/>
            <w:vAlign w:val="center"/>
          </w:tcPr>
          <w:p w:rsidR="00D554B6" w:rsidRDefault="00785D46">
            <w:pPr>
              <w:jc w:val="right"/>
            </w:pPr>
            <w:r>
              <w:rPr>
                <w:rFonts w:eastAsiaTheme="minorEastAsia"/>
                <w:kern w:val="0"/>
                <w:szCs w:val="21"/>
              </w:rPr>
              <w:t>20,456,570.40</w:t>
            </w:r>
          </w:p>
        </w:tc>
        <w:tc>
          <w:tcPr>
            <w:tcW w:w="1616" w:type="dxa"/>
            <w:vAlign w:val="center"/>
          </w:tcPr>
          <w:p w:rsidR="00D554B6" w:rsidRDefault="00785D46">
            <w:pPr>
              <w:jc w:val="right"/>
            </w:pPr>
            <w:r>
              <w:rPr>
                <w:rFonts w:eastAsiaTheme="minorEastAsia"/>
                <w:kern w:val="0"/>
                <w:szCs w:val="21"/>
              </w:rPr>
              <w:t>4.08</w:t>
            </w:r>
          </w:p>
        </w:tc>
      </w:tr>
      <w:tr w:rsidR="00D554B6">
        <w:tc>
          <w:tcPr>
            <w:tcW w:w="817" w:type="dxa"/>
            <w:vAlign w:val="center"/>
          </w:tcPr>
          <w:p w:rsidR="00D554B6" w:rsidRDefault="00785D46">
            <w:pPr>
              <w:jc w:val="center"/>
            </w:pPr>
            <w:r>
              <w:rPr>
                <w:rFonts w:eastAsiaTheme="minorEastAsia"/>
                <w:kern w:val="0"/>
                <w:szCs w:val="21"/>
              </w:rPr>
              <w:t>4</w:t>
            </w:r>
          </w:p>
        </w:tc>
        <w:tc>
          <w:tcPr>
            <w:tcW w:w="1276" w:type="dxa"/>
            <w:vAlign w:val="center"/>
          </w:tcPr>
          <w:p w:rsidR="00D554B6" w:rsidRDefault="00785D46">
            <w:pPr>
              <w:jc w:val="center"/>
            </w:pPr>
            <w:r>
              <w:rPr>
                <w:rFonts w:eastAsiaTheme="minorEastAsia"/>
                <w:kern w:val="0"/>
                <w:szCs w:val="21"/>
              </w:rPr>
              <w:t>603444</w:t>
            </w:r>
          </w:p>
        </w:tc>
        <w:tc>
          <w:tcPr>
            <w:tcW w:w="1701" w:type="dxa"/>
            <w:vAlign w:val="center"/>
          </w:tcPr>
          <w:p w:rsidR="00D554B6" w:rsidRDefault="00785D46">
            <w:pPr>
              <w:jc w:val="center"/>
            </w:pPr>
            <w:r>
              <w:rPr>
                <w:rFonts w:eastAsiaTheme="minorEastAsia"/>
                <w:kern w:val="0"/>
                <w:szCs w:val="21"/>
              </w:rPr>
              <w:t>吉比特</w:t>
            </w:r>
          </w:p>
        </w:tc>
        <w:tc>
          <w:tcPr>
            <w:tcW w:w="1276" w:type="dxa"/>
            <w:vAlign w:val="center"/>
          </w:tcPr>
          <w:p w:rsidR="00D554B6" w:rsidRDefault="00785D46">
            <w:pPr>
              <w:jc w:val="right"/>
            </w:pPr>
            <w:r>
              <w:rPr>
                <w:rFonts w:eastAsiaTheme="minorEastAsia"/>
                <w:kern w:val="0"/>
                <w:szCs w:val="21"/>
              </w:rPr>
              <w:t>41,500.00</w:t>
            </w:r>
          </w:p>
        </w:tc>
        <w:tc>
          <w:tcPr>
            <w:tcW w:w="1842" w:type="dxa"/>
            <w:vAlign w:val="center"/>
          </w:tcPr>
          <w:p w:rsidR="00D554B6" w:rsidRDefault="00785D46">
            <w:pPr>
              <w:jc w:val="right"/>
            </w:pPr>
            <w:r>
              <w:rPr>
                <w:rFonts w:eastAsiaTheme="minorEastAsia"/>
                <w:kern w:val="0"/>
                <w:szCs w:val="21"/>
              </w:rPr>
              <w:t>20,381,065.00</w:t>
            </w:r>
          </w:p>
        </w:tc>
        <w:tc>
          <w:tcPr>
            <w:tcW w:w="1616" w:type="dxa"/>
            <w:vAlign w:val="center"/>
          </w:tcPr>
          <w:p w:rsidR="00D554B6" w:rsidRDefault="00785D46">
            <w:pPr>
              <w:jc w:val="right"/>
            </w:pPr>
            <w:r>
              <w:rPr>
                <w:rFonts w:eastAsiaTheme="minorEastAsia"/>
                <w:kern w:val="0"/>
                <w:szCs w:val="21"/>
              </w:rPr>
              <w:t>4.06</w:t>
            </w:r>
          </w:p>
        </w:tc>
      </w:tr>
      <w:tr w:rsidR="00D554B6">
        <w:tc>
          <w:tcPr>
            <w:tcW w:w="817" w:type="dxa"/>
            <w:vAlign w:val="center"/>
          </w:tcPr>
          <w:p w:rsidR="00D554B6" w:rsidRDefault="00785D46">
            <w:pPr>
              <w:jc w:val="center"/>
            </w:pPr>
            <w:r>
              <w:rPr>
                <w:rFonts w:eastAsiaTheme="minorEastAsia"/>
                <w:kern w:val="0"/>
                <w:szCs w:val="21"/>
              </w:rPr>
              <w:t>5</w:t>
            </w:r>
          </w:p>
        </w:tc>
        <w:tc>
          <w:tcPr>
            <w:tcW w:w="1276" w:type="dxa"/>
            <w:vAlign w:val="center"/>
          </w:tcPr>
          <w:p w:rsidR="00D554B6" w:rsidRDefault="00785D46">
            <w:pPr>
              <w:jc w:val="center"/>
            </w:pPr>
            <w:r>
              <w:rPr>
                <w:rFonts w:eastAsiaTheme="minorEastAsia"/>
                <w:kern w:val="0"/>
                <w:szCs w:val="21"/>
              </w:rPr>
              <w:t>000032</w:t>
            </w:r>
          </w:p>
        </w:tc>
        <w:tc>
          <w:tcPr>
            <w:tcW w:w="1701" w:type="dxa"/>
            <w:vAlign w:val="center"/>
          </w:tcPr>
          <w:p w:rsidR="00D554B6" w:rsidRDefault="00785D46">
            <w:pPr>
              <w:jc w:val="center"/>
            </w:pPr>
            <w:r>
              <w:rPr>
                <w:rFonts w:eastAsiaTheme="minorEastAsia"/>
                <w:kern w:val="0"/>
                <w:szCs w:val="21"/>
              </w:rPr>
              <w:t>深桑达Ａ</w:t>
            </w:r>
          </w:p>
        </w:tc>
        <w:tc>
          <w:tcPr>
            <w:tcW w:w="1276" w:type="dxa"/>
            <w:vAlign w:val="center"/>
          </w:tcPr>
          <w:p w:rsidR="00D554B6" w:rsidRDefault="00785D46">
            <w:pPr>
              <w:jc w:val="right"/>
            </w:pPr>
            <w:r>
              <w:rPr>
                <w:rFonts w:eastAsiaTheme="minorEastAsia"/>
                <w:kern w:val="0"/>
                <w:szCs w:val="21"/>
              </w:rPr>
              <w:t>594,015.00</w:t>
            </w:r>
          </w:p>
        </w:tc>
        <w:tc>
          <w:tcPr>
            <w:tcW w:w="1842" w:type="dxa"/>
            <w:vAlign w:val="center"/>
          </w:tcPr>
          <w:p w:rsidR="00D554B6" w:rsidRDefault="00785D46">
            <w:pPr>
              <w:jc w:val="right"/>
            </w:pPr>
            <w:r>
              <w:rPr>
                <w:rFonts w:eastAsiaTheme="minorEastAsia"/>
                <w:kern w:val="0"/>
                <w:szCs w:val="21"/>
              </w:rPr>
              <w:t>19,543,093.50</w:t>
            </w:r>
          </w:p>
        </w:tc>
        <w:tc>
          <w:tcPr>
            <w:tcW w:w="1616" w:type="dxa"/>
            <w:vAlign w:val="center"/>
          </w:tcPr>
          <w:p w:rsidR="00D554B6" w:rsidRDefault="00785D46">
            <w:pPr>
              <w:jc w:val="right"/>
            </w:pPr>
            <w:r>
              <w:rPr>
                <w:rFonts w:eastAsiaTheme="minorEastAsia"/>
                <w:kern w:val="0"/>
                <w:szCs w:val="21"/>
              </w:rPr>
              <w:t>3.89</w:t>
            </w:r>
          </w:p>
        </w:tc>
      </w:tr>
      <w:tr w:rsidR="00D554B6">
        <w:tc>
          <w:tcPr>
            <w:tcW w:w="817" w:type="dxa"/>
            <w:vAlign w:val="center"/>
          </w:tcPr>
          <w:p w:rsidR="00D554B6" w:rsidRDefault="00785D46">
            <w:pPr>
              <w:jc w:val="center"/>
            </w:pPr>
            <w:r>
              <w:rPr>
                <w:rFonts w:eastAsiaTheme="minorEastAsia"/>
                <w:kern w:val="0"/>
                <w:szCs w:val="21"/>
              </w:rPr>
              <w:t>6</w:t>
            </w:r>
          </w:p>
        </w:tc>
        <w:tc>
          <w:tcPr>
            <w:tcW w:w="1276" w:type="dxa"/>
            <w:vAlign w:val="center"/>
          </w:tcPr>
          <w:p w:rsidR="00D554B6" w:rsidRDefault="00785D46">
            <w:pPr>
              <w:jc w:val="center"/>
            </w:pPr>
            <w:r>
              <w:rPr>
                <w:rFonts w:eastAsiaTheme="minorEastAsia"/>
                <w:kern w:val="0"/>
                <w:szCs w:val="21"/>
              </w:rPr>
              <w:t>002555</w:t>
            </w:r>
          </w:p>
        </w:tc>
        <w:tc>
          <w:tcPr>
            <w:tcW w:w="1701" w:type="dxa"/>
            <w:vAlign w:val="center"/>
          </w:tcPr>
          <w:p w:rsidR="00D554B6" w:rsidRDefault="00785D46">
            <w:pPr>
              <w:jc w:val="center"/>
            </w:pPr>
            <w:r>
              <w:rPr>
                <w:rFonts w:eastAsiaTheme="minorEastAsia"/>
                <w:kern w:val="0"/>
                <w:szCs w:val="21"/>
              </w:rPr>
              <w:t>三七互娱</w:t>
            </w:r>
          </w:p>
        </w:tc>
        <w:tc>
          <w:tcPr>
            <w:tcW w:w="1276" w:type="dxa"/>
            <w:vAlign w:val="center"/>
          </w:tcPr>
          <w:p w:rsidR="00D554B6" w:rsidRDefault="00785D46">
            <w:pPr>
              <w:jc w:val="right"/>
            </w:pPr>
            <w:r>
              <w:rPr>
                <w:rFonts w:eastAsiaTheme="minorEastAsia"/>
                <w:kern w:val="0"/>
                <w:szCs w:val="21"/>
              </w:rPr>
              <w:t>534,201.00</w:t>
            </w:r>
          </w:p>
        </w:tc>
        <w:tc>
          <w:tcPr>
            <w:tcW w:w="1842" w:type="dxa"/>
            <w:vAlign w:val="center"/>
          </w:tcPr>
          <w:p w:rsidR="00D554B6" w:rsidRDefault="00785D46">
            <w:pPr>
              <w:jc w:val="right"/>
            </w:pPr>
            <w:r>
              <w:rPr>
                <w:rFonts w:eastAsiaTheme="minorEastAsia"/>
                <w:kern w:val="0"/>
                <w:szCs w:val="21"/>
              </w:rPr>
              <w:t>18,632,930.88</w:t>
            </w:r>
          </w:p>
        </w:tc>
        <w:tc>
          <w:tcPr>
            <w:tcW w:w="1616" w:type="dxa"/>
            <w:vAlign w:val="center"/>
          </w:tcPr>
          <w:p w:rsidR="00D554B6" w:rsidRDefault="00785D46">
            <w:pPr>
              <w:jc w:val="right"/>
            </w:pPr>
            <w:r>
              <w:rPr>
                <w:rFonts w:eastAsiaTheme="minorEastAsia"/>
                <w:kern w:val="0"/>
                <w:szCs w:val="21"/>
              </w:rPr>
              <w:t>3.71</w:t>
            </w:r>
          </w:p>
        </w:tc>
      </w:tr>
      <w:tr w:rsidR="00D554B6">
        <w:tc>
          <w:tcPr>
            <w:tcW w:w="817" w:type="dxa"/>
            <w:vAlign w:val="center"/>
          </w:tcPr>
          <w:p w:rsidR="00D554B6" w:rsidRDefault="00785D46">
            <w:pPr>
              <w:jc w:val="center"/>
            </w:pPr>
            <w:r>
              <w:rPr>
                <w:rFonts w:eastAsiaTheme="minorEastAsia"/>
                <w:kern w:val="0"/>
                <w:szCs w:val="21"/>
              </w:rPr>
              <w:t>7</w:t>
            </w:r>
          </w:p>
        </w:tc>
        <w:tc>
          <w:tcPr>
            <w:tcW w:w="1276" w:type="dxa"/>
            <w:vAlign w:val="center"/>
          </w:tcPr>
          <w:p w:rsidR="00D554B6" w:rsidRDefault="00785D46">
            <w:pPr>
              <w:jc w:val="center"/>
            </w:pPr>
            <w:r>
              <w:rPr>
                <w:rFonts w:eastAsiaTheme="minorEastAsia"/>
                <w:kern w:val="0"/>
                <w:szCs w:val="21"/>
              </w:rPr>
              <w:t>601138</w:t>
            </w:r>
          </w:p>
        </w:tc>
        <w:tc>
          <w:tcPr>
            <w:tcW w:w="1701" w:type="dxa"/>
            <w:vAlign w:val="center"/>
          </w:tcPr>
          <w:p w:rsidR="00D554B6" w:rsidRDefault="00785D46">
            <w:pPr>
              <w:jc w:val="center"/>
            </w:pPr>
            <w:r>
              <w:rPr>
                <w:rFonts w:eastAsiaTheme="minorEastAsia"/>
                <w:kern w:val="0"/>
                <w:szCs w:val="21"/>
              </w:rPr>
              <w:t>工业富联</w:t>
            </w:r>
          </w:p>
        </w:tc>
        <w:tc>
          <w:tcPr>
            <w:tcW w:w="1276" w:type="dxa"/>
            <w:vAlign w:val="center"/>
          </w:tcPr>
          <w:p w:rsidR="00D554B6" w:rsidRDefault="00785D46">
            <w:pPr>
              <w:jc w:val="right"/>
            </w:pPr>
            <w:r>
              <w:rPr>
                <w:rFonts w:eastAsiaTheme="minorEastAsia"/>
                <w:kern w:val="0"/>
                <w:szCs w:val="21"/>
              </w:rPr>
              <w:t>626,100.00</w:t>
            </w:r>
          </w:p>
        </w:tc>
        <w:tc>
          <w:tcPr>
            <w:tcW w:w="1842" w:type="dxa"/>
            <w:vAlign w:val="center"/>
          </w:tcPr>
          <w:p w:rsidR="00D554B6" w:rsidRDefault="00785D46">
            <w:pPr>
              <w:jc w:val="right"/>
            </w:pPr>
            <w:r>
              <w:rPr>
                <w:rFonts w:eastAsiaTheme="minorEastAsia"/>
                <w:kern w:val="0"/>
                <w:szCs w:val="21"/>
              </w:rPr>
              <w:t>15,777,720.00</w:t>
            </w:r>
          </w:p>
        </w:tc>
        <w:tc>
          <w:tcPr>
            <w:tcW w:w="1616" w:type="dxa"/>
            <w:vAlign w:val="center"/>
          </w:tcPr>
          <w:p w:rsidR="00D554B6" w:rsidRDefault="00785D46">
            <w:pPr>
              <w:jc w:val="right"/>
            </w:pPr>
            <w:r>
              <w:rPr>
                <w:rFonts w:eastAsiaTheme="minorEastAsia"/>
                <w:kern w:val="0"/>
                <w:szCs w:val="21"/>
              </w:rPr>
              <w:t>3.14</w:t>
            </w:r>
          </w:p>
        </w:tc>
      </w:tr>
      <w:tr w:rsidR="00D554B6">
        <w:tc>
          <w:tcPr>
            <w:tcW w:w="817" w:type="dxa"/>
            <w:vAlign w:val="center"/>
          </w:tcPr>
          <w:p w:rsidR="00D554B6" w:rsidRDefault="00785D46">
            <w:pPr>
              <w:jc w:val="center"/>
            </w:pPr>
            <w:r>
              <w:rPr>
                <w:rFonts w:eastAsiaTheme="minorEastAsia"/>
                <w:kern w:val="0"/>
                <w:szCs w:val="21"/>
              </w:rPr>
              <w:t>8</w:t>
            </w:r>
          </w:p>
        </w:tc>
        <w:tc>
          <w:tcPr>
            <w:tcW w:w="1276" w:type="dxa"/>
            <w:vAlign w:val="center"/>
          </w:tcPr>
          <w:p w:rsidR="00D554B6" w:rsidRDefault="00785D46">
            <w:pPr>
              <w:jc w:val="center"/>
            </w:pPr>
            <w:r>
              <w:rPr>
                <w:rFonts w:eastAsiaTheme="minorEastAsia"/>
                <w:kern w:val="0"/>
                <w:szCs w:val="21"/>
              </w:rPr>
              <w:t>002517</w:t>
            </w:r>
          </w:p>
        </w:tc>
        <w:tc>
          <w:tcPr>
            <w:tcW w:w="1701" w:type="dxa"/>
            <w:vAlign w:val="center"/>
          </w:tcPr>
          <w:p w:rsidR="00D554B6" w:rsidRDefault="00785D46">
            <w:pPr>
              <w:jc w:val="center"/>
            </w:pPr>
            <w:r>
              <w:rPr>
                <w:rFonts w:eastAsiaTheme="minorEastAsia"/>
                <w:kern w:val="0"/>
                <w:szCs w:val="21"/>
              </w:rPr>
              <w:t>恺英网络</w:t>
            </w:r>
          </w:p>
        </w:tc>
        <w:tc>
          <w:tcPr>
            <w:tcW w:w="1276" w:type="dxa"/>
            <w:vAlign w:val="center"/>
          </w:tcPr>
          <w:p w:rsidR="00D554B6" w:rsidRDefault="00785D46">
            <w:pPr>
              <w:jc w:val="right"/>
            </w:pPr>
            <w:r>
              <w:rPr>
                <w:rFonts w:eastAsiaTheme="minorEastAsia"/>
                <w:kern w:val="0"/>
                <w:szCs w:val="21"/>
              </w:rPr>
              <w:t>915,800.00</w:t>
            </w:r>
          </w:p>
        </w:tc>
        <w:tc>
          <w:tcPr>
            <w:tcW w:w="1842" w:type="dxa"/>
            <w:vAlign w:val="center"/>
          </w:tcPr>
          <w:p w:rsidR="00D554B6" w:rsidRDefault="00785D46">
            <w:pPr>
              <w:jc w:val="right"/>
            </w:pPr>
            <w:r>
              <w:rPr>
                <w:rFonts w:eastAsiaTheme="minorEastAsia"/>
                <w:kern w:val="0"/>
                <w:szCs w:val="21"/>
              </w:rPr>
              <w:t>14,414,692.00</w:t>
            </w:r>
          </w:p>
        </w:tc>
        <w:tc>
          <w:tcPr>
            <w:tcW w:w="1616" w:type="dxa"/>
            <w:vAlign w:val="center"/>
          </w:tcPr>
          <w:p w:rsidR="00D554B6" w:rsidRDefault="00785D46">
            <w:pPr>
              <w:jc w:val="right"/>
            </w:pPr>
            <w:r>
              <w:rPr>
                <w:rFonts w:eastAsiaTheme="minorEastAsia"/>
                <w:kern w:val="0"/>
                <w:szCs w:val="21"/>
              </w:rPr>
              <w:t>2.87</w:t>
            </w:r>
          </w:p>
        </w:tc>
      </w:tr>
      <w:tr w:rsidR="00D554B6">
        <w:tc>
          <w:tcPr>
            <w:tcW w:w="817" w:type="dxa"/>
            <w:vAlign w:val="center"/>
          </w:tcPr>
          <w:p w:rsidR="00D554B6" w:rsidRDefault="00785D46">
            <w:pPr>
              <w:jc w:val="center"/>
            </w:pPr>
            <w:r>
              <w:rPr>
                <w:rFonts w:eastAsiaTheme="minorEastAsia"/>
                <w:kern w:val="0"/>
                <w:szCs w:val="21"/>
              </w:rPr>
              <w:t>9</w:t>
            </w:r>
          </w:p>
        </w:tc>
        <w:tc>
          <w:tcPr>
            <w:tcW w:w="1276" w:type="dxa"/>
            <w:vAlign w:val="center"/>
          </w:tcPr>
          <w:p w:rsidR="00D554B6" w:rsidRDefault="00785D46">
            <w:pPr>
              <w:jc w:val="center"/>
            </w:pPr>
            <w:r>
              <w:rPr>
                <w:rFonts w:eastAsiaTheme="minorEastAsia"/>
                <w:kern w:val="0"/>
                <w:szCs w:val="21"/>
              </w:rPr>
              <w:t>002236</w:t>
            </w:r>
          </w:p>
        </w:tc>
        <w:tc>
          <w:tcPr>
            <w:tcW w:w="1701" w:type="dxa"/>
            <w:vAlign w:val="center"/>
          </w:tcPr>
          <w:p w:rsidR="00D554B6" w:rsidRDefault="00785D46">
            <w:pPr>
              <w:jc w:val="center"/>
            </w:pPr>
            <w:r>
              <w:rPr>
                <w:rFonts w:eastAsiaTheme="minorEastAsia"/>
                <w:kern w:val="0"/>
                <w:szCs w:val="21"/>
              </w:rPr>
              <w:t>大华股份</w:t>
            </w:r>
          </w:p>
        </w:tc>
        <w:tc>
          <w:tcPr>
            <w:tcW w:w="1276" w:type="dxa"/>
            <w:vAlign w:val="center"/>
          </w:tcPr>
          <w:p w:rsidR="00D554B6" w:rsidRDefault="00785D46">
            <w:pPr>
              <w:jc w:val="right"/>
            </w:pPr>
            <w:r>
              <w:rPr>
                <w:rFonts w:eastAsiaTheme="minorEastAsia"/>
                <w:kern w:val="0"/>
                <w:szCs w:val="21"/>
              </w:rPr>
              <w:t>720,600.00</w:t>
            </w:r>
          </w:p>
        </w:tc>
        <w:tc>
          <w:tcPr>
            <w:tcW w:w="1842" w:type="dxa"/>
            <w:vAlign w:val="center"/>
          </w:tcPr>
          <w:p w:rsidR="00D554B6" w:rsidRDefault="00785D46">
            <w:pPr>
              <w:jc w:val="right"/>
            </w:pPr>
            <w:r>
              <w:rPr>
                <w:rFonts w:eastAsiaTheme="minorEastAsia"/>
                <w:kern w:val="0"/>
                <w:szCs w:val="21"/>
              </w:rPr>
              <w:t>14,231,850.00</w:t>
            </w:r>
          </w:p>
        </w:tc>
        <w:tc>
          <w:tcPr>
            <w:tcW w:w="1616" w:type="dxa"/>
            <w:vAlign w:val="center"/>
          </w:tcPr>
          <w:p w:rsidR="00D554B6" w:rsidRDefault="00785D46">
            <w:pPr>
              <w:jc w:val="right"/>
            </w:pPr>
            <w:r>
              <w:rPr>
                <w:rFonts w:eastAsiaTheme="minorEastAsia"/>
                <w:kern w:val="0"/>
                <w:szCs w:val="21"/>
              </w:rPr>
              <w:t>2.84</w:t>
            </w:r>
          </w:p>
        </w:tc>
      </w:tr>
      <w:tr w:rsidR="00D554B6">
        <w:tc>
          <w:tcPr>
            <w:tcW w:w="817" w:type="dxa"/>
            <w:vAlign w:val="center"/>
          </w:tcPr>
          <w:p w:rsidR="00D554B6" w:rsidRDefault="00785D46">
            <w:pPr>
              <w:jc w:val="center"/>
            </w:pPr>
            <w:r>
              <w:rPr>
                <w:rFonts w:eastAsiaTheme="minorEastAsia"/>
                <w:kern w:val="0"/>
                <w:szCs w:val="21"/>
              </w:rPr>
              <w:t>10</w:t>
            </w:r>
          </w:p>
        </w:tc>
        <w:tc>
          <w:tcPr>
            <w:tcW w:w="1276" w:type="dxa"/>
            <w:vAlign w:val="center"/>
          </w:tcPr>
          <w:p w:rsidR="00D554B6" w:rsidRDefault="00785D46">
            <w:pPr>
              <w:jc w:val="center"/>
            </w:pPr>
            <w:r>
              <w:rPr>
                <w:rFonts w:eastAsiaTheme="minorEastAsia"/>
                <w:kern w:val="0"/>
                <w:szCs w:val="21"/>
              </w:rPr>
              <w:t>002558</w:t>
            </w:r>
          </w:p>
        </w:tc>
        <w:tc>
          <w:tcPr>
            <w:tcW w:w="1701" w:type="dxa"/>
            <w:vAlign w:val="center"/>
          </w:tcPr>
          <w:p w:rsidR="00D554B6" w:rsidRDefault="00785D46">
            <w:pPr>
              <w:jc w:val="center"/>
            </w:pPr>
            <w:r>
              <w:rPr>
                <w:rFonts w:eastAsiaTheme="minorEastAsia"/>
                <w:kern w:val="0"/>
                <w:szCs w:val="21"/>
              </w:rPr>
              <w:t>巨人网络</w:t>
            </w:r>
          </w:p>
        </w:tc>
        <w:tc>
          <w:tcPr>
            <w:tcW w:w="1276" w:type="dxa"/>
            <w:vAlign w:val="center"/>
          </w:tcPr>
          <w:p w:rsidR="00D554B6" w:rsidRDefault="00785D46">
            <w:pPr>
              <w:jc w:val="right"/>
            </w:pPr>
            <w:r>
              <w:rPr>
                <w:rFonts w:eastAsiaTheme="minorEastAsia"/>
                <w:kern w:val="0"/>
                <w:szCs w:val="21"/>
              </w:rPr>
              <w:t>781,300.00</w:t>
            </w:r>
          </w:p>
        </w:tc>
        <w:tc>
          <w:tcPr>
            <w:tcW w:w="1842" w:type="dxa"/>
            <w:vAlign w:val="center"/>
          </w:tcPr>
          <w:p w:rsidR="00D554B6" w:rsidRDefault="00785D46">
            <w:pPr>
              <w:jc w:val="right"/>
            </w:pPr>
            <w:r>
              <w:rPr>
                <w:rFonts w:eastAsiaTheme="minorEastAsia"/>
                <w:kern w:val="0"/>
                <w:szCs w:val="21"/>
              </w:rPr>
              <w:t>14,008,709.00</w:t>
            </w:r>
          </w:p>
        </w:tc>
        <w:tc>
          <w:tcPr>
            <w:tcW w:w="1616" w:type="dxa"/>
            <w:vAlign w:val="center"/>
          </w:tcPr>
          <w:p w:rsidR="00D554B6" w:rsidRDefault="00785D46">
            <w:pPr>
              <w:jc w:val="right"/>
            </w:pPr>
            <w:r>
              <w:rPr>
                <w:rFonts w:eastAsiaTheme="minorEastAsia"/>
                <w:kern w:val="0"/>
                <w:szCs w:val="21"/>
              </w:rPr>
              <w:t>2.79</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785D46" w:rsidRPr="00B847FB" w:rsidRDefault="005C671B" w:rsidP="00785D46">
      <w:pPr>
        <w:spacing w:line="360" w:lineRule="auto"/>
        <w:rPr>
          <w:b/>
          <w:bCs/>
          <w:color w:val="000000"/>
          <w:kern w:val="0"/>
          <w:szCs w:val="21"/>
        </w:rPr>
      </w:pPr>
      <w:r w:rsidRPr="00B27A29">
        <w:rPr>
          <w:rFonts w:eastAsiaTheme="minorEastAsia"/>
          <w:color w:val="000000" w:themeColor="text1"/>
          <w:szCs w:val="21"/>
        </w:rPr>
        <w:t>5.11.1</w:t>
      </w:r>
      <w:r w:rsidR="00785D46">
        <w:rPr>
          <w:b/>
          <w:bCs/>
          <w:color w:val="000000"/>
          <w:kern w:val="0"/>
          <w:szCs w:val="21"/>
        </w:rPr>
        <w:t xml:space="preserve"> </w:t>
      </w:r>
      <w:r w:rsidR="00785D46">
        <w:rPr>
          <w:rFonts w:hint="eastAsia"/>
          <w:color w:val="000000"/>
        </w:rPr>
        <w:t>本基金投资的前十名证券的发行主体中，三七互娱网络科技集团股份有限公司（股票代码</w:t>
      </w:r>
      <w:r w:rsidR="00785D46">
        <w:rPr>
          <w:rFonts w:hint="eastAsia"/>
          <w:color w:val="000000"/>
        </w:rPr>
        <w:t>002555</w:t>
      </w:r>
      <w:r w:rsidR="00785D46">
        <w:rPr>
          <w:rFonts w:hint="eastAsia"/>
          <w:color w:val="000000"/>
        </w:rPr>
        <w:t>）在报告编制日前一年内曾受到中国证监会的立案调查。</w:t>
      </w:r>
    </w:p>
    <w:p w:rsidR="00785D46" w:rsidRDefault="00785D46" w:rsidP="00785D46">
      <w:pPr>
        <w:spacing w:line="360" w:lineRule="auto"/>
        <w:rPr>
          <w:color w:val="000000"/>
        </w:rPr>
      </w:pPr>
      <w:r>
        <w:rPr>
          <w:rFonts w:hint="eastAsia"/>
          <w:color w:val="000000"/>
        </w:rPr>
        <w:t>本基金对上述主体所发行证券的投资决策程序符合相关法律法规、基金合同及公司投资制度的要求。</w:t>
      </w:r>
    </w:p>
    <w:p w:rsidR="005E6DF3" w:rsidRPr="00B847FB" w:rsidRDefault="00785D46" w:rsidP="00B847FB">
      <w:pPr>
        <w:spacing w:line="360" w:lineRule="auto"/>
        <w:rPr>
          <w:color w:val="000000"/>
        </w:rPr>
      </w:pPr>
      <w:r>
        <w:rPr>
          <w:rFonts w:hint="eastAsia"/>
          <w:color w:val="000000"/>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202,974.28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341,983.30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544,957.58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摩根智慧互联股票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529,585,277.24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24,716,329.29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28,165,772.82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4,552,963.60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28,098,913.05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26,061,803.17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529,652,137.01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3,207,489.72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摩根智慧互联股票型证券投资基金基金合同</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摩根智慧互联股票型证券投资基金托管协议</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D554B6" w:rsidRDefault="00785D4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二〇二三年七月十八日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847F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847FB">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847FB">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摩根智慧互联股票型证券投资基金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5D46"/>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47FB"/>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4B6"/>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8702">
      <w:bodyDiv w:val="1"/>
      <w:marLeft w:val="0"/>
      <w:marRight w:val="0"/>
      <w:marTop w:val="0"/>
      <w:marBottom w:val="0"/>
      <w:divBdr>
        <w:top w:val="none" w:sz="0" w:space="0" w:color="auto"/>
        <w:left w:val="none" w:sz="0" w:space="0" w:color="auto"/>
        <w:bottom w:val="none" w:sz="0" w:space="0" w:color="auto"/>
        <w:right w:val="none" w:sz="0" w:space="0" w:color="auto"/>
      </w:divBdr>
    </w:div>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77AC23-82AC-41A9-B916-CF8B4323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1202</Words>
  <Characters>6856</Characters>
  <Application>Microsoft Office Word</Application>
  <DocSecurity>0</DocSecurity>
  <Lines>57</Lines>
  <Paragraphs>16</Paragraphs>
  <ScaleCrop>false</ScaleCrop>
  <Company>TRT. Ltd. Co.</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220</cp:revision>
  <cp:lastPrinted>2007-07-19T00:46:00Z</cp:lastPrinted>
  <dcterms:created xsi:type="dcterms:W3CDTF">2013-06-21T06:56:00Z</dcterms:created>
  <dcterms:modified xsi:type="dcterms:W3CDTF">2023-07-17T08:34:00Z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