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44C15BAA"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8E65E7A"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8C3405E"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05892C05"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7A6A756F"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1281750"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上投摩根智慧互联股票型证券投资基金</w:t>
      </w:r>
    </w:p>
    <w:p w14:paraId="5A1338CB"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2021年第2季度报告</w:t>
      </w:r>
    </w:p>
    <w:p w14:paraId="2E76B0B1"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2021年6月30日</w:t>
      </w:r>
    </w:p>
    <w:p w14:paraId="1A655430" w14:textId="77777777" w:rsidR="00D06738" w:rsidRDefault="00D06738" w:rsidRPr="00FF6B9A">
      <w:pPr>
        <w:spacing w:line="360" w:lineRule="auto"/>
        <w:jc w:val="center"/>
        <w:rPr>
          <w:rFonts w:eastAsiaTheme="minorEastAsia"/>
          <w:b/>
          <w:bCs/>
          <w:color w:themeColor="text1" w:val="000000"/>
          <w:sz w:val="24"/>
          <w:szCs w:val="24"/>
        </w:rPr>
      </w:pPr>
    </w:p>
    <w:p w14:paraId="3C5B7FC4" w14:textId="77777777" w:rsidR="00D06738" w:rsidRDefault="00D06738" w:rsidRPr="00FF6B9A">
      <w:pPr>
        <w:spacing w:line="360" w:lineRule="auto"/>
        <w:jc w:val="center"/>
        <w:rPr>
          <w:rFonts w:eastAsiaTheme="minorEastAsia"/>
          <w:b/>
          <w:bCs/>
          <w:color w:themeColor="text1" w:val="000000"/>
          <w:sz w:val="24"/>
          <w:szCs w:val="24"/>
        </w:rPr>
      </w:pPr>
    </w:p>
    <w:p w14:paraId="1D41633D" w14:textId="77777777" w:rsidR="00D06738" w:rsidRDefault="00D06738" w:rsidRPr="00FF6B9A">
      <w:pPr>
        <w:spacing w:line="360" w:lineRule="auto"/>
        <w:jc w:val="center"/>
        <w:rPr>
          <w:rFonts w:eastAsiaTheme="minorEastAsia"/>
          <w:b/>
          <w:bCs/>
          <w:color w:themeColor="text1" w:val="000000"/>
          <w:sz w:val="24"/>
          <w:szCs w:val="24"/>
        </w:rPr>
      </w:pPr>
    </w:p>
    <w:p w14:paraId="7088D740" w14:textId="77777777" w:rsidR="00D06738" w:rsidRDefault="00D06738" w:rsidRPr="00FF6B9A">
      <w:pPr>
        <w:spacing w:line="360" w:lineRule="auto"/>
        <w:jc w:val="center"/>
        <w:rPr>
          <w:rFonts w:eastAsiaTheme="minorEastAsia"/>
          <w:b/>
          <w:bCs/>
          <w:color w:themeColor="text1" w:val="000000"/>
          <w:sz w:val="24"/>
          <w:szCs w:val="24"/>
        </w:rPr>
      </w:pPr>
    </w:p>
    <w:p w14:paraId="4CB6A604" w14:textId="77777777" w:rsidR="00D06738" w:rsidRDefault="00D06738" w:rsidRPr="00FF6B9A">
      <w:pPr>
        <w:spacing w:line="360" w:lineRule="auto"/>
        <w:jc w:val="center"/>
        <w:rPr>
          <w:rFonts w:eastAsiaTheme="minorEastAsia"/>
          <w:b/>
          <w:bCs/>
          <w:color w:themeColor="text1" w:val="000000"/>
          <w:sz w:val="24"/>
          <w:szCs w:val="24"/>
        </w:rPr>
      </w:pPr>
    </w:p>
    <w:p w14:paraId="160BB35C" w14:textId="77777777" w:rsidR="00D06738" w:rsidRDefault="00D06738" w:rsidRPr="00FF6B9A">
      <w:pPr>
        <w:spacing w:line="360" w:lineRule="auto"/>
        <w:jc w:val="center"/>
        <w:rPr>
          <w:rFonts w:eastAsiaTheme="minorEastAsia"/>
          <w:b/>
          <w:bCs/>
          <w:color w:themeColor="text1" w:val="000000"/>
          <w:sz w:val="24"/>
          <w:szCs w:val="24"/>
        </w:rPr>
      </w:pPr>
    </w:p>
    <w:p w14:paraId="59EC83F9" w14:textId="77777777" w:rsidR="00D06738" w:rsidRDefault="00D06738" w:rsidRPr="00FF6B9A">
      <w:pPr>
        <w:spacing w:line="360" w:lineRule="auto"/>
        <w:jc w:val="center"/>
        <w:rPr>
          <w:rFonts w:eastAsiaTheme="minorEastAsia"/>
          <w:b/>
          <w:bCs/>
          <w:color w:themeColor="text1" w:val="000000"/>
          <w:sz w:val="24"/>
          <w:szCs w:val="24"/>
        </w:rPr>
      </w:pPr>
    </w:p>
    <w:p w14:paraId="618FC018" w14:textId="77777777" w:rsidR="00D06738" w:rsidRDefault="00D06738" w:rsidRPr="00FF6B9A">
      <w:pPr>
        <w:spacing w:line="360" w:lineRule="auto"/>
        <w:jc w:val="center"/>
        <w:rPr>
          <w:rFonts w:eastAsiaTheme="minorEastAsia"/>
          <w:b/>
          <w:bCs/>
          <w:color w:themeColor="text1" w:val="000000"/>
          <w:sz w:val="24"/>
          <w:szCs w:val="24"/>
        </w:rPr>
      </w:pPr>
    </w:p>
    <w:p w14:paraId="62C95459" w14:textId="77777777" w:rsidR="00D06738" w:rsidRDefault="00D06738" w:rsidRPr="00FF6B9A">
      <w:pPr>
        <w:spacing w:line="360" w:lineRule="auto"/>
        <w:jc w:val="center"/>
        <w:rPr>
          <w:rFonts w:eastAsiaTheme="minorEastAsia"/>
          <w:b/>
          <w:bCs/>
          <w:color w:themeColor="text1" w:val="000000"/>
          <w:sz w:val="24"/>
          <w:szCs w:val="24"/>
        </w:rPr>
      </w:pPr>
    </w:p>
    <w:p w14:paraId="60B5CF4B" w14:textId="77777777" w:rsidR="00D06738" w:rsidRDefault="00D06738" w:rsidRPr="00FF6B9A">
      <w:pPr>
        <w:spacing w:line="360" w:lineRule="auto"/>
        <w:jc w:val="center"/>
        <w:rPr>
          <w:rFonts w:eastAsiaTheme="minorEastAsia"/>
          <w:b/>
          <w:bCs/>
          <w:color w:themeColor="text1" w:val="000000"/>
          <w:sz w:val="24"/>
          <w:szCs w:val="24"/>
        </w:rPr>
      </w:pPr>
    </w:p>
    <w:p w14:paraId="39DE5ED7" w14:textId="77777777" w:rsidR="00D06738" w:rsidRDefault="00D06738" w:rsidRPr="00FF6B9A">
      <w:pPr>
        <w:spacing w:line="360" w:lineRule="auto"/>
        <w:jc w:val="center"/>
        <w:rPr>
          <w:rFonts w:eastAsiaTheme="minorEastAsia"/>
          <w:b/>
          <w:bCs/>
          <w:color w:themeColor="text1" w:val="000000"/>
          <w:sz w:val="24"/>
          <w:szCs w:val="24"/>
        </w:rPr>
      </w:pPr>
    </w:p>
    <w:p w14:paraId="22E93BD8" w14:textId="77777777" w:rsidR="00D06738" w:rsidRDefault="00D06738" w:rsidRPr="00FF6B9A">
      <w:pPr>
        <w:spacing w:line="360" w:lineRule="auto"/>
        <w:jc w:val="center"/>
        <w:rPr>
          <w:rFonts w:eastAsiaTheme="minorEastAsia"/>
          <w:b/>
          <w:bCs/>
          <w:color w:themeColor="text1" w:val="000000"/>
          <w:sz w:val="24"/>
          <w:szCs w:val="24"/>
        </w:rPr>
      </w:pPr>
    </w:p>
    <w:p w14:paraId="68A989DC" w14:textId="77777777" w:rsidR="00D06738" w:rsidRDefault="00D06738" w:rsidRPr="00FF6B9A">
      <w:pPr>
        <w:spacing w:line="360" w:lineRule="auto"/>
        <w:jc w:val="center"/>
        <w:rPr>
          <w:rFonts w:eastAsiaTheme="minorEastAsia"/>
          <w:b/>
          <w:bCs/>
          <w:color w:themeColor="text1" w:val="000000"/>
          <w:sz w:val="24"/>
          <w:szCs w:val="24"/>
        </w:rPr>
      </w:pPr>
    </w:p>
    <w:p w14:paraId="4B1AA632" w14:textId="77777777" w:rsidR="00D06738" w:rsidRDefault="00D06738" w:rsidRPr="00FF6B9A">
      <w:pPr>
        <w:spacing w:line="360" w:lineRule="auto"/>
        <w:rPr>
          <w:rFonts w:eastAsiaTheme="minorEastAsia"/>
          <w:b/>
          <w:bCs/>
          <w:color w:themeColor="text1" w:val="000000"/>
          <w:sz w:val="24"/>
          <w:szCs w:val="24"/>
        </w:rPr>
      </w:pPr>
    </w:p>
    <w:p w14:paraId="5866ADDF" w14:textId="77777777" w:rsidR="00D06738" w:rsidRDefault="00454D20" w:rsidRPr="00FF6B9A">
      <w:pPr>
        <w:spacing w:line="360" w:lineRule="auto"/>
        <w:ind w:firstLine="2168" w:firstLineChars="900"/>
        <w:rPr>
          <w:rFonts w:eastAsiaTheme="minorEastAsia"/>
          <w:b/>
          <w:color w:themeColor="text1" w:val="000000"/>
          <w:sz w:val="24"/>
          <w:szCs w:val="24"/>
        </w:rPr>
      </w:pPr>
      <w:r w:rsidRPr="00FF6B9A">
        <w:rPr>
          <w:rFonts w:eastAsiaTheme="minorEastAsia"/>
          <w:b/>
          <w:color w:themeColor="text1" w:val="000000"/>
          <w:sz w:val="24"/>
          <w:szCs w:val="24"/>
        </w:rPr>
        <w:t>基金管理人：</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上投摩根基金管理有限公司</w:t>
      </w:r>
    </w:p>
    <w:p w14:paraId="76291874" w14:textId="77777777" w:rsidR="00D06738" w:rsidRDefault="00454D20" w:rsidRPr="00FF6B9A">
      <w:pPr>
        <w:spacing w:line="360" w:lineRule="auto"/>
        <w:ind w:firstLine="2168" w:firstLineChars="900"/>
        <w:rPr>
          <w:rFonts w:eastAsiaTheme="minorEastAsia"/>
          <w:b/>
          <w:color w:themeColor="text1" w:val="000000"/>
          <w:sz w:val="24"/>
          <w:szCs w:val="24"/>
        </w:rPr>
      </w:pPr>
      <w:r w:rsidRPr="00FF6B9A">
        <w:rPr>
          <w:rFonts w:eastAsiaTheme="minorEastAsia"/>
          <w:b/>
          <w:color w:themeColor="text1" w:val="000000"/>
          <w:sz w:val="24"/>
          <w:szCs w:val="24"/>
        </w:rPr>
        <w:t>基金托管人：</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中国工商银行股份有限公司</w:t>
      </w:r>
    </w:p>
    <w:p w14:paraId="219C0F2E" w14:textId="77777777" w:rsidR="00D06738" w:rsidRDefault="00454D20" w:rsidRPr="00FF6B9A">
      <w:pPr>
        <w:spacing w:line="360" w:lineRule="auto"/>
        <w:ind w:firstLine="2168" w:firstLineChars="900"/>
        <w:rPr>
          <w:rFonts w:eastAsiaTheme="minorEastAsia"/>
          <w:b/>
          <w:color w:themeColor="text1" w:val="000000"/>
          <w:sz w:val="24"/>
          <w:szCs w:val="24"/>
        </w:rPr>
        <w:sectPr w:rsidR="00D06738" w:rsidRPr="00FF6B9A">
          <w:headerReference r:id="rId8" w:type="default"/>
          <w:footerReference r:id="rId9" w:type="default"/>
          <w:pgSz w:h="15840" w:w="11926"/>
          <w:pgMar w:bottom="851" w:footer="992" w:gutter="0" w:header="851" w:left="1418" w:right="1418" w:top="1418"/>
          <w:cols w:space="720"/>
        </w:sectPr>
      </w:pPr>
      <w:r w:rsidRPr="00FF6B9A">
        <w:rPr>
          <w:rFonts w:eastAsiaTheme="minorEastAsia"/>
          <w:b/>
          <w:color w:themeColor="text1" w:val="000000"/>
          <w:sz w:val="24"/>
          <w:szCs w:val="24"/>
        </w:rPr>
        <w:t>报告送出日期：</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二〇二一年七月二十一日</w:t>
      </w:r>
    </w:p>
    <w:p w14:paraId="7AFF270F" w14:textId="77777777" w:rsidR="00D06738" w:rsidRDefault="00454D20" w:rsidRPr="00FF6B9A">
      <w:pPr>
        <w:pStyle w:val="1"/>
        <w:spacing w:after="312" w:afterLines="100" w:before="312" w:beforeLines="100" w:line="360" w:lineRule="auto"/>
        <w:jc w:val="center"/>
        <w:rPr>
          <w:rFonts w:eastAsiaTheme="minorEastAsia"/>
          <w:b w:val="0"/>
          <w:bCs w:val="0"/>
          <w:color w:themeColor="text1" w:val="000000"/>
          <w:kern w:val="0"/>
          <w:sz w:val="24"/>
          <w:szCs w:val="24"/>
        </w:rPr>
      </w:pPr>
      <w:r w:rsidRPr="00FF6B9A">
        <w:rPr>
          <w:rFonts w:eastAsiaTheme="minorEastAsia"/>
          <w:color w:themeColor="text1" w:val="000000"/>
          <w:kern w:val="0"/>
          <w:sz w:val="24"/>
          <w:szCs w:val="24"/>
        </w:rPr>
        <w:lastRenderedPageBreak/>
        <w:t xml:space="preserve">§1  </w:t>
      </w:r>
      <w:r w:rsidRPr="00FF6B9A">
        <w:rPr>
          <w:rFonts w:eastAsiaTheme="minorEastAsia"/>
          <w:color w:themeColor="text1" w:val="000000"/>
          <w:kern w:val="0"/>
          <w:sz w:val="24"/>
          <w:szCs w:val="24"/>
        </w:rPr>
        <w:t>重要提示</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基金托管人中国工商银行股份有限公司根据本基金合同规定，于2021年7月20日复核了本报告中的财务指标、净值表现和投资组合报告等内容，保证复核内容不存在虚假记载、误导性陈述或者重大遗漏。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rPr>
      </w:pPr>
      <w:r>
        <w:rPr>
          <w:rFonts w:eastAsiaTheme="minorEastAsia"/>
          <w:color w:themeColor="text1" w:val="000000"/>
        </w:rPr>
        <w:t>本报告中财务资料未经审计。</w:t>
      </w:r>
    </w:p>
    <w:p w14:paraId="298A5200"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本报告期自2021年4月1日起至6月30日止。</w:t>
      </w:r>
    </w:p>
    <w:p w14:paraId="3A78A50A"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§2  </w:t>
      </w:r>
      <w:r w:rsidRPr="00FF6B9A">
        <w:rPr>
          <w:rFonts w:eastAsiaTheme="minor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rsidRPr="00FF6B9A">
        <w:tc>
          <w:tcPr>
            <w:tcW w:type="dxa" w:w="2835"/>
            <w:vAlign w:val="center"/>
          </w:tcPr>
          <w:p w14:paraId="41603EB5"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基金简称</w:t>
            </w:r>
          </w:p>
        </w:tc>
        <w:tc>
          <w:tcPr>
            <w:tcW w:type="dxa" w:w="5479"/>
            <w:gridSpan w:val="2"/>
            <w:vAlign w:val="center"/>
          </w:tcPr>
          <w:p w14:paraId="245289EF"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上投摩根智慧互联股票</w:t>
            </w:r>
          </w:p>
        </w:tc>
      </w:tr>
      <w:tr w14:paraId="6487C456" w14:textId="77777777" w:rsidR="00D06738" w:rsidRPr="00FF6B9A">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001313</w:t>
            </w:r>
          </w:p>
        </w:tc>
      </w:tr>
      <w:tr w14:paraId="2443AB88" w14:textId="77777777" w:rsidR="00D06738" w:rsidRPr="00FF6B9A">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gramStart"/>
            <w:r w:rsidRPr="00FF6B9A">
              <w:rPr>
                <w:rFonts w:eastAsiaTheme="minorEastAsia"/>
                <w:color w:themeColor="text1" w:val="000000"/>
                <w:kern w:val="0"/>
              </w:rPr>
              <w:t/>
            </w:r>
            <w:proofErr w:type="spellEnd"/>
            <w:r w:rsidRPr="00FF6B9A">
              <w:rPr>
                <w:rFonts w:eastAsiaTheme="minorEastAsia"/>
                <w:color w:themeColor="text1" w:val="000000"/>
                <w:kern w:val="0"/>
              </w:rPr>
              <w:t/>
            </w:r>
            <w:proofErr w:type="spellStart"/>
            <w:proofErr w:type="gramEnd"/>
            <w:r w:rsidRPr="00FF6B9A">
              <w:rPr>
                <w:rFonts w:eastAsiaTheme="minorEastAsia"/>
                <w:color w:themeColor="text1" w:val="000000"/>
                <w:kern w:val="0"/>
              </w:rPr>
              <w:t/>
            </w:r>
            <w:proofErr w:type="spellEnd"/>
            <w:r w:rsidRPr="00FF6B9A">
              <w:rPr>
                <w:rFonts w:eastAsiaTheme="minorEastAsia"/>
                <w:color w:themeColor="text1" w:val="000000"/>
                <w:kern w:val="0"/>
              </w:rPr>
              <w:t>001313</w:t>
            </w:r>
          </w:p>
        </w:tc>
      </w:tr>
      <w:tr w14:paraId="7AF1FD7C" w14:textId="77777777" w:rsidR="00D06738" w:rsidRPr="00FF6B9A">
        <w:tc>
          <w:tcPr>
            <w:tcW w:type="dxa" w:w="2835"/>
            <w:vAlign w:val="center"/>
          </w:tcPr>
          <w:p w14:paraId="042D4F2C"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基金运作方式</w:t>
            </w:r>
          </w:p>
        </w:tc>
        <w:tc>
          <w:tcPr>
            <w:tcW w:type="dxa" w:w="5479"/>
            <w:gridSpan w:val="2"/>
            <w:vAlign w:val="center"/>
          </w:tcPr>
          <w:p w14:paraId="594303B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契约型开放式</w:t>
            </w:r>
          </w:p>
        </w:tc>
      </w:tr>
      <w:tr w14:paraId="5E254ABC" w14:textId="77777777" w:rsidR="00D06738" w:rsidRPr="00FF6B9A">
        <w:tc>
          <w:tcPr>
            <w:tcW w:type="dxa" w:w="2835"/>
            <w:vAlign w:val="center"/>
          </w:tcPr>
          <w:p w14:paraId="309669DF"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基金合同生效日</w:t>
            </w:r>
          </w:p>
        </w:tc>
        <w:tc>
          <w:tcPr>
            <w:tcW w:type="dxa" w:w="5479"/>
            <w:gridSpan w:val="2"/>
            <w:vAlign w:val="center"/>
          </w:tcPr>
          <w:p w14:paraId="1568522D"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2015年6月9日</w:t>
            </w:r>
          </w:p>
        </w:tc>
      </w:tr>
      <w:tr w14:paraId="06DF9713" w14:textId="77777777" w:rsidR="00D06738" w:rsidRPr="00FF6B9A">
        <w:tc>
          <w:tcPr>
            <w:tcW w:type="dxa" w:w="2835"/>
            <w:vAlign w:val="center"/>
          </w:tcPr>
          <w:p w14:paraId="57B0E596"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报告期末基金份额总额</w:t>
            </w:r>
          </w:p>
        </w:tc>
        <w:tc>
          <w:tcPr>
            <w:tcW w:type="dxa" w:w="5479"/>
            <w:gridSpan w:val="2"/>
            <w:vAlign w:val="center"/>
          </w:tcPr>
          <w:p w14:paraId="38649CC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578,497,480.97</w:t>
            </w:r>
            <w:r w:rsidRPr="00FF6B9A">
              <w:rPr>
                <w:rFonts w:eastAsiaTheme="minorEastAsia"/>
                <w:color w:themeColor="text1" w:val="000000"/>
                <w:kern w:val="0"/>
              </w:rPr>
              <w:t>份</w:t>
            </w:r>
          </w:p>
        </w:tc>
      </w:tr>
      <w:tr w14:paraId="03D1AE98" w14:textId="77777777" w:rsidR="00D06738" w:rsidRPr="00FF6B9A">
        <w:tc>
          <w:tcPr>
            <w:tcW w:type="dxa" w:w="2835"/>
            <w:vAlign w:val="center"/>
          </w:tcPr>
          <w:p w14:paraId="4AB3756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投资目标</w:t>
            </w:r>
          </w:p>
        </w:tc>
        <w:tc>
          <w:tcPr>
            <w:tcW w:type="dxa" w:w="5479"/>
            <w:gridSpan w:val="2"/>
            <w:vAlign w:val="center"/>
          </w:tcPr>
          <w:p w14:paraId="61AB4DB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采用定量及定性研究方法，自下而上优选互联网主题上市公司，通过严格的风险控制，力争实现基金资产的长期增值。</w:t>
            </w:r>
          </w:p>
        </w:tc>
      </w:tr>
      <w:tr w14:paraId="0CFEC550" w14:textId="77777777" w:rsidR="00D06738" w:rsidRPr="00FF6B9A">
        <w:tc>
          <w:tcPr>
            <w:tcW w:type="dxa" w:w="2835"/>
            <w:vAlign w:val="center"/>
          </w:tcPr>
          <w:p w14:paraId="1E239E6A"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投资策略</w:t>
            </w:r>
          </w:p>
        </w:tc>
        <w:tc>
          <w:tcPr>
            <w:tcW w:type="dxa" w:w="5479"/>
            <w:gridSpan w:val="2"/>
            <w:vAlign w:val="center"/>
          </w:tcPr>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本基金将专注于互联网主题投资，对其相关行业的发展进行密切跟踪，充分把握互联网概念企业的投资机会。</w:t>
            </w:r>
          </w:p>
          <w:p>
            <w:pPr>
              <w:adjustRightInd w:val="0"/>
              <w:spacing w:before="29" w:line="360" w:lineRule="auto"/>
              <w:ind w:left="17"/>
              <w:rPr>
                <w:rFonts w:eastAsiaTheme="minorEastAsia"/>
                <w:color w:themeColor="text1" w:val="000000"/>
              </w:rPr>
            </w:pPr>
            <w:r>
              <w:rPr>
                <w:rFonts w:eastAsiaTheme="minorEastAsia"/>
                <w:color w:themeColor="text1" w:val="000000"/>
                <w:kern w:val="0"/>
              </w:rPr>
              <w:t>在资产配置层面，本基金将根据各类证券的风险收益特征的相对变化，适度的调整确定基金资产在股票、债券及现金等类别资产间的分配比例，动态优化投资组合。</w:t>
            </w:r>
          </w:p>
          <w:p w14:paraId="57810DE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在个股选择层面，本基金主要采取“自下而上”的选股策略，基于对互联网主题相关的上市公司盈利水平、成长性和估值水平的综合考量，使用定性与定量相结合的方法精选股票进行投资。</w:t>
            </w:r>
          </w:p>
        </w:tc>
      </w:tr>
      <w:tr w14:paraId="43AD7C9F" w14:textId="77777777" w:rsidR="00D06738" w:rsidRPr="00FF6B9A">
        <w:tc>
          <w:tcPr>
            <w:tcW w:type="dxa" w:w="2835"/>
            <w:vAlign w:val="center"/>
          </w:tcPr>
          <w:p w14:paraId="24E44D9B"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业绩比较基准</w:t>
            </w:r>
          </w:p>
        </w:tc>
        <w:tc>
          <w:tcPr>
            <w:tcW w:type="dxa" w:w="5479"/>
            <w:gridSpan w:val="2"/>
            <w:vAlign w:val="center"/>
          </w:tcPr>
          <w:p w14:paraId="6581E7FB"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中证800指数收益率×85%+中债总指数收益率×15%</w:t>
            </w:r>
          </w:p>
        </w:tc>
      </w:tr>
      <w:tr w14:paraId="42EA0DB3" w14:textId="77777777" w:rsidR="00D06738" w:rsidRPr="00FF6B9A">
        <w:tc>
          <w:tcPr>
            <w:tcW w:type="dxa" w:w="2835"/>
            <w:vAlign w:val="center"/>
          </w:tcPr>
          <w:p w14:paraId="7192C3F0"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风险收益特征</w:t>
            </w:r>
          </w:p>
        </w:tc>
        <w:tc>
          <w:tcPr>
            <w:tcW w:type="dxa" w:w="5479"/>
            <w:gridSpan w:val="2"/>
            <w:vAlign w:val="center"/>
          </w:tcPr>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本基金属于股票型基金产品，预期风险和收益水平高于混合型基金、债券型基金和货币市场基金，属于较高风险收益水平的基金产品。</w:t>
            </w:r>
          </w:p>
          <w:p w14:paraId="2673C8C6"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rsidRPr="00FF6B9A">
        <w:tc>
          <w:tcPr>
            <w:tcW w:type="dxa" w:w="2835"/>
            <w:vAlign w:val="center"/>
          </w:tcPr>
          <w:p w14:paraId="281C6797"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基金管理人</w:t>
            </w:r>
          </w:p>
        </w:tc>
        <w:tc>
          <w:tcPr>
            <w:tcW w:type="dxa" w:w="5479"/>
            <w:gridSpan w:val="2"/>
            <w:vAlign w:val="center"/>
          </w:tcPr>
          <w:p w14:paraId="64BEE458"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上投摩根基金管理有限公司</w:t>
            </w:r>
          </w:p>
        </w:tc>
      </w:tr>
      <w:tr w14:paraId="76894E86" w14:textId="77777777" w:rsidR="00D06738" w:rsidRPr="00FF6B9A">
        <w:tc>
          <w:tcPr>
            <w:tcW w:type="dxa" w:w="2835"/>
            <w:vAlign w:val="center"/>
          </w:tcPr>
          <w:p w14:paraId="7825DD9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基金托管人</w:t>
            </w:r>
          </w:p>
        </w:tc>
        <w:tc>
          <w:tcPr>
            <w:tcW w:type="dxa" w:w="5479"/>
            <w:gridSpan w:val="2"/>
            <w:vAlign w:val="center"/>
          </w:tcPr>
          <w:p w14:paraId="5FB3246D"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中国工商银行股份有限公司</w:t>
            </w:r>
          </w:p>
        </w:tc>
      </w:tr>
    </w:tbl>
    <w:p w14:paraId="0FD2B1FF"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§3  </w:t>
      </w:r>
      <w:r w:rsidRPr="00FF6B9A">
        <w:rPr>
          <w:rFonts w:eastAsiaTheme="minorEastAsia"/>
          <w:color w:themeColor="text1" w:val="000000"/>
          <w:kern w:val="0"/>
          <w:sz w:val="24"/>
          <w:szCs w:val="24"/>
        </w:rPr>
        <w:t>主要财务指标和基金净值表现</w:t>
      </w:r>
    </w:p>
    <w:p w14:paraId="210337B7"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3.1 </w:t>
      </w:r>
      <w:r w:rsidRPr="00FF6B9A">
        <w:rPr>
          <w:rFonts w:eastAsiaTheme="minorEastAsia"/>
          <w:b/>
          <w:bCs/>
          <w:color w:themeColor="text1" w:val="000000"/>
          <w:kern w:val="0"/>
          <w:sz w:val="24"/>
          <w:szCs w:val="24"/>
        </w:rPr>
        <w:t>主要财务指标</w:t>
      </w:r>
    </w:p>
    <w:p w14:paraId="137D242D"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rsidRPr="00FF6B9A">
        <w:tc>
          <w:tcPr>
            <w:tcW w:type="dxa" w:w="3402"/>
            <w:vAlign w:val="center"/>
          </w:tcPr>
          <w:p w14:paraId="42E18AC5" w14:textId="77777777" w:rsidR="00D06738" w:rsidRDefault="00454D20" w:rsidRPr="00FF6B9A">
            <w:pPr>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lastRenderedPageBreak/>
              <w:t>主要财务指标</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4962"/>
            <w:hMerge w:val="restart"/>
            <w:vAlign w:val="center"/>
          </w:tcPr>
          <w:p w14:paraId="619578C9"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报告期</w:t>
            </w:r>
          </w:p>
          <w:p w14:paraId="3E47B353"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w:t>
            </w:r>
            <w:proofErr w:type="spellStart"/>
            <w:r w:rsidRPr="00FF6B9A">
              <w:rPr>
                <w:rFonts w:eastAsiaTheme="minorEastAsia"/>
                <w:color w:themeColor="text1" w:val="000000"/>
              </w:rPr>
              <w:t/>
            </w:r>
            <w:proofErr w:type="spellEnd"/>
            <w:r w:rsidRPr="00FF6B9A">
              <w:rPr>
                <w:rFonts w:eastAsiaTheme="minorEastAsia"/>
                <w:color w:themeColor="text1" w:val="000000"/>
              </w:rPr>
              <w:t>2021年4月1日-</w:t>
            </w:r>
            <w:proofErr w:type="spellStart"/>
            <w:r w:rsidRPr="00FF6B9A">
              <w:rPr>
                <w:rFonts w:eastAsiaTheme="minorEastAsia"/>
                <w:color w:themeColor="text1" w:val="000000"/>
              </w:rPr>
              <w:t/>
            </w:r>
            <w:proofErr w:type="spellEnd"/>
            <w:r w:rsidRPr="00FF6B9A">
              <w:rPr>
                <w:rFonts w:eastAsiaTheme="minorEastAsia"/>
                <w:color w:themeColor="text1" w:val="000000"/>
              </w:rPr>
              <w:t>2021年6月30日)</w:t>
            </w:r>
          </w:p>
        </w:tc>
        <w:tc>
          <w:tcPr>
            <w:tcW w:type="dxa" w:w="2410"/>
            <w:hMerge/>
            <w:vAlign w:val="center"/>
          </w:tcPr>
          <w:p w14:paraId="5FB75E1A"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上期金额</w:t>
            </w: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
            </w:r>
          </w:p>
        </w:tc>
      </w:tr>
      <w:tr w14:paraId="221834C8" w14:textId="77777777" w:rsidR="00D06738" w:rsidRPr="00FF6B9A">
        <w:tc>
          <w:tcPr>
            <w:tcW w:type="dxa" w:w="3402"/>
            <w:vAlign w:val="center"/>
          </w:tcPr>
          <w:p w14:paraId="19330D2C"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1.</w:t>
            </w:r>
            <w:r w:rsidRPr="00FF6B9A">
              <w:rPr>
                <w:rFonts w:eastAsiaTheme="minorEastAsia"/>
                <w:color w:themeColor="text1" w:val="000000"/>
                <w:kern w:val="0"/>
              </w:rPr>
              <w:t>本期已实现收益</w:t>
            </w:r>
          </w:p>
        </w:tc>
        <w:tc>
          <w:tcPr>
            <w:tcW w:type="dxa" w:w="4962"/>
            <w:hMerge w:val="restart"/>
            <w:vAlign w:val="center"/>
          </w:tcPr>
          <w:p w14:paraId="568D140B"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21,123,594.22</w:t>
            </w:r>
          </w:p>
        </w:tc>
        <w:tc>
          <w:tcPr>
            <w:tcW w:type="dxa" w:w="2410"/>
            <w:hMerge/>
            <w:vAlign w:val="center"/>
          </w:tcPr>
          <w:p w14:paraId="7D46D9A3"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10AEC81A" w14:textId="77777777" w:rsidR="00D06738" w:rsidRPr="00FF6B9A">
        <w:tc>
          <w:tcPr>
            <w:tcW w:type="dxa" w:w="3402"/>
            <w:vAlign w:val="center"/>
          </w:tcPr>
          <w:p w14:paraId="15ADAC28"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2.</w:t>
            </w:r>
            <w:r w:rsidRPr="00FF6B9A">
              <w:rPr>
                <w:rFonts w:eastAsiaTheme="minorEastAsia"/>
                <w:color w:themeColor="text1" w:val="000000"/>
                <w:kern w:val="0"/>
              </w:rPr>
              <w:t>本期利润</w:t>
            </w:r>
          </w:p>
        </w:tc>
        <w:tc>
          <w:tcPr>
            <w:tcW w:type="dxa" w:w="4962"/>
            <w:hMerge w:val="restart"/>
            <w:vAlign w:val="center"/>
          </w:tcPr>
          <w:p w14:paraId="42B249A8"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136,386,205.82</w:t>
            </w:r>
          </w:p>
        </w:tc>
        <w:tc>
          <w:tcPr>
            <w:tcW w:type="dxa" w:w="2410"/>
            <w:hMerge/>
            <w:vAlign w:val="center"/>
          </w:tcPr>
          <w:p w14:paraId="4CC084AD"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5C8E1F6F" w14:textId="77777777" w:rsidR="00D06738" w:rsidRPr="00FF6B9A">
        <w:tc>
          <w:tcPr>
            <w:tcW w:type="dxa" w:w="3402"/>
            <w:vAlign w:val="center"/>
          </w:tcPr>
          <w:p w14:paraId="1C3F4C76"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3.</w:t>
            </w:r>
            <w:r w:rsidRPr="00FF6B9A">
              <w:rPr>
                <w:rFonts w:eastAsiaTheme="minorEastAsia"/>
                <w:color w:themeColor="text1" w:val="000000"/>
                <w:kern w:val="0"/>
              </w:rPr>
              <w:t>加权平均基金份额本期利润</w:t>
            </w:r>
          </w:p>
        </w:tc>
        <w:tc>
          <w:tcPr>
            <w:tcW w:type="dxa" w:w="4962"/>
            <w:hMerge w:val="restart"/>
            <w:vAlign w:val="center"/>
          </w:tcPr>
          <w:p w14:paraId="43651B7D"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0.2246</w:t>
            </w:r>
          </w:p>
        </w:tc>
        <w:tc>
          <w:tcPr>
            <w:tcW w:type="dxa" w:w="2410"/>
            <w:hMerge/>
            <w:vAlign w:val="center"/>
          </w:tcPr>
          <w:p w14:paraId="18DC7556"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19975AED" w14:textId="77777777" w:rsidR="00D06738" w:rsidRPr="00FF6B9A">
        <w:tc>
          <w:tcPr>
            <w:tcW w:type="dxa" w:w="3402"/>
            <w:vAlign w:val="center"/>
          </w:tcPr>
          <w:p w14:paraId="5358D232"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4.</w:t>
            </w:r>
            <w:r w:rsidRPr="00FF6B9A">
              <w:rPr>
                <w:rFonts w:eastAsiaTheme="minorEastAsia"/>
                <w:color w:themeColor="text1" w:val="000000"/>
                <w:kern w:val="0"/>
              </w:rPr>
              <w:t>期末基金资产净值</w:t>
            </w:r>
          </w:p>
        </w:tc>
        <w:tc>
          <w:tcPr>
            <w:tcW w:type="dxa" w:w="4962"/>
            <w:hMerge w:val="restart"/>
            <w:vAlign w:val="center"/>
          </w:tcPr>
          <w:p w14:paraId="11849F16"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847,668,564.73</w:t>
            </w:r>
          </w:p>
        </w:tc>
        <w:tc>
          <w:tcPr>
            <w:tcW w:type="dxa" w:w="2410"/>
            <w:hMerge/>
            <w:vAlign w:val="center"/>
          </w:tcPr>
          <w:p w14:paraId="27D7B715"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5BC36451" w14:textId="77777777" w:rsidR="00D06738" w:rsidRPr="00FF6B9A">
        <w:trPr>
          <w:trHeight w:val="158"/>
        </w:trPr>
        <w:tc>
          <w:tcPr>
            <w:tcW w:type="dxa" w:w="3402"/>
            <w:vAlign w:val="center"/>
          </w:tcPr>
          <w:p w14:paraId="5E87F5B6"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5.</w:t>
            </w:r>
            <w:r w:rsidRPr="00FF6B9A">
              <w:rPr>
                <w:rFonts w:eastAsiaTheme="minorEastAsia"/>
                <w:color w:themeColor="text1" w:val="000000"/>
                <w:kern w:val="0"/>
              </w:rPr>
              <w:t>期末基金份额净值</w:t>
            </w:r>
          </w:p>
        </w:tc>
        <w:tc>
          <w:tcPr>
            <w:tcW w:type="dxa" w:w="4962"/>
            <w:hMerge w:val="restart"/>
            <w:vAlign w:val="center"/>
          </w:tcPr>
          <w:p w14:paraId="20EA2920"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1.4650</w:t>
            </w:r>
          </w:p>
        </w:tc>
        <w:tc>
          <w:tcPr>
            <w:tcW w:type="dxa" w:w="2410"/>
            <w:hMerge/>
            <w:vAlign w:val="center"/>
          </w:tcPr>
          <w:p w14:paraId="52387A94"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bl>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注：本期已实现收益指基金本期利息收入、投资收益、其他收入(不含公允价值变动收益)扣除相关费用后的余额，本期利润为本期已实现收益加上本期公允价值变动收益。</w:t>
      </w:r>
    </w:p>
    <w:p w14:paraId="71EC6E7C"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560E0A0"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3.2 </w:t>
      </w:r>
      <w:r w:rsidRPr="00FF6B9A">
        <w:rPr>
          <w:rFonts w:eastAsiaTheme="minorEastAsia"/>
          <w:b/>
          <w:bCs/>
          <w:color w:themeColor="text1" w:val="000000"/>
          <w:kern w:val="0"/>
          <w:sz w:val="24"/>
          <w:szCs w:val="24"/>
        </w:rPr>
        <w:t>基金净值表现</w:t>
      </w:r>
    </w:p>
    <w:p w14:paraId="6096210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3.2.1 </w:t>
      </w:r>
      <w:r w:rsidRPr="00FF6B9A">
        <w:rPr>
          <w:rFonts w:eastAsiaTheme="minorEastAsia"/>
          <w:b/>
          <w:bCs/>
          <w:color w:themeColor="text1" w:val="000000"/>
          <w:kern w:val="0"/>
          <w:sz w:val="24"/>
          <w:szCs w:val="24"/>
        </w:rPr>
        <w:t>本报告</w:t>
      </w:r>
      <w:proofErr w:type="gramStart"/>
      <w:r w:rsidRPr="00FF6B9A">
        <w:rPr>
          <w:rFonts w:eastAsiaTheme="minorEastAsia"/>
          <w:b/>
          <w:bCs/>
          <w:color w:themeColor="text1" w:val="000000"/>
          <w:kern w:val="0"/>
          <w:sz w:val="24"/>
          <w:szCs w:val="24"/>
        </w:rPr>
        <w:t>期基金</w:t>
      </w:r>
      <w:proofErr w:type="gramEnd"/>
      <w:r w:rsidRPr="00FF6B9A">
        <w:rPr>
          <w:rFonts w:eastAsiaTheme="minor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rsidRPr="00FF6B9A">
        <w:tc>
          <w:tcPr>
            <w:tcW w:type="dxa" w:w="1395"/>
            <w:vAlign w:val="center"/>
          </w:tcPr>
          <w:p w14:paraId="7A7D1D1E"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阶段</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1092"/>
            <w:vAlign w:val="center"/>
          </w:tcPr>
          <w:p w14:paraId="2CD30E79"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净值增长率</w:t>
            </w:r>
            <w:r w:rsidRPr="00FF6B9A">
              <w:rPr>
                <w:rFonts w:ascii="宋体" w:cs="宋体" w:hAnsi="宋体" w:hint="eastAsia"/>
                <w:color w:themeColor="text1" w:val="000000"/>
                <w:kern w:val="0"/>
              </w:rPr>
              <w:t>①</w:t>
            </w:r>
          </w:p>
        </w:tc>
        <w:tc>
          <w:tcPr>
            <w:tcW w:type="dxa" w:w="1161"/>
            <w:vAlign w:val="center"/>
          </w:tcPr>
          <w:p w14:paraId="37DEF420"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净值增长率标准差</w:t>
            </w:r>
            <w:r w:rsidRPr="00FF6B9A">
              <w:rPr>
                <w:rFonts w:ascii="宋体" w:cs="宋体" w:hAnsi="宋体" w:hint="eastAsia"/>
                <w:color w:themeColor="text1" w:val="000000"/>
                <w:kern w:val="0"/>
              </w:rPr>
              <w:t>②</w:t>
            </w:r>
          </w:p>
        </w:tc>
        <w:tc>
          <w:tcPr>
            <w:tcW w:type="dxa" w:w="1181"/>
            <w:vAlign w:val="center"/>
          </w:tcPr>
          <w:p w14:paraId="7F4843FE"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业绩比较基准收益率</w:t>
            </w:r>
            <w:r w:rsidRPr="00FF6B9A">
              <w:rPr>
                <w:rFonts w:ascii="宋体" w:cs="宋体" w:hAnsi="宋体" w:hint="eastAsia"/>
                <w:color w:themeColor="text1" w:val="000000"/>
                <w:kern w:val="0"/>
              </w:rPr>
              <w:t>③</w:t>
            </w:r>
          </w:p>
        </w:tc>
        <w:tc>
          <w:tcPr>
            <w:tcW w:type="dxa" w:w="1188"/>
            <w:vAlign w:val="center"/>
          </w:tcPr>
          <w:p w14:paraId="12655559"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业绩比较基准收益率标准差</w:t>
            </w:r>
            <w:r w:rsidRPr="00FF6B9A">
              <w:rPr>
                <w:rFonts w:ascii="宋体" w:cs="宋体" w:hAnsi="宋体" w:hint="eastAsia"/>
                <w:color w:themeColor="text1" w:val="000000"/>
                <w:kern w:val="0"/>
              </w:rPr>
              <w:t>④</w:t>
            </w:r>
          </w:p>
        </w:tc>
        <w:tc>
          <w:tcPr>
            <w:tcW w:type="dxa" w:w="1199"/>
            <w:vAlign w:val="center"/>
          </w:tcPr>
          <w:p w14:paraId="5487E45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ascii="宋体" w:cs="宋体" w:hAnsi="宋体" w:hint="eastAsia"/>
                <w:color w:themeColor="text1" w:val="000000"/>
                <w:kern w:val="0"/>
              </w:rPr>
              <w:t>①</w:t>
            </w:r>
            <w:r w:rsidRPr="00FF6B9A">
              <w:rPr>
                <w:rFonts w:eastAsiaTheme="minorEastAsia"/>
                <w:color w:themeColor="text1" w:val="000000"/>
                <w:kern w:val="0"/>
              </w:rPr>
              <w:t>-</w:t>
            </w:r>
            <w:r w:rsidRPr="00FF6B9A">
              <w:rPr>
                <w:rFonts w:ascii="宋体" w:cs="宋体" w:hAnsi="宋体" w:hint="eastAsia"/>
                <w:color w:themeColor="text1" w:val="000000"/>
                <w:kern w:val="0"/>
              </w:rPr>
              <w:t>③</w:t>
            </w:r>
          </w:p>
        </w:tc>
        <w:tc>
          <w:tcPr>
            <w:tcW w:type="dxa" w:w="1204"/>
            <w:vAlign w:val="center"/>
          </w:tcPr>
          <w:p w14:paraId="7C50A3F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ascii="宋体" w:cs="宋体" w:hAnsi="宋体" w:hint="eastAsia"/>
                <w:color w:themeColor="text1" w:val="000000"/>
                <w:kern w:val="0"/>
              </w:rPr>
              <w:t>②</w:t>
            </w:r>
            <w:r w:rsidRPr="00FF6B9A">
              <w:rPr>
                <w:rFonts w:eastAsiaTheme="minorEastAsia"/>
                <w:color w:themeColor="text1" w:val="000000"/>
                <w:kern w:val="0"/>
              </w:rPr>
              <w:t>-</w:t>
            </w:r>
            <w:r w:rsidRPr="00FF6B9A">
              <w:rPr>
                <w:rFonts w:ascii="宋体" w:cs="宋体" w:hAnsi="宋体" w:hint="eastAsia"/>
                <w:color w:themeColor="text1" w:val="000000"/>
                <w:kern w:val="0"/>
              </w:rPr>
              <w:t>④</w:t>
            </w:r>
          </w:p>
        </w:tc>
      </w:tr>
      <w:tr>
        <w:tc>
          <w:tcPr>
            <w:vAlign w:val="center"/>
          </w:tcPr>
          <w:p>
            <w:pPr>
              <w:jc w:val="left"/>
            </w:pPr>
            <w:r>
              <w:rPr>
                <w:rFonts w:eastAsiaTheme="minorEastAsia"/>
                <w:color w:themeColor="text1" w:val="000000"/>
                <w:kern w:val="0"/>
              </w:rPr>
              <w:t>过去三个月</w:t>
            </w:r>
          </w:p>
        </w:tc>
        <w:tc>
          <w:tcPr>
            <w:vAlign w:val="center"/>
          </w:tcPr>
          <w:p>
            <w:pPr>
              <w:jc w:val="center"/>
            </w:pPr>
            <w:r>
              <w:rPr>
                <w:rFonts w:eastAsiaTheme="minorEastAsia"/>
                <w:color w:themeColor="text1" w:val="000000"/>
                <w:kern w:val="0"/>
              </w:rPr>
              <w:t>18.24%</w:t>
            </w:r>
          </w:p>
        </w:tc>
        <w:tc>
          <w:tcPr>
            <w:vAlign w:val="center"/>
          </w:tcPr>
          <w:p>
            <w:pPr>
              <w:jc w:val="center"/>
            </w:pPr>
            <w:r>
              <w:rPr>
                <w:rFonts w:eastAsiaTheme="minorEastAsia"/>
                <w:color w:themeColor="text1" w:val="000000"/>
                <w:kern w:val="0"/>
              </w:rPr>
              <w:t>1.54%</w:t>
            </w:r>
          </w:p>
        </w:tc>
        <w:tc>
          <w:tcPr>
            <w:vAlign w:val="center"/>
          </w:tcPr>
          <w:p>
            <w:pPr>
              <w:jc w:val="center"/>
            </w:pPr>
            <w:r>
              <w:rPr>
                <w:rFonts w:eastAsiaTheme="minorEastAsia"/>
                <w:color w:themeColor="text1" w:val="000000"/>
                <w:kern w:val="0"/>
              </w:rPr>
              <w:t>4.05%</w:t>
            </w:r>
          </w:p>
        </w:tc>
        <w:tc>
          <w:tcPr>
            <w:vAlign w:val="center"/>
          </w:tcPr>
          <w:p>
            <w:pPr>
              <w:jc w:val="center"/>
            </w:pPr>
            <w:r>
              <w:rPr>
                <w:rFonts w:eastAsiaTheme="minorEastAsia"/>
                <w:color w:themeColor="text1" w:val="000000"/>
                <w:kern w:val="0"/>
              </w:rPr>
              <w:t>0.75%</w:t>
            </w:r>
          </w:p>
        </w:tc>
        <w:tc>
          <w:tcPr>
            <w:vAlign w:val="center"/>
          </w:tcPr>
          <w:p>
            <w:pPr>
              <w:jc w:val="center"/>
            </w:pPr>
            <w:r>
              <w:rPr>
                <w:rFonts w:eastAsiaTheme="minorEastAsia"/>
                <w:color w:themeColor="text1" w:val="000000"/>
                <w:kern w:val="0"/>
              </w:rPr>
              <w:t>14.19%</w:t>
            </w:r>
          </w:p>
        </w:tc>
        <w:tc>
          <w:tcPr>
            <w:vAlign w:val="center"/>
          </w:tcPr>
          <w:p>
            <w:pPr>
              <w:jc w:val="center"/>
            </w:pPr>
            <w:r>
              <w:rPr>
                <w:rFonts w:eastAsiaTheme="minorEastAsia"/>
                <w:color w:themeColor="text1" w:val="000000"/>
                <w:kern w:val="0"/>
              </w:rPr>
              <w:t>0.79%</w:t>
            </w:r>
          </w:p>
        </w:tc>
      </w:tr>
      <w:tr>
        <w:tc>
          <w:tcPr>
            <w:vAlign w:val="center"/>
          </w:tcPr>
          <w:p>
            <w:pPr>
              <w:jc w:val="left"/>
            </w:pPr>
            <w:r>
              <w:rPr>
                <w:rFonts w:eastAsiaTheme="minorEastAsia"/>
                <w:color w:themeColor="text1" w:val="000000"/>
                <w:kern w:val="0"/>
              </w:rPr>
              <w:t>过去六个月</w:t>
            </w:r>
          </w:p>
        </w:tc>
        <w:tc>
          <w:tcPr>
            <w:vAlign w:val="center"/>
          </w:tcPr>
          <w:p>
            <w:pPr>
              <w:jc w:val="center"/>
            </w:pPr>
            <w:r>
              <w:rPr>
                <w:rFonts w:eastAsiaTheme="minorEastAsia"/>
                <w:color w:themeColor="text1" w:val="000000"/>
                <w:kern w:val="0"/>
              </w:rPr>
              <w:t>11.24%</w:t>
            </w:r>
          </w:p>
        </w:tc>
        <w:tc>
          <w:tcPr>
            <w:vAlign w:val="center"/>
          </w:tcPr>
          <w:p>
            <w:pPr>
              <w:jc w:val="center"/>
            </w:pPr>
            <w:r>
              <w:rPr>
                <w:rFonts w:eastAsiaTheme="minorEastAsia"/>
                <w:color w:themeColor="text1" w:val="000000"/>
                <w:kern w:val="0"/>
              </w:rPr>
              <w:t>1.99%</w:t>
            </w:r>
          </w:p>
        </w:tc>
        <w:tc>
          <w:tcPr>
            <w:vAlign w:val="center"/>
          </w:tcPr>
          <w:p>
            <w:pPr>
              <w:jc w:val="center"/>
            </w:pPr>
            <w:r>
              <w:rPr>
                <w:rFonts w:eastAsiaTheme="minorEastAsia"/>
                <w:color w:themeColor="text1" w:val="000000"/>
                <w:kern w:val="0"/>
              </w:rPr>
              <w:t>1.50%</w:t>
            </w:r>
          </w:p>
        </w:tc>
        <w:tc>
          <w:tcPr>
            <w:vAlign w:val="center"/>
          </w:tcPr>
          <w:p>
            <w:pPr>
              <w:jc w:val="center"/>
            </w:pPr>
            <w:r>
              <w:rPr>
                <w:rFonts w:eastAsiaTheme="minorEastAsia"/>
                <w:color w:themeColor="text1" w:val="000000"/>
                <w:kern w:val="0"/>
              </w:rPr>
              <w:t>1.03%</w:t>
            </w:r>
          </w:p>
        </w:tc>
        <w:tc>
          <w:tcPr>
            <w:vAlign w:val="center"/>
          </w:tcPr>
          <w:p>
            <w:pPr>
              <w:jc w:val="center"/>
            </w:pPr>
            <w:r>
              <w:rPr>
                <w:rFonts w:eastAsiaTheme="minorEastAsia"/>
                <w:color w:themeColor="text1" w:val="000000"/>
                <w:kern w:val="0"/>
              </w:rPr>
              <w:t>9.74%</w:t>
            </w:r>
          </w:p>
        </w:tc>
        <w:tc>
          <w:tcPr>
            <w:vAlign w:val="center"/>
          </w:tcPr>
          <w:p>
            <w:pPr>
              <w:jc w:val="center"/>
            </w:pPr>
            <w:r>
              <w:rPr>
                <w:rFonts w:eastAsiaTheme="minorEastAsia"/>
                <w:color w:themeColor="text1" w:val="000000"/>
                <w:kern w:val="0"/>
              </w:rPr>
              <w:t>0.96%</w:t>
            </w:r>
          </w:p>
        </w:tc>
      </w:tr>
      <w:tr>
        <w:tc>
          <w:tcPr>
            <w:vAlign w:val="center"/>
          </w:tcPr>
          <w:p>
            <w:pPr>
              <w:jc w:val="left"/>
            </w:pPr>
            <w:r>
              <w:rPr>
                <w:rFonts w:eastAsiaTheme="minorEastAsia"/>
                <w:color w:themeColor="text1" w:val="000000"/>
                <w:kern w:val="0"/>
              </w:rPr>
              <w:t>过去一年</w:t>
            </w:r>
          </w:p>
        </w:tc>
        <w:tc>
          <w:tcPr>
            <w:vAlign w:val="center"/>
          </w:tcPr>
          <w:p>
            <w:pPr>
              <w:jc w:val="center"/>
            </w:pPr>
            <w:r>
              <w:rPr>
                <w:rFonts w:eastAsiaTheme="minorEastAsia"/>
                <w:color w:themeColor="text1" w:val="000000"/>
                <w:kern w:val="0"/>
              </w:rPr>
              <w:t>30.34%</w:t>
            </w:r>
          </w:p>
        </w:tc>
        <w:tc>
          <w:tcPr>
            <w:vAlign w:val="center"/>
          </w:tcPr>
          <w:p>
            <w:pPr>
              <w:jc w:val="center"/>
            </w:pPr>
            <w:r>
              <w:rPr>
                <w:rFonts w:eastAsiaTheme="minorEastAsia"/>
                <w:color w:themeColor="text1" w:val="000000"/>
                <w:kern w:val="0"/>
              </w:rPr>
              <w:t>1.86%</w:t>
            </w:r>
          </w:p>
        </w:tc>
        <w:tc>
          <w:tcPr>
            <w:vAlign w:val="center"/>
          </w:tcPr>
          <w:p>
            <w:pPr>
              <w:jc w:val="center"/>
            </w:pPr>
            <w:r>
              <w:rPr>
                <w:rFonts w:eastAsiaTheme="minorEastAsia"/>
                <w:color w:themeColor="text1" w:val="000000"/>
                <w:kern w:val="0"/>
              </w:rPr>
              <w:t>19.53%</w:t>
            </w:r>
          </w:p>
        </w:tc>
        <w:tc>
          <w:tcPr>
            <w:vAlign w:val="center"/>
          </w:tcPr>
          <w:p>
            <w:pPr>
              <w:jc w:val="center"/>
            </w:pPr>
            <w:r>
              <w:rPr>
                <w:rFonts w:eastAsiaTheme="minorEastAsia"/>
                <w:color w:themeColor="text1" w:val="000000"/>
                <w:kern w:val="0"/>
              </w:rPr>
              <w:t>1.09%</w:t>
            </w:r>
          </w:p>
        </w:tc>
        <w:tc>
          <w:tcPr>
            <w:vAlign w:val="center"/>
          </w:tcPr>
          <w:p>
            <w:pPr>
              <w:jc w:val="center"/>
            </w:pPr>
            <w:r>
              <w:rPr>
                <w:rFonts w:eastAsiaTheme="minorEastAsia"/>
                <w:color w:themeColor="text1" w:val="000000"/>
                <w:kern w:val="0"/>
              </w:rPr>
              <w:t>10.81%</w:t>
            </w:r>
          </w:p>
        </w:tc>
        <w:tc>
          <w:tcPr>
            <w:vAlign w:val="center"/>
          </w:tcPr>
          <w:p>
            <w:pPr>
              <w:jc w:val="center"/>
            </w:pPr>
            <w:r>
              <w:rPr>
                <w:rFonts w:eastAsiaTheme="minorEastAsia"/>
                <w:color w:themeColor="text1" w:val="000000"/>
                <w:kern w:val="0"/>
              </w:rPr>
              <w:t>0.77%</w:t>
            </w:r>
          </w:p>
        </w:tc>
      </w:tr>
      <w:tr>
        <w:tc>
          <w:tcPr>
            <w:vAlign w:val="center"/>
          </w:tcPr>
          <w:p>
            <w:pPr>
              <w:jc w:val="left"/>
            </w:pPr>
            <w:r>
              <w:rPr>
                <w:rFonts w:eastAsiaTheme="minorEastAsia"/>
                <w:color w:themeColor="text1" w:val="000000"/>
                <w:kern w:val="0"/>
              </w:rPr>
              <w:t>过去三年</w:t>
            </w:r>
          </w:p>
        </w:tc>
        <w:tc>
          <w:tcPr>
            <w:vAlign w:val="center"/>
          </w:tcPr>
          <w:p>
            <w:pPr>
              <w:jc w:val="center"/>
            </w:pPr>
            <w:r>
              <w:rPr>
                <w:rFonts w:eastAsiaTheme="minorEastAsia"/>
                <w:color w:themeColor="text1" w:val="000000"/>
                <w:kern w:val="0"/>
              </w:rPr>
              <w:t>115.44%</w:t>
            </w:r>
          </w:p>
        </w:tc>
        <w:tc>
          <w:tcPr>
            <w:vAlign w:val="center"/>
          </w:tcPr>
          <w:p>
            <w:pPr>
              <w:jc w:val="center"/>
            </w:pPr>
            <w:r>
              <w:rPr>
                <w:rFonts w:eastAsiaTheme="minorEastAsia"/>
                <w:color w:themeColor="text1" w:val="000000"/>
                <w:kern w:val="0"/>
              </w:rPr>
              <w:t>1.86%</w:t>
            </w:r>
          </w:p>
        </w:tc>
        <w:tc>
          <w:tcPr>
            <w:vAlign w:val="center"/>
          </w:tcPr>
          <w:p>
            <w:pPr>
              <w:jc w:val="center"/>
            </w:pPr>
            <w:r>
              <w:rPr>
                <w:rFonts w:eastAsiaTheme="minorEastAsia"/>
                <w:color w:themeColor="text1" w:val="000000"/>
                <w:kern w:val="0"/>
              </w:rPr>
              <w:t>38.22%</w:t>
            </w:r>
          </w:p>
        </w:tc>
        <w:tc>
          <w:tcPr>
            <w:vAlign w:val="center"/>
          </w:tcPr>
          <w:p>
            <w:pPr>
              <w:jc w:val="center"/>
            </w:pPr>
            <w:r>
              <w:rPr>
                <w:rFonts w:eastAsiaTheme="minorEastAsia"/>
                <w:color w:themeColor="text1" w:val="000000"/>
                <w:kern w:val="0"/>
              </w:rPr>
              <w:t>1.15%</w:t>
            </w:r>
          </w:p>
        </w:tc>
        <w:tc>
          <w:tcPr>
            <w:vAlign w:val="center"/>
          </w:tcPr>
          <w:p>
            <w:pPr>
              <w:jc w:val="center"/>
            </w:pPr>
            <w:r>
              <w:rPr>
                <w:rFonts w:eastAsiaTheme="minorEastAsia"/>
                <w:color w:themeColor="text1" w:val="000000"/>
                <w:kern w:val="0"/>
              </w:rPr>
              <w:t>77.22%</w:t>
            </w:r>
          </w:p>
        </w:tc>
        <w:tc>
          <w:tcPr>
            <w:vAlign w:val="center"/>
          </w:tcPr>
          <w:p>
            <w:pPr>
              <w:jc w:val="center"/>
            </w:pPr>
            <w:r>
              <w:rPr>
                <w:rFonts w:eastAsiaTheme="minorEastAsia"/>
                <w:color w:themeColor="text1" w:val="000000"/>
                <w:kern w:val="0"/>
              </w:rPr>
              <w:t>0.71%</w:t>
            </w:r>
          </w:p>
        </w:tc>
      </w:tr>
      <w:tr>
        <w:tc>
          <w:tcPr>
            <w:vAlign w:val="center"/>
          </w:tcPr>
          <w:p>
            <w:pPr>
              <w:jc w:val="left"/>
            </w:pPr>
            <w:r>
              <w:rPr>
                <w:rFonts w:eastAsiaTheme="minorEastAsia"/>
                <w:color w:themeColor="text1" w:val="000000"/>
                <w:kern w:val="0"/>
              </w:rPr>
              <w:t>过去五年</w:t>
            </w:r>
          </w:p>
        </w:tc>
        <w:tc>
          <w:tcPr>
            <w:vAlign w:val="center"/>
          </w:tcPr>
          <w:p>
            <w:pPr>
              <w:jc w:val="center"/>
            </w:pPr>
            <w:r>
              <w:rPr>
                <w:rFonts w:eastAsiaTheme="minorEastAsia"/>
                <w:color w:themeColor="text1" w:val="000000"/>
                <w:kern w:val="0"/>
              </w:rPr>
              <w:t>94.81%</w:t>
            </w:r>
          </w:p>
        </w:tc>
        <w:tc>
          <w:tcPr>
            <w:vAlign w:val="center"/>
          </w:tcPr>
          <w:p>
            <w:pPr>
              <w:jc w:val="center"/>
            </w:pPr>
            <w:r>
              <w:rPr>
                <w:rFonts w:eastAsiaTheme="minorEastAsia"/>
                <w:color w:themeColor="text1" w:val="000000"/>
                <w:kern w:val="0"/>
              </w:rPr>
              <w:t>1.70%</w:t>
            </w:r>
          </w:p>
        </w:tc>
        <w:tc>
          <w:tcPr>
            <w:vAlign w:val="center"/>
          </w:tcPr>
          <w:p>
            <w:pPr>
              <w:jc w:val="center"/>
            </w:pPr>
            <w:r>
              <w:rPr>
                <w:rFonts w:eastAsiaTheme="minorEastAsia"/>
                <w:color w:themeColor="text1" w:val="000000"/>
                <w:kern w:val="0"/>
              </w:rPr>
              <w:t>41.87%</w:t>
            </w:r>
          </w:p>
        </w:tc>
        <w:tc>
          <w:tcPr>
            <w:vAlign w:val="center"/>
          </w:tcPr>
          <w:p>
            <w:pPr>
              <w:jc w:val="center"/>
            </w:pPr>
            <w:r>
              <w:rPr>
                <w:rFonts w:eastAsiaTheme="minorEastAsia"/>
                <w:color w:themeColor="text1" w:val="000000"/>
                <w:kern w:val="0"/>
              </w:rPr>
              <w:t>1.00%</w:t>
            </w:r>
          </w:p>
        </w:tc>
        <w:tc>
          <w:tcPr>
            <w:vAlign w:val="center"/>
          </w:tcPr>
          <w:p>
            <w:pPr>
              <w:jc w:val="center"/>
            </w:pPr>
            <w:r>
              <w:rPr>
                <w:rFonts w:eastAsiaTheme="minorEastAsia"/>
                <w:color w:themeColor="text1" w:val="000000"/>
                <w:kern w:val="0"/>
              </w:rPr>
              <w:t>52.94%</w:t>
            </w:r>
          </w:p>
        </w:tc>
        <w:tc>
          <w:tcPr>
            <w:vAlign w:val="center"/>
          </w:tcPr>
          <w:p>
            <w:pPr>
              <w:jc w:val="center"/>
            </w:pPr>
            <w:r>
              <w:rPr>
                <w:rFonts w:eastAsiaTheme="minorEastAsia"/>
                <w:color w:themeColor="text1" w:val="000000"/>
                <w:kern w:val="0"/>
              </w:rPr>
              <w:t>0.70%</w:t>
            </w:r>
          </w:p>
        </w:tc>
      </w:tr>
      <w:tr>
        <w:tc>
          <w:tcPr>
            <w:vAlign w:val="center"/>
          </w:tcPr>
          <w:p>
            <w:pPr>
              <w:jc w:val="left"/>
            </w:pPr>
            <w:r>
              <w:rPr>
                <w:rFonts w:eastAsiaTheme="minorEastAsia"/>
                <w:color w:themeColor="text1" w:val="000000"/>
                <w:kern w:val="0"/>
              </w:rPr>
              <w:t>自基金合同生效起至今</w:t>
            </w:r>
          </w:p>
        </w:tc>
        <w:tc>
          <w:tcPr>
            <w:vAlign w:val="center"/>
          </w:tcPr>
          <w:p>
            <w:pPr>
              <w:jc w:val="center"/>
            </w:pPr>
            <w:r>
              <w:rPr>
                <w:rFonts w:eastAsiaTheme="minorEastAsia"/>
                <w:color w:themeColor="text1" w:val="000000"/>
                <w:kern w:val="0"/>
              </w:rPr>
              <w:t>46.50%</w:t>
            </w:r>
          </w:p>
        </w:tc>
        <w:tc>
          <w:tcPr>
            <w:vAlign w:val="center"/>
          </w:tcPr>
          <w:p>
            <w:pPr>
              <w:jc w:val="center"/>
            </w:pPr>
            <w:r>
              <w:rPr>
                <w:rFonts w:eastAsiaTheme="minorEastAsia"/>
                <w:color w:themeColor="text1" w:val="000000"/>
                <w:kern w:val="0"/>
              </w:rPr>
              <w:t>1.90%</w:t>
            </w:r>
          </w:p>
        </w:tc>
        <w:tc>
          <w:tcPr>
            <w:vAlign w:val="center"/>
          </w:tcPr>
          <w:p>
            <w:pPr>
              <w:jc w:val="center"/>
            </w:pPr>
            <w:r>
              <w:rPr>
                <w:rFonts w:eastAsiaTheme="minorEastAsia"/>
                <w:color w:themeColor="text1" w:val="000000"/>
                <w:kern w:val="0"/>
              </w:rPr>
              <w:t>-10.99%</w:t>
            </w:r>
          </w:p>
        </w:tc>
        <w:tc>
          <w:tcPr>
            <w:vAlign w:val="center"/>
          </w:tcPr>
          <w:p>
            <w:pPr>
              <w:jc w:val="center"/>
            </w:pPr>
            <w:r>
              <w:rPr>
                <w:rFonts w:eastAsiaTheme="minorEastAsia"/>
                <w:color w:themeColor="text1" w:val="000000"/>
                <w:kern w:val="0"/>
              </w:rPr>
              <w:t>1.27%</w:t>
            </w:r>
          </w:p>
        </w:tc>
        <w:tc>
          <w:tcPr>
            <w:vAlign w:val="center"/>
          </w:tcPr>
          <w:p>
            <w:pPr>
              <w:jc w:val="center"/>
            </w:pPr>
            <w:r>
              <w:rPr>
                <w:rFonts w:eastAsiaTheme="minorEastAsia"/>
                <w:color w:themeColor="text1" w:val="000000"/>
                <w:kern w:val="0"/>
              </w:rPr>
              <w:t>57.49%</w:t>
            </w:r>
          </w:p>
        </w:tc>
        <w:tc>
          <w:tcPr>
            <w:vAlign w:val="center"/>
          </w:tcPr>
          <w:p>
            <w:pPr>
              <w:jc w:val="center"/>
            </w:pPr>
            <w:r>
              <w:rPr>
                <w:rFonts w:eastAsiaTheme="minorEastAsia"/>
                <w:color w:themeColor="text1" w:val="000000"/>
                <w:kern w:val="0"/>
              </w:rPr>
              <w:t>0.63%</w:t>
            </w:r>
          </w:p>
        </w:tc>
      </w:tr>
    </w:tbl>
    <w:p w14:paraId="11CC28FB"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04CD2E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3.2.2</w:t>
      </w:r>
      <w:r w:rsidRPr="00FF6B9A">
        <w:rPr>
          <w:rStyle w:val="afe"/>
          <w:color w:themeColor="text1" w:val="000000"/>
          <w:sz w:val="24"/>
          <w:szCs w:val="24"/>
          <w:shd w:color="auto" w:fill="FFFFFF" w:val="clear"/>
        </w:rPr>
        <w:t/>
      </w:r>
      <w:proofErr w:type="spellStart"/>
      <w:r w:rsidRPr="00FF6B9A">
        <w:rPr>
          <w:rStyle w:val="afe"/>
          <w:color w:themeColor="text1" w:val="000000"/>
          <w:sz w:val="24"/>
          <w:szCs w:val="24"/>
          <w:shd w:color="auto" w:fill="FFFFFF" w:val="clear"/>
        </w:rPr>
        <w:t/>
      </w:r>
      <w:proofErr w:type="spellEnd"/>
      <w:r w:rsidRPr="00FF6B9A">
        <w:rPr>
          <w:rStyle w:val="afe"/>
          <w:color w:themeColor="text1" w:val="000000"/>
          <w:sz w:val="24"/>
          <w:szCs w:val="24"/>
          <w:shd w:color="auto" w:fill="FFFFFF" w:val="clear"/>
        </w:rPr>
        <w:t>自基金合同生效以来</w:t>
      </w:r>
      <w:r w:rsidRPr="00FF6B9A">
        <w:rPr>
          <w:rFonts w:eastAsiaTheme="minorEastAsia"/>
          <w:b/>
          <w:bCs/>
          <w:color w:themeColor="text1" w:val="000000"/>
          <w:kern w:val="0"/>
          <w:sz w:val="24"/>
          <w:szCs w:val="24"/>
        </w:rPr>
        <w:t>基金累计净值增长率变动及其与同期业绩比较基准收益率变动的比较</w:t>
      </w:r>
    </w:p>
    <w:p w14:paraId="7E434705" w14:textId="77777777" w:rsidR="00D06738" w:rsidRDefault="00454D20" w:rsidRPr="00FF6B9A">
      <w:pPr>
        <w:spacing w:line="360" w:lineRule="auto"/>
        <w:jc w:val="center"/>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上投摩根智慧互联股票型证券投资基金</w:t>
      </w:r>
    </w:p>
    <w:p w14:paraId="760894FB" w14:textId="77777777" w:rsidR="00D06738" w:rsidRDefault="00454D20" w:rsidRPr="00FF6B9A">
      <w:pPr>
        <w:pStyle w:val="ae"/>
        <w:snapToGrid w:val="0"/>
        <w:spacing w:line="360" w:lineRule="auto"/>
        <w:jc w:val="center"/>
        <w:rPr>
          <w:rFonts w:ascii="Times New Roman" w:cs="Times New Roman" w:eastAsiaTheme="minorEastAsia" w:hAnsi="Times New Roman"/>
          <w:color w:themeColor="text1" w:val="000000"/>
        </w:rPr>
      </w:pPr>
      <w:r w:rsidRPr="00FF6B9A">
        <w:rPr>
          <w:rFonts w:ascii="Times New Roman" w:cs="Times New Roman" w:eastAsiaTheme="minorEastAsia" w:hAnsi="Times New Roman"/>
          <w:color w:themeColor="text1" w:val="000000"/>
        </w:rPr>
        <w:t>累计净值增长率与业绩比较基准收益率历史走势对比图</w:t>
      </w:r>
    </w:p>
    <w:p w14:paraId="42485F4A" w14:textId="77777777" w:rsidR="00D06738" w:rsidRDefault="00454D20" w:rsidRPr="00FF6B9A">
      <w:pPr>
        <w:pStyle w:val="ae"/>
        <w:snapToGrid w:val="0"/>
        <w:spacing w:line="360" w:lineRule="auto"/>
        <w:ind w:firstLine="480"/>
        <w:jc w:val="center"/>
        <w:rPr>
          <w:rFonts w:ascii="Times New Roman" w:cs="Times New Roman" w:eastAsiaTheme="minorEastAsia" w:hAnsi="Times New Roman"/>
          <w:color w:themeColor="text1" w:val="000000"/>
          <w:sz w:val="24"/>
          <w:szCs w:val="24"/>
        </w:rPr>
      </w:pPr>
      <w:r w:rsidRPr="00FF6B9A">
        <w:rPr>
          <w:rFonts w:ascii="Times New Roman" w:cs="Times New Roman" w:eastAsiaTheme="minorEastAsia" w:hAnsi="Times New Roman"/>
          <w:color w:themeColor="text1" w:val="000000"/>
        </w:rPr>
        <w:t>(</w:t>
      </w:r>
      <w:proofErr w:type="spellStart"/>
      <w:r w:rsidRPr="00FF6B9A">
        <w:rPr>
          <w:rFonts w:ascii="Times New Roman" w:cs="Times New Roman" w:eastAsiaTheme="minorEastAsia" w:hAnsi="Times New Roman"/>
          <w:color w:themeColor="text1" w:val="000000"/>
        </w:rPr>
        <w:t/>
      </w:r>
      <w:proofErr w:type="spellEnd"/>
      <w:r w:rsidRPr="00FF6B9A">
        <w:rPr>
          <w:rFonts w:ascii="Times New Roman" w:cs="Times New Roman" w:eastAsiaTheme="minorEastAsia" w:hAnsi="Times New Roman"/>
          <w:color w:themeColor="text1" w:val="000000"/>
        </w:rPr>
        <w:t>2015年6月9日</w:t>
      </w:r>
      <w:r w:rsidRPr="00FF6B9A">
        <w:rPr>
          <w:rFonts w:ascii="Times New Roman" w:cs="Times New Roman" w:eastAsiaTheme="minorEastAsia" w:hAnsi="Times New Roman"/>
          <w:color w:themeColor="text1" w:val="000000"/>
        </w:rPr>
        <w:t>至</w:t>
      </w:r>
      <w:r w:rsidRPr="00FF6B9A">
        <w:rPr>
          <w:rFonts w:ascii="Times New Roman" w:cs="Times New Roman" w:eastAsiaTheme="minorEastAsia" w:hAnsi="Times New Roman"/>
          <w:color w:themeColor="text1" w:val="000000"/>
        </w:rPr>
        <w:t/>
      </w:r>
      <w:proofErr w:type="spellStart"/>
      <w:r w:rsidRPr="00FF6B9A">
        <w:rPr>
          <w:rFonts w:ascii="Times New Roman" w:cs="Times New Roman" w:eastAsiaTheme="minorEastAsia" w:hAnsi="Times New Roman"/>
          <w:color w:themeColor="text1" w:val="000000"/>
        </w:rPr>
        <w:t/>
      </w:r>
      <w:proofErr w:type="spellEnd"/>
      <w:r w:rsidRPr="00FF6B9A">
        <w:rPr>
          <w:rFonts w:ascii="Times New Roman" w:cs="Times New Roman" w:eastAsiaTheme="minorEastAsia" w:hAnsi="Times New Roman"/>
          <w:color w:themeColor="text1" w:val="000000"/>
        </w:rPr>
        <w:t>2021年6月30日)</w:t>
      </w:r>
    </w:p>
    <w:p w14:paraId="6D7C6855" w14:textId="77777777" w:rsidR="00D06738" w:rsidRDefault="00454D20" w:rsidRPr="00FF6B9A">
      <w:pPr>
        <w:pStyle w:val="ae"/>
        <w:snapToGrid w:val="0"/>
        <w:spacing w:before="120" w:line="360" w:lineRule="auto"/>
        <w:jc w:val="center"/>
        <w:rPr>
          <w:rFonts w:ascii="Times New Roman" w:cs="Times New Roman" w:eastAsiaTheme="minorEastAsia" w:hAnsi="Times New Roman"/>
          <w:color w:themeColor="text1" w:val="000000"/>
          <w:sz w:val="24"/>
          <w:szCs w:val="24"/>
        </w:rPr>
      </w:pPr>
      <w:r w:rsidRPr="00FF6B9A">
        <w:rPr>
          <w:rFonts w:ascii="Times New Roman" w:cs="Times New Roman" w:eastAsiaTheme="minorEastAsia" w:hAnsi="Times New Roman"/>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注：本基金合同生效日为2015年6月9日，图示的时间段为合同生效日至本报告期末。</w:t>
      </w:r>
    </w:p>
    <w:p w14:paraId="58BB6589"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本基金建仓期为本基金合同生效日起 6 个月，建仓期结束时资产配置比例符合本基金基金合同规定。</w:t>
      </w:r>
    </w:p>
    <w:p w14:paraId="28331EE6" w14:textId="77777777" w:rsidR="00D06738" w:rsidRDefault="00D06738" w:rsidRPr="00FF6B9A">
      <w:pPr>
        <w:tabs>
          <w:tab w:pos="1800" w:val="left"/>
        </w:tabs>
        <w:spacing w:line="360" w:lineRule="auto"/>
        <w:rPr>
          <w:rFonts w:eastAsiaTheme="minorEastAsia"/>
          <w:color w:themeColor="text1" w:val="000000"/>
          <w:sz w:val="24"/>
          <w:szCs w:val="24"/>
        </w:rPr>
      </w:pPr>
    </w:p>
    <w:p w14:paraId="6B938858" w14:textId="77777777" w:rsidR="00D06738" w:rsidRDefault="00D06738" w:rsidRPr="00FF6B9A">
      <w:pPr>
        <w:tabs>
          <w:tab w:pos="1800" w:val="left"/>
        </w:tabs>
        <w:spacing w:line="288" w:lineRule="auto"/>
        <w:rPr>
          <w:rFonts w:eastAsiaTheme="minorEastAsia"/>
          <w:color w:themeColor="text1" w:val="000000"/>
          <w:sz w:val="24"/>
          <w:szCs w:val="24"/>
        </w:rPr>
      </w:pPr>
    </w:p>
    <w:p w14:paraId="0B771B4D"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§4  </w:t>
      </w:r>
      <w:r w:rsidRPr="00FF6B9A">
        <w:rPr>
          <w:rFonts w:eastAsiaTheme="minorEastAsia"/>
          <w:color w:themeColor="text1" w:val="000000"/>
          <w:kern w:val="0"/>
          <w:sz w:val="24"/>
          <w:szCs w:val="24"/>
        </w:rPr>
        <w:t>管理人报告</w:t>
      </w:r>
    </w:p>
    <w:p w14:paraId="735F051A"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4.1 </w:t>
      </w:r>
      <w:r w:rsidRPr="00FF6B9A">
        <w:rPr>
          <w:rFonts w:eastAsiaTheme="minorEastAsia"/>
          <w:b/>
          <w:bCs/>
          <w:color w:themeColor="text1" w:val="000000"/>
          <w:kern w:val="0"/>
          <w:sz w:val="24"/>
          <w:szCs w:val="24"/>
        </w:rPr>
        <w:t>基金经理</w:t>
      </w:r>
      <w:r w:rsidRPr="00FF6B9A">
        <w:rPr>
          <w:rFonts w:eastAsiaTheme="minorEastAsia"/>
          <w:b/>
          <w:bCs/>
          <w:color w:themeColor="text1" w:val="000000"/>
          <w:kern w:val="0"/>
          <w:sz w:val="24"/>
          <w:szCs w:val="24"/>
        </w:rPr>
        <w:t>(</w:t>
      </w:r>
      <w:r w:rsidRPr="00FF6B9A">
        <w:rPr>
          <w:rFonts w:eastAsiaTheme="minorEastAsia"/>
          <w:b/>
          <w:bCs/>
          <w:color w:themeColor="text1" w:val="000000"/>
          <w:kern w:val="0"/>
          <w:sz w:val="24"/>
          <w:szCs w:val="24"/>
        </w:rPr>
        <w:t>或基金经理小组</w:t>
      </w:r>
      <w:r w:rsidRPr="00FF6B9A">
        <w:rPr>
          <w:rFonts w:eastAsiaTheme="minorEastAsia"/>
          <w:b/>
          <w:bCs/>
          <w:color w:themeColor="text1" w:val="000000"/>
          <w:kern w:val="0"/>
          <w:sz w:val="24"/>
          <w:szCs w:val="24"/>
        </w:rPr>
        <w:t>)</w:t>
      </w:r>
      <w:r w:rsidRPr="00FF6B9A">
        <w:rPr>
          <w:rFonts w:eastAsiaTheme="minorEastAsia"/>
          <w:b/>
          <w:bCs/>
          <w:color w:themeColor="text1" w:val="000000"/>
          <w:kern w:val="0"/>
          <w:sz w:val="24"/>
          <w:szCs w:val="24"/>
        </w:rPr>
        <w:t>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rsidRPr="00FF6B9A">
        <w:trPr>
          <w:cantSplit/>
          <w:trHeight w:val="292"/>
        </w:trPr>
        <w:tc>
          <w:tcPr>
            <w:tcW w:type="dxa" w:w="851"/>
            <w:vMerge w:val="restart"/>
            <w:vAlign w:val="center"/>
          </w:tcPr>
          <w:p w14:paraId="1F53B620"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姓名</w:t>
            </w:r>
          </w:p>
        </w:tc>
        <w:tc>
          <w:tcPr>
            <w:tcW w:type="dxa" w:w="850"/>
            <w:vMerge w:val="restart"/>
            <w:vAlign w:val="center"/>
          </w:tcPr>
          <w:p w14:paraId="697EB0E1"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职务</w:t>
            </w:r>
          </w:p>
        </w:tc>
        <w:tc>
          <w:tcPr>
            <w:tcW w:type="dxa" w:w="3119"/>
            <w:gridSpan w:val="2"/>
            <w:vAlign w:val="center"/>
          </w:tcPr>
          <w:p w14:paraId="3C549DFA"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proofErr w:type="gramStart"/>
            <w:r w:rsidRPr="00FF6B9A">
              <w:rPr>
                <w:rFonts w:eastAsiaTheme="minorEastAsia"/>
                <w:color w:themeColor="text1" w:val="000000"/>
                <w:kern w:val="0"/>
              </w:rPr>
              <w:t>任本基金</w:t>
            </w:r>
            <w:proofErr w:type="gramEnd"/>
            <w:r w:rsidRPr="00FF6B9A">
              <w:rPr>
                <w:rFonts w:eastAsiaTheme="minorEastAsia"/>
                <w:color w:themeColor="text1" w:val="000000"/>
                <w:kern w:val="0"/>
              </w:rPr>
              <w:t>的基金经理期限</w:t>
            </w:r>
          </w:p>
        </w:tc>
        <w:tc>
          <w:tcPr>
            <w:tcW w:type="dxa" w:w="1417"/>
            <w:vMerge w:val="restart"/>
            <w:vAlign w:val="center"/>
          </w:tcPr>
          <w:p w14:paraId="153D4B6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证券从业年限</w:t>
            </w:r>
          </w:p>
        </w:tc>
        <w:tc>
          <w:tcPr>
            <w:tcW w:type="dxa" w:w="2694"/>
            <w:vMerge w:val="restart"/>
            <w:vAlign w:val="center"/>
          </w:tcPr>
          <w:p w14:paraId="6B8352A3"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说明</w:t>
            </w:r>
          </w:p>
        </w:tc>
      </w:tr>
      <w:tr w14:paraId="12458907" w14:textId="77777777" w:rsidR="00D06738" w:rsidRPr="00FF6B9A">
        <w:trPr>
          <w:cantSplit/>
        </w:trPr>
        <w:tc>
          <w:tcPr>
            <w:tcW w:type="dxa" w:w="851"/>
            <w:vMerge/>
            <w:vAlign w:val="center"/>
          </w:tcPr>
          <w:p w14:paraId="0E137D74" w14:textId="77777777" w:rsidR="00D06738" w:rsidRDefault="00D06738" w:rsidRPr="00FF6B9A">
            <w:pPr>
              <w:widowControl/>
              <w:spacing w:line="360" w:lineRule="auto"/>
              <w:jc w:val="left"/>
              <w:rPr>
                <w:rFonts w:eastAsiaTheme="minorEastAsia"/>
                <w:color w:themeColor="text1" w:val="000000"/>
                <w:kern w:val="0"/>
              </w:rPr>
            </w:pPr>
          </w:p>
        </w:tc>
        <w:tc>
          <w:tcPr>
            <w:tcW w:type="dxa" w:w="850"/>
            <w:vMerge/>
            <w:vAlign w:val="center"/>
          </w:tcPr>
          <w:p w14:paraId="1CC0886F" w14:textId="77777777" w:rsidR="00D06738" w:rsidRDefault="00D06738" w:rsidRPr="00FF6B9A">
            <w:pPr>
              <w:widowControl/>
              <w:spacing w:line="360" w:lineRule="auto"/>
              <w:jc w:val="left"/>
              <w:rPr>
                <w:rFonts w:eastAsiaTheme="minorEastAsia"/>
                <w:color w:themeColor="text1" w:val="000000"/>
                <w:kern w:val="0"/>
              </w:rPr>
            </w:pPr>
          </w:p>
        </w:tc>
        <w:tc>
          <w:tcPr>
            <w:tcW w:type="dxa" w:w="1560"/>
            <w:vAlign w:val="center"/>
          </w:tcPr>
          <w:p w14:paraId="213ED421"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任职日期</w:t>
            </w:r>
          </w:p>
        </w:tc>
        <w:tc>
          <w:tcPr>
            <w:tcW w:type="dxa" w:w="1559"/>
            <w:vAlign w:val="center"/>
          </w:tcPr>
          <w:p w14:paraId="025CCC9C"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离任日期</w:t>
            </w:r>
          </w:p>
        </w:tc>
        <w:tc>
          <w:tcPr>
            <w:tcW w:type="dxa" w:w="1417"/>
            <w:vMerge/>
            <w:vAlign w:val="center"/>
          </w:tcPr>
          <w:p w14:paraId="3D222F40" w14:textId="77777777" w:rsidR="00D06738" w:rsidRDefault="00D06738" w:rsidRPr="00FF6B9A">
            <w:pPr>
              <w:widowControl/>
              <w:spacing w:line="360" w:lineRule="auto"/>
              <w:jc w:val="left"/>
              <w:rPr>
                <w:rFonts w:eastAsiaTheme="minorEastAsia"/>
                <w:color w:themeColor="text1" w:val="000000"/>
                <w:kern w:val="0"/>
              </w:rPr>
            </w:pPr>
          </w:p>
        </w:tc>
        <w:tc>
          <w:tcPr>
            <w:tcW w:type="dxa" w:w="2694"/>
            <w:vMerge/>
            <w:vAlign w:val="center"/>
          </w:tcPr>
          <w:p w14:paraId="637B7507" w14:textId="77777777" w:rsidR="00D06738" w:rsidRDefault="00D06738" w:rsidRPr="00FF6B9A">
            <w:pPr>
              <w:widowControl/>
              <w:spacing w:line="360" w:lineRule="auto"/>
              <w:jc w:val="left"/>
              <w:rPr>
                <w:rFonts w:eastAsiaTheme="minorEastAsia"/>
                <w:color w:themeColor="text1" w:val="000000"/>
                <w:kern w:val="0"/>
              </w:rPr>
            </w:pPr>
          </w:p>
        </w:tc>
      </w:tr>
      <w:tr>
        <w:tc>
          <w:tcPr>
            <w:vAlign w:val="center"/>
          </w:tcPr>
          <w:p>
            <w:pPr>
              <w:jc w:val="center"/>
            </w:pPr>
            <w:r>
              <w:rPr>
                <w:rFonts w:eastAsiaTheme="minorEastAsia"/>
                <w:color w:themeColor="text1" w:val="000000"/>
              </w:rPr>
              <w:t>郭晨</w:t>
            </w:r>
          </w:p>
        </w:tc>
        <w:tc>
          <w:tcPr>
            <w:vAlign w:val="center"/>
          </w:tcPr>
          <w:p>
            <w:pPr>
              <w:jc w:val="center"/>
            </w:pPr>
            <w:r>
              <w:rPr>
                <w:rFonts w:eastAsiaTheme="minorEastAsia"/>
                <w:color w:themeColor="text1" w:val="000000"/>
              </w:rPr>
              <w:t>本基金基金经理</w:t>
            </w:r>
          </w:p>
        </w:tc>
        <w:tc>
          <w:tcPr>
            <w:vAlign w:val="center"/>
          </w:tcPr>
          <w:p>
            <w:pPr>
              <w:jc w:val="center"/>
            </w:pPr>
            <w:r>
              <w:rPr>
                <w:rFonts w:eastAsiaTheme="minorEastAsia"/>
                <w:color w:themeColor="text1" w:val="000000"/>
              </w:rPr>
              <w:t>2015-06-09</w:t>
            </w:r>
          </w:p>
        </w:tc>
        <w:tc>
          <w:tcPr>
            <w:vAlign w:val="center"/>
          </w:tcPr>
          <w:p>
            <w:pPr>
              <w:jc w:val="center"/>
            </w:pPr>
            <w:r>
              <w:rPr>
                <w:rFonts w:eastAsiaTheme="minorEastAsia"/>
                <w:color w:themeColor="text1" w:val="000000"/>
              </w:rPr>
              <w:t>-</w:t>
            </w:r>
          </w:p>
        </w:tc>
        <w:tc>
          <w:tcPr>
            <w:vAlign w:val="center"/>
          </w:tcPr>
          <w:p>
            <w:pPr>
              <w:jc w:val="center"/>
            </w:pPr>
            <w:r>
              <w:rPr>
                <w:rFonts w:eastAsiaTheme="minorEastAsia"/>
                <w:color w:themeColor="text1" w:val="000000"/>
              </w:rPr>
              <w:t>14年</w:t>
            </w:r>
          </w:p>
        </w:tc>
        <w:tc>
          <w:tcPr>
            <w:vAlign w:val="center"/>
          </w:tcPr>
          <w:p>
            <w:pPr>
              <w:jc w:val="both"/>
            </w:pPr>
            <w:r>
              <w:rPr>
                <w:rFonts w:eastAsiaTheme="minorEastAsia"/>
                <w:color w:themeColor="text1" w:val="000000"/>
              </w:rPr>
              <w:t>郭晨先生，自2007年7月至2008年4月在平安资产管理有限公司担任分析师；2008年4月至2009年11月在东吴基金管理有限公司担任研究员；2009年11月至2014年10月在华富基金管理有限公司先后担任基金经理助理、基金经理。2014年10月起加入上投摩根基金管理有限公司并担任基金经理、国内权益投资部动力组组长兼资深基金经理，自2015年1月起担任上投摩根中小盘混合型证券投资基金基金经理，自2015年6月起同时担任上投摩根智慧互联股票型证券投资基金基金经理，自2015年8月起同时担任上投摩根新兴服务股票型证券投资基金基金经理，自2019年3月起同时担任上投摩根创新商业模式灵活配置混合型证券投资基金基金经理，自2021年5月起同时担任上投摩根优势成长混合型证券投资基金基金经理。</w:t>
            </w:r>
          </w:p>
        </w:tc>
      </w:tr>
    </w:tbl>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2.郭晨先生为本基金首任基金经理，其任职日期指本基金基金合同生效之日。</w:t>
      </w:r>
    </w:p>
    <w:p w14:paraId="617FFBB9"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gramStart"/>
      <w:r w:rsidRPr="00FF6B9A">
        <w:rPr>
          <w:rFonts w:eastAsiaTheme="minorEastAsia"/>
          <w:color w:themeColor="text1" w:val="000000"/>
        </w:rPr>
        <w:t/>
      </w:r>
      <w:proofErr w:type="gramEnd"/>
      <w:r w:rsidRPr="00FF6B9A">
        <w:rPr>
          <w:rFonts w:eastAsiaTheme="minorEastAsia"/>
          <w:color w:themeColor="text1" w:val="000000"/>
        </w:rPr>
        <w:t>3.证券从业的含义遵从行业协会《证券业从业人员资格管理办法》的相关规定。</w:t>
      </w:r>
    </w:p>
    <w:p w14:paraId="4FBEFD2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4.2 </w:t>
      </w:r>
      <w:r w:rsidRPr="00FF6B9A">
        <w:rPr>
          <w:rFonts w:eastAsiaTheme="minorEastAsia"/>
          <w:b/>
          <w:bCs/>
          <w:color w:themeColor="text1" w:val="000000"/>
          <w:kern w:val="0"/>
          <w:sz w:val="24"/>
          <w:szCs w:val="24"/>
        </w:rPr>
        <w:t>管理人对报告期内本基金运作遵规守信情况的说明</w:t>
      </w:r>
    </w:p>
    <w:p w14:paraId="6D01CD8D"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智慧互联股票型证券投资基金基金合同》的规定。基金经理对个股和投资组合的比例遵循了投资决策委员会的授权限制，基金投资比例符合基金合同和法律法规的要求。</w:t>
      </w:r>
    </w:p>
    <w:p w14:paraId="79379002"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39C8B3E"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4.3 </w:t>
      </w:r>
      <w:r w:rsidRPr="00FF6B9A">
        <w:rPr>
          <w:rFonts w:eastAsiaTheme="minorEastAsia"/>
          <w:b/>
          <w:bCs/>
          <w:color w:themeColor="text1" w:val="000000"/>
          <w:kern w:val="0"/>
          <w:sz w:val="24"/>
          <w:szCs w:val="24"/>
        </w:rPr>
        <w:t>公平交易专项说明</w:t>
      </w:r>
    </w:p>
    <w:p w14:paraId="0796C6BB"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xml:space="preserve">4.3.1 </w:t>
      </w:r>
      <w:r w:rsidRPr="00FF6B9A">
        <w:rPr>
          <w:rFonts w:eastAsiaTheme="minorEastAsia"/>
          <w:color w:themeColor="text1" w:val="000000"/>
          <w:sz w:val="24"/>
          <w:szCs w:val="24"/>
        </w:rPr>
        <w:t>公平交易制度的执行情况</w:t>
      </w:r>
    </w:p>
    <w:p>
      <w:pPr>
        <w:spacing w:line="360" w:lineRule="auto"/>
        <w:ind w:firstLine="420" w:firstLineChars="200"/>
        <w:rPr>
          <w:rFonts w:eastAsiaTheme="minorEastAsia"/>
          <w:color w:themeColor="text1" w:val="000000"/>
        </w:rPr>
      </w:pPr>
      <w:r>
        <w:rPr>
          <w:rFonts w:eastAsia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rPr>
      </w:pPr>
      <w:r>
        <w:rPr>
          <w:rFonts w:eastAsia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xml:space="preserve">4.3.2 </w:t>
      </w:r>
      <w:r w:rsidRPr="00FF6B9A">
        <w:rPr>
          <w:rFonts w:eastAsiaTheme="minorEastAsia"/>
          <w:color w:themeColor="text1" w:val="000000"/>
          <w:sz w:val="24"/>
          <w:szCs w:val="24"/>
        </w:rPr>
        <w:t>异常交易行为的专项说明</w:t>
      </w:r>
    </w:p>
    <w:p>
      <w:pPr>
        <w:spacing w:line="360" w:lineRule="auto"/>
        <w:ind w:firstLine="420" w:firstLineChars="200"/>
        <w:rPr>
          <w:rFonts w:eastAsiaTheme="minorEastAsia"/>
          <w:color w:themeColor="text1" w:val="000000"/>
        </w:rPr>
      </w:pPr>
      <w:r>
        <w:rPr>
          <w:rFonts w:eastAsiaTheme="minor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所有投资组合参与的交易所公开竞价同日反向交易成交较少的单边交易量超过该证券当日成交量的5%的情形：无。</w:t>
      </w:r>
    </w:p>
    <w:p w14:paraId="78B72EC9" w14:textId="77777777" w:rsidR="00D06738" w:rsidRDefault="00D06738" w:rsidRPr="00FF6B9A">
      <w:pPr>
        <w:spacing w:line="360" w:lineRule="auto"/>
        <w:ind w:firstLine="480" w:firstLineChars="200"/>
        <w:rPr>
          <w:rFonts w:eastAsiaTheme="minorEastAsia"/>
          <w:color w:themeColor="text1" w:val="000000"/>
          <w:sz w:val="24"/>
          <w:szCs w:val="24"/>
        </w:rPr>
      </w:pPr>
    </w:p>
    <w:p w14:paraId="268AD9F2"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4.4 </w:t>
      </w:r>
      <w:r w:rsidRPr="00FF6B9A">
        <w:rPr>
          <w:rFonts w:eastAsiaTheme="minorEastAsia"/>
          <w:b/>
          <w:bCs/>
          <w:color w:themeColor="text1" w:val="000000"/>
          <w:kern w:val="0"/>
          <w:sz w:val="24"/>
          <w:szCs w:val="24"/>
        </w:rPr>
        <w:t>报告期内基金的投资策略和业绩表现说明</w:t>
      </w:r>
    </w:p>
    <w:p w14:paraId="37D7D562"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4.4.1</w:t>
      </w:r>
      <w:r w:rsidRPr="00FF6B9A">
        <w:rPr>
          <w:rFonts w:eastAsiaTheme="minorEastAsia"/>
          <w:color w:themeColor="text1" w:val="000000"/>
          <w:sz w:val="24"/>
          <w:szCs w:val="24"/>
        </w:rPr>
        <w:t>报告期内基金投资策略和运作分析</w:t>
      </w:r>
    </w:p>
    <w:p>
      <w:pPr>
        <w:spacing w:line="360" w:lineRule="auto"/>
        <w:ind w:firstLine="420" w:firstLineChars="200"/>
        <w:rPr>
          <w:rFonts w:eastAsiaTheme="minorEastAsia"/>
          <w:color w:themeColor="text1" w:val="000000"/>
        </w:rPr>
      </w:pPr>
      <w:r>
        <w:rPr>
          <w:rFonts w:eastAsiaTheme="minorEastAsia"/>
          <w:color w:themeColor="text1" w:val="000000"/>
        </w:rPr>
        <w:t>二季度沪深300指数上涨3.48%，创业板指数大涨26.05%，一季度市场调整之后，市场整体估值进入了相对合理的区间，二季度市场整体表现良好，成长股引领市场反弹，很多优质公司甚至创出了历史新高，尤其是新能源汽车、医美、医药、消费等优质赛道表现优秀。经历了一季度市场大幅回调之后，市场回到了结构性行情的正常轨道上，整个市场以基本面为基础平稳运行，一些被错杀的优质赛道龙头公司表现亮眼，一些被低估的二线龙头也表现较好。二季度公募基金募集较之前有了较大的降温，但是并不影响市场的结构性行情。二季度市场流动性表现平稳，随着疫苗在全球的大规模接种，全球经济逐渐恢复，上市公司盈利良好，大宗商品受益于经济恢复和宽松货币政策，也表现强势，未来有通胀的隐忧。</w:t>
      </w:r>
    </w:p>
    <w:p>
      <w:pPr>
        <w:spacing w:line="360" w:lineRule="auto"/>
        <w:ind w:firstLine="420" w:firstLineChars="200"/>
        <w:rPr>
          <w:rFonts w:eastAsiaTheme="minorEastAsia"/>
          <w:color w:themeColor="text1" w:val="000000"/>
        </w:rPr>
      </w:pPr>
      <w:r>
        <w:rPr>
          <w:rFonts w:eastAsiaTheme="minorEastAsia"/>
          <w:color w:themeColor="text1" w:val="000000"/>
        </w:rPr>
        <w:t>我们始终认为市场处于一个长期慢牛的走势之中，结构性行情为主，在一季度市场出现大跌之后，我们不悲观，果断的加仓了一些被错杀的优质成长股，重点集中在一些优质行业，比如新能源汽车、半导体、医药、食品饮料等，在二季度的反弹之中表现不错。本基金将始终坚持价值投资思路，坚持超配科技、新能源、智慧医疗、智能汽车等智慧互联主题相关高景气度行业，选择行业中相对优秀的龙头公司长期投资。</w:t>
      </w:r>
    </w:p>
    <w:p>
      <w:pPr>
        <w:spacing w:line="360" w:lineRule="auto"/>
        <w:ind w:firstLine="420" w:firstLineChars="200"/>
        <w:rPr>
          <w:rFonts w:eastAsiaTheme="minorEastAsia"/>
          <w:color w:themeColor="text1" w:val="000000"/>
        </w:rPr>
      </w:pPr>
      <w:r>
        <w:rPr>
          <w:rFonts w:eastAsiaTheme="minorEastAsia"/>
          <w:color w:themeColor="text1" w:val="000000"/>
        </w:rPr>
        <w:t>展望三季度，我们谨慎乐观。三季度企业盈利继续向好，仍需关注疫情的控制以及经济恢复的情况，关注全球的通胀以及货币政策的变化。目前市场整体系统性风险不大，A股整体估值处于合理水平，长期慢牛大趋势将延续，持仓的结构仍是最重要的。 上半年整体大宗商品上涨较多，给中游行业造成了较大的成本压力，下半年大宗商品继续大涨的概率不大，关注中游制造业经营情况的边际改善。</w:t>
      </w:r>
    </w:p>
    <w:p w14:paraId="6E21DA7A"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行业上，三季度我们依然看好半导体、新能源汽车、消费、医药等细分行业，这些高景气度行业大多与智慧互联主题相关。合理的估值，较高的业绩增速，成长的确定性是本基金最看重的。</w:t>
      </w:r>
    </w:p>
    <w:p w14:paraId="23C77E45"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4.4.2</w:t>
      </w:r>
      <w:r w:rsidRPr="00FF6B9A">
        <w:rPr>
          <w:rFonts w:eastAsiaTheme="minorEastAsia"/>
          <w:color w:themeColor="text1" w:val="000000"/>
          <w:sz w:val="24"/>
          <w:szCs w:val="24"/>
        </w:rPr>
        <w:t>报告期内基金的业绩表现</w:t>
      </w:r>
    </w:p>
    <w:p w14:paraId="3743F1F6"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本报告期上投摩根智慧互联股票份额净值增长率为:18.24%，同期业绩比较基准收益率为:4.05%。</w:t>
      </w:r>
    </w:p>
    <w:p w14:paraId="44A63C7D" w14:textId="77777777" w:rsidR="00D06738" w:rsidRDefault="00D06738" w:rsidRPr="00FF6B9A">
      <w:pPr>
        <w:spacing w:line="360" w:lineRule="auto"/>
        <w:ind w:firstLine="480" w:firstLineChars="200"/>
        <w:rPr>
          <w:rFonts w:eastAsiaTheme="minorEastAsia"/>
          <w:color w:themeColor="text1" w:val="000000"/>
          <w:sz w:val="24"/>
          <w:szCs w:val="24"/>
        </w:rPr>
      </w:pPr>
    </w:p>
    <w:p w14:paraId="7FECA9F5"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b/>
          <w:color w:themeColor="text1" w:val="000000"/>
          <w:kern w:val="0"/>
          <w:sz w:val="24"/>
          <w:szCs w:val="24"/>
        </w:rPr>
        <w:t/>
      </w:r>
      <w:proofErr w:type="spellStart"/>
      <w:r w:rsidRPr="00FF6B9A">
        <w:rPr>
          <w:rFonts w:eastAsiaTheme="minorEastAsia"/>
          <w:b/>
          <w:color w:themeColor="text1" w:val="000000"/>
          <w:kern w:val="0"/>
          <w:sz w:val="24"/>
          <w:szCs w:val="24"/>
        </w:rPr>
        <w:t/>
      </w:r>
      <w:proofErr w:type="spellEnd"/>
      <w:r w:rsidRPr="00FF6B9A">
        <w:rPr>
          <w:rFonts w:eastAsiaTheme="minorEastAsia"/>
          <w:b/>
          <w:color w:themeColor="text1" w:val="000000"/>
          <w:kern w:val="0"/>
          <w:sz w:val="24"/>
          <w:szCs w:val="24"/>
        </w:rPr>
        <w:t>4.5</w:t>
      </w:r>
      <w:r w:rsidRPr="00FF6B9A">
        <w:rPr>
          <w:rFonts w:eastAsiaTheme="minorEastAsia"/>
          <w:b/>
          <w:color w:themeColor="text1" w:val="000000"/>
          <w:kern w:val="0"/>
          <w:sz w:val="24"/>
          <w:szCs w:val="24"/>
        </w:rPr>
        <w:t>报告期内基金持有人数或基金资产净值预警说明</w:t>
      </w:r>
    </w:p>
    <w:p w14:paraId="35411AB5"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kern w:val="0"/>
        </w:rPr>
        <w:t/>
      </w:r>
      <w:r w:rsidRPr="00FF6B9A">
        <w:rPr>
          <w:rFonts w:eastAsiaTheme="minorEastAsia"/>
          <w:color w:themeColor="text1" w:val="000000"/>
        </w:rPr>
        <w:t/>
      </w:r>
      <w:r w:rsidRPr="00FF6B9A">
        <w:rPr>
          <w:rFonts w:eastAsiaTheme="minorEastAsia"/>
          <w:color w:themeColor="text1" w:val="000000"/>
          <w:kern w:val="0"/>
        </w:rPr>
        <w:t>无。</w:t>
      </w:r>
    </w:p>
    <w:p w14:paraId="1DAA7197"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§5  </w:t>
      </w:r>
      <w:r w:rsidRPr="00FF6B9A">
        <w:rPr>
          <w:rFonts w:eastAsiaTheme="minorEastAsia"/>
          <w:color w:themeColor="text1" w:val="000000"/>
          <w:kern w:val="0"/>
          <w:sz w:val="24"/>
          <w:szCs w:val="24"/>
        </w:rPr>
        <w:t>投资组合报告</w:t>
      </w:r>
    </w:p>
    <w:p w14:paraId="2ED46D8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5.1 </w:t>
      </w:r>
      <w:r w:rsidRPr="00FF6B9A">
        <w:rPr>
          <w:rFonts w:eastAsiaTheme="minor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rsidRPr="00FF6B9A">
        <w:trPr>
          <w:jc w:val="center"/>
        </w:trPr>
        <w:tc>
          <w:tcPr>
            <w:tcW w:type="dxa" w:w="720"/>
            <w:vAlign w:val="center"/>
          </w:tcPr>
          <w:p w14:paraId="267B5679"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序号</w:t>
            </w:r>
          </w:p>
        </w:tc>
        <w:tc>
          <w:tcPr>
            <w:tcW w:type="dxa" w:w="3357"/>
            <w:vAlign w:val="center"/>
          </w:tcPr>
          <w:p w14:paraId="64B125CA"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项目</w:t>
            </w:r>
          </w:p>
        </w:tc>
        <w:tc>
          <w:tcPr>
            <w:tcW w:type="dxa" w:w="2977"/>
            <w:vAlign w:val="center"/>
          </w:tcPr>
          <w:p w14:paraId="7B039B4F"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金额</w:t>
            </w:r>
            <w:r w:rsidRPr="00FF6B9A">
              <w:rPr>
                <w:rFonts w:eastAsiaTheme="minorEastAsia"/>
                <w:color w:themeColor="text1" w:val="000000"/>
                <w:kern w:val="0"/>
              </w:rPr>
              <w:t>(</w:t>
            </w:r>
            <w:r w:rsidRPr="00FF6B9A">
              <w:rPr>
                <w:rFonts w:eastAsiaTheme="minorEastAsia"/>
                <w:color w:themeColor="text1" w:val="000000"/>
                <w:kern w:val="0"/>
              </w:rPr>
              <w:t>元</w:t>
            </w:r>
            <w:r w:rsidRPr="00FF6B9A">
              <w:rPr>
                <w:rFonts w:eastAsiaTheme="minorEastAsia"/>
                <w:color w:themeColor="text1" w:val="000000"/>
                <w:kern w:val="0"/>
              </w:rPr>
              <w:t>)</w:t>
            </w:r>
          </w:p>
        </w:tc>
        <w:tc>
          <w:tcPr>
            <w:tcW w:type="dxa" w:w="1843"/>
            <w:vAlign w:val="center"/>
          </w:tcPr>
          <w:p w14:paraId="546A193D"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占基金总资产的比例</w:t>
            </w:r>
            <w:r w:rsidRPr="00FF6B9A">
              <w:rPr>
                <w:rFonts w:eastAsiaTheme="minorEastAsia"/>
                <w:color w:themeColor="text1" w:val="000000"/>
                <w:kern w:val="0"/>
              </w:rPr>
              <w:t>(%)</w:t>
            </w:r>
          </w:p>
        </w:tc>
      </w:tr>
      <w:tr w14:paraId="2C5F8168" w14:textId="77777777" w:rsidR="00D06738" w:rsidRPr="00FF6B9A">
        <w:trPr>
          <w:jc w:val="center"/>
        </w:trPr>
        <w:tc>
          <w:tcPr>
            <w:tcW w:type="dxa" w:w="720"/>
            <w:vAlign w:val="center"/>
          </w:tcPr>
          <w:p w14:paraId="790AB276"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1</w:t>
            </w:r>
          </w:p>
        </w:tc>
        <w:tc>
          <w:tcPr>
            <w:tcW w:type="dxa" w:w="3357"/>
            <w:vAlign w:val="center"/>
          </w:tcPr>
          <w:p w14:paraId="2A6D52A1"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权益投资</w:t>
            </w:r>
          </w:p>
        </w:tc>
        <w:tc>
          <w:tcPr>
            <w:tcW w:type="dxa" w:w="2977"/>
            <w:vAlign w:val="center"/>
          </w:tcPr>
          <w:p w14:paraId="3F07A469"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797,136,941.25</w:t>
            </w:r>
          </w:p>
        </w:tc>
        <w:tc>
          <w:tcPr>
            <w:tcW w:type="dxa" w:w="1843"/>
            <w:vAlign w:val="center"/>
          </w:tcPr>
          <w:p w14:paraId="233B134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92.65</w:t>
            </w:r>
          </w:p>
        </w:tc>
      </w:tr>
      <w:tr w14:paraId="2113730F" w14:textId="77777777" w:rsidR="00D06738" w:rsidRPr="00FF6B9A">
        <w:trPr>
          <w:jc w:val="center"/>
        </w:trPr>
        <w:tc>
          <w:tcPr>
            <w:tcW w:type="dxa" w:w="720"/>
            <w:vAlign w:val="center"/>
          </w:tcPr>
          <w:p w14:paraId="66F43ADC"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2830015"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其中：股票</w:t>
            </w:r>
          </w:p>
        </w:tc>
        <w:tc>
          <w:tcPr>
            <w:tcW w:type="dxa" w:w="2977"/>
            <w:vAlign w:val="center"/>
          </w:tcPr>
          <w:p w14:paraId="36A710A1"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797,136,941.25</w:t>
            </w:r>
          </w:p>
        </w:tc>
        <w:tc>
          <w:tcPr>
            <w:tcW w:type="dxa" w:w="1843"/>
            <w:vAlign w:val="center"/>
          </w:tcPr>
          <w:p w14:paraId="4235B2A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92.65</w:t>
            </w:r>
          </w:p>
        </w:tc>
      </w:tr>
      <w:tr w14:paraId="7AF15202" w14:textId="77777777" w:rsidR="00D06738" w:rsidRPr="00FF6B9A">
        <w:trPr>
          <w:jc w:val="center"/>
        </w:trPr>
        <w:tc>
          <w:tcPr>
            <w:tcW w:type="dxa" w:w="720"/>
            <w:vAlign w:val="center"/>
          </w:tcPr>
          <w:p w14:paraId="0231B762"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2</w:t>
            </w:r>
          </w:p>
        </w:tc>
        <w:tc>
          <w:tcPr>
            <w:tcW w:type="dxa" w:w="3357"/>
            <w:vAlign w:val="center"/>
          </w:tcPr>
          <w:p w14:paraId="4854CF2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固定收益投资</w:t>
            </w:r>
          </w:p>
        </w:tc>
        <w:tc>
          <w:tcPr>
            <w:tcW w:type="dxa" w:w="2977"/>
            <w:vAlign w:val="center"/>
          </w:tcPr>
          <w:p w14:paraId="789C70AC"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249B7557"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19D15F90" w14:textId="77777777" w:rsidR="00D06738" w:rsidRPr="00FF6B9A">
        <w:trPr>
          <w:jc w:val="center"/>
        </w:trPr>
        <w:tc>
          <w:tcPr>
            <w:tcW w:type="dxa" w:w="720"/>
            <w:vAlign w:val="center"/>
          </w:tcPr>
          <w:p w14:paraId="16E41AE7"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7E8D347"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其中：债券</w:t>
            </w:r>
          </w:p>
        </w:tc>
        <w:tc>
          <w:tcPr>
            <w:tcW w:type="dxa" w:w="2977"/>
            <w:vAlign w:val="center"/>
          </w:tcPr>
          <w:p w14:paraId="49FE2FF2"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378238FF"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62562C15" w14:textId="77777777" w:rsidR="00D06738" w:rsidRPr="00FF6B9A">
        <w:trPr>
          <w:jc w:val="center"/>
        </w:trPr>
        <w:tc>
          <w:tcPr>
            <w:tcW w:type="dxa" w:w="720"/>
            <w:vAlign w:val="center"/>
          </w:tcPr>
          <w:p w14:paraId="104BD163"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7AC6DAD" w14:textId="77777777" w:rsidR="00D06738" w:rsidRDefault="00454D20" w:rsidRPr="00FF6B9A">
            <w:pPr>
              <w:autoSpaceDE w:val="0"/>
              <w:autoSpaceDN w:val="0"/>
              <w:adjustRightInd w:val="0"/>
              <w:spacing w:before="29" w:line="360" w:lineRule="auto"/>
              <w:ind w:firstLine="525" w:firstLineChars="250" w:left="17"/>
              <w:jc w:val="left"/>
              <w:rPr>
                <w:rFonts w:eastAsiaTheme="minorEastAsia"/>
                <w:color w:themeColor="text1" w:val="000000"/>
                <w:kern w:val="0"/>
              </w:rPr>
            </w:pPr>
            <w:r w:rsidRPr="00FF6B9A">
              <w:rPr>
                <w:rFonts w:eastAsiaTheme="minorEastAsia"/>
                <w:color w:themeColor="text1" w:val="000000"/>
                <w:kern w:val="0"/>
              </w:rPr>
              <w:t>资产支持证券</w:t>
            </w:r>
          </w:p>
        </w:tc>
        <w:tc>
          <w:tcPr>
            <w:tcW w:type="dxa" w:w="2977"/>
            <w:vAlign w:val="center"/>
          </w:tcPr>
          <w:p w14:paraId="3CF84DD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1CCF9364"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r w:rsidRPr="00FF6B9A">
              <w:rPr>
                <w:rFonts w:eastAsiaTheme="minorEastAsia"/>
                <w:color w:themeColor="text1" w:val="000000"/>
                <w:kern w:val="0"/>
              </w:rPr>
              <w:lastRenderedPageBreak/>
              <w:t>-</w:t>
            </w:r>
          </w:p>
        </w:tc>
      </w:tr>
      <w:tr w14:paraId="3F449325" w14:textId="77777777" w:rsidR="00D06738" w:rsidRPr="00FF6B9A">
        <w:trPr>
          <w:jc w:val="center"/>
        </w:trPr>
        <w:tc>
          <w:tcPr>
            <w:tcW w:type="dxa" w:w="720"/>
          </w:tcPr>
          <w:p w14:paraId="1EE609C8"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lastRenderedPageBreak/>
              <w:t>3</w:t>
            </w:r>
          </w:p>
        </w:tc>
        <w:tc>
          <w:tcPr>
            <w:tcW w:type="dxa" w:w="3357"/>
          </w:tcPr>
          <w:p w14:paraId="7A120390" w14:textId="77777777" w:rsidR="00D06738" w:rsidRDefault="00454D20" w:rsidRPr="00FF6B9A">
            <w:pPr>
              <w:spacing w:before="29" w:line="360" w:lineRule="auto"/>
              <w:ind w:left="105" w:leftChars="50"/>
              <w:rPr>
                <w:rFonts w:eastAsiaTheme="minorEastAsia"/>
                <w:color w:themeColor="text1" w:val="000000"/>
                <w:kern w:val="0"/>
              </w:rPr>
            </w:pPr>
            <w:r w:rsidRPr="00FF6B9A">
              <w:rPr>
                <w:rFonts w:eastAsiaTheme="minorEastAsia"/>
                <w:color w:themeColor="text1" w:val="000000"/>
                <w:kern w:val="0"/>
              </w:rPr>
              <w:t>贵金属投资</w:t>
            </w:r>
          </w:p>
        </w:tc>
        <w:tc>
          <w:tcPr>
            <w:tcW w:type="dxa" w:w="2977"/>
            <w:vAlign w:val="center"/>
          </w:tcPr>
          <w:p w14:paraId="201F973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76F8BBA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0209BD0" w14:textId="77777777" w:rsidR="00D06738" w:rsidRPr="00FF6B9A">
        <w:trPr>
          <w:jc w:val="center"/>
        </w:trPr>
        <w:tc>
          <w:tcPr>
            <w:tcW w:type="dxa" w:w="720"/>
            <w:vAlign w:val="center"/>
          </w:tcPr>
          <w:p w14:paraId="44CDCE6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4</w:t>
            </w:r>
          </w:p>
        </w:tc>
        <w:tc>
          <w:tcPr>
            <w:tcW w:type="dxa" w:w="3357"/>
            <w:vAlign w:val="center"/>
          </w:tcPr>
          <w:p w14:paraId="26733435"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金融衍生</w:t>
            </w:r>
            <w:proofErr w:type="gramStart"/>
            <w:r w:rsidRPr="00FF6B9A">
              <w:rPr>
                <w:rFonts w:eastAsiaTheme="minorEastAsia"/>
                <w:color w:themeColor="text1" w:val="000000"/>
                <w:kern w:val="0"/>
              </w:rPr>
              <w:t>品投资</w:t>
            </w:r>
            <w:proofErr w:type="gramEnd"/>
          </w:p>
        </w:tc>
        <w:tc>
          <w:tcPr>
            <w:tcW w:type="dxa" w:w="2977"/>
            <w:vAlign w:val="center"/>
          </w:tcPr>
          <w:p w14:paraId="2CA6AE5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117B3EB0"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69083124" w14:textId="77777777" w:rsidR="00D06738" w:rsidRPr="00FF6B9A">
        <w:trPr>
          <w:jc w:val="center"/>
        </w:trPr>
        <w:tc>
          <w:tcPr>
            <w:tcW w:type="dxa" w:w="720"/>
            <w:vAlign w:val="center"/>
          </w:tcPr>
          <w:p w14:paraId="3E06450B"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5</w:t>
            </w:r>
          </w:p>
        </w:tc>
        <w:tc>
          <w:tcPr>
            <w:tcW w:type="dxa" w:w="3357"/>
            <w:vAlign w:val="center"/>
          </w:tcPr>
          <w:p w14:paraId="11937F9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买入返售金融资产</w:t>
            </w:r>
          </w:p>
        </w:tc>
        <w:tc>
          <w:tcPr>
            <w:tcW w:type="dxa" w:w="2977"/>
            <w:vAlign w:val="center"/>
          </w:tcPr>
          <w:p w14:paraId="6293112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3F06200C"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5EFCF5A8" w14:textId="77777777" w:rsidR="00D06738" w:rsidRPr="00FF6B9A">
        <w:trPr>
          <w:jc w:val="center"/>
        </w:trPr>
        <w:tc>
          <w:tcPr>
            <w:tcW w:type="dxa" w:w="720"/>
            <w:vAlign w:val="center"/>
          </w:tcPr>
          <w:p w14:paraId="7A522889"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3CEA16A4"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其中：买断式回购的买入返售金融资产</w:t>
            </w:r>
          </w:p>
        </w:tc>
        <w:tc>
          <w:tcPr>
            <w:tcW w:type="dxa" w:w="2977"/>
            <w:vAlign w:val="center"/>
          </w:tcPr>
          <w:p w14:paraId="7B73699E"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c>
          <w:tcPr>
            <w:tcW w:type="dxa" w:w="1843"/>
            <w:vAlign w:val="center"/>
          </w:tcPr>
          <w:p w14:paraId="15A7BCA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786251D7" w14:textId="77777777" w:rsidR="00D06738" w:rsidRPr="00FF6B9A">
        <w:trPr>
          <w:jc w:val="center"/>
        </w:trPr>
        <w:tc>
          <w:tcPr>
            <w:tcW w:type="dxa" w:w="720"/>
            <w:vAlign w:val="center"/>
          </w:tcPr>
          <w:p w14:paraId="2969279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6</w:t>
            </w:r>
          </w:p>
        </w:tc>
        <w:tc>
          <w:tcPr>
            <w:tcW w:type="dxa" w:w="3357"/>
            <w:vAlign w:val="center"/>
          </w:tcPr>
          <w:p w14:paraId="421FB0F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银行存款和结算备付金合计</w:t>
            </w:r>
          </w:p>
        </w:tc>
        <w:tc>
          <w:tcPr>
            <w:tcW w:type="dxa" w:w="2977"/>
            <w:vAlign w:val="center"/>
          </w:tcPr>
          <w:p w14:paraId="54D555B7"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59,266,175.08</w:t>
            </w:r>
          </w:p>
        </w:tc>
        <w:tc>
          <w:tcPr>
            <w:tcW w:type="dxa" w:w="1843"/>
            <w:vAlign w:val="center"/>
          </w:tcPr>
          <w:p w14:paraId="174620B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r w:rsidRPr="00FF6B9A">
              <w:rPr>
                <w:rFonts w:eastAsiaTheme="minorEastAsia"/>
                <w:color w:themeColor="text1" w:val="000000"/>
                <w:kern w:val="0"/>
              </w:rPr>
              <w:lastRenderedPageBreak/>
              <w:t>6.89</w:t>
            </w:r>
          </w:p>
        </w:tc>
      </w:tr>
      <w:tr w14:paraId="42ECF5E1" w14:textId="77777777" w:rsidR="00D06738" w:rsidRPr="00FF6B9A">
        <w:trPr>
          <w:jc w:val="center"/>
        </w:trPr>
        <w:tc>
          <w:tcPr>
            <w:tcW w:type="dxa" w:w="720"/>
            <w:vAlign w:val="center"/>
          </w:tcPr>
          <w:p w14:paraId="59AA2BC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7</w:t>
            </w:r>
          </w:p>
        </w:tc>
        <w:tc>
          <w:tcPr>
            <w:tcW w:type="dxa" w:w="3357"/>
            <w:vAlign w:val="center"/>
          </w:tcPr>
          <w:p w14:paraId="705D6B78" w14:textId="77777777" w:rsidR="00D06738" w:rsidRDefault="00454D20" w:rsidRPr="00FF6B9A">
            <w:pPr>
              <w:jc w:val="left"/>
              <w:rPr>
                <w:rFonts w:eastAsiaTheme="minorEastAsia"/>
                <w:color w:themeColor="text1" w:val="000000"/>
                <w:kern w:val="0"/>
              </w:rPr>
            </w:pPr>
            <w:r w:rsidRPr="00FF6B9A">
              <w:rPr>
                <w:rFonts w:eastAsiaTheme="minorEastAsia"/>
                <w:color w:themeColor="text1" w:val="000000"/>
                <w:kern w:val="0"/>
              </w:rPr>
              <w:t>其他各项资产</w:t>
            </w:r>
          </w:p>
        </w:tc>
        <w:tc>
          <w:tcPr>
            <w:tcW w:type="dxa" w:w="2977"/>
            <w:vAlign w:val="center"/>
          </w:tcPr>
          <w:p w14:paraId="4AF0CB10"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3,968,318.77</w:t>
            </w:r>
          </w:p>
        </w:tc>
        <w:tc>
          <w:tcPr>
            <w:tcW w:type="dxa" w:w="1843"/>
            <w:vAlign w:val="center"/>
          </w:tcPr>
          <w:p w14:paraId="12AAF10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0.46</w:t>
            </w:r>
          </w:p>
        </w:tc>
      </w:tr>
      <w:tr w14:paraId="4D6FFA71" w14:textId="77777777" w:rsidR="00D06738" w:rsidRPr="00FF6B9A">
        <w:trPr>
          <w:jc w:val="center"/>
        </w:trPr>
        <w:tc>
          <w:tcPr>
            <w:tcW w:type="dxa" w:w="720"/>
            <w:vAlign w:val="center"/>
          </w:tcPr>
          <w:p w14:paraId="17A180E6"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8</w:t>
            </w:r>
          </w:p>
        </w:tc>
        <w:tc>
          <w:tcPr>
            <w:tcW w:type="dxa" w:w="3357"/>
            <w:vAlign w:val="center"/>
          </w:tcPr>
          <w:p w14:paraId="29DAA7F6" w14:textId="77777777" w:rsidR="00D06738" w:rsidRDefault="00454D20" w:rsidRPr="00FF6B9A">
            <w:pPr>
              <w:jc w:val="left"/>
              <w:rPr>
                <w:rFonts w:eastAsiaTheme="minorEastAsia"/>
                <w:color w:themeColor="text1" w:val="000000"/>
                <w:kern w:val="0"/>
              </w:rPr>
            </w:pPr>
            <w:r w:rsidRPr="00FF6B9A">
              <w:rPr>
                <w:rFonts w:eastAsiaTheme="minorEastAsia"/>
                <w:color w:themeColor="text1" w:val="000000"/>
                <w:kern w:val="0"/>
              </w:rPr>
              <w:t>合计</w:t>
            </w:r>
          </w:p>
        </w:tc>
        <w:tc>
          <w:tcPr>
            <w:tcW w:type="dxa" w:w="2977"/>
            <w:vAlign w:val="center"/>
          </w:tcPr>
          <w:p w14:paraId="446A48E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860,371,435.10</w:t>
            </w:r>
          </w:p>
        </w:tc>
        <w:tc>
          <w:tcPr>
            <w:tcW w:type="dxa" w:w="1843"/>
            <w:vAlign w:val="center"/>
          </w:tcPr>
          <w:p w14:paraId="3C7AC8A3"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100.00</w:t>
            </w:r>
          </w:p>
        </w:tc>
      </w:tr>
    </w:tbl>
    <w:p w14:paraId="6175743F" w14:textId="77777777" w:rsidR="00D06738" w:rsidRDefault="00D06738" w:rsidRPr="00FF6B9A">
      <w:pPr>
        <w:autoSpaceDE w:val="0"/>
        <w:autoSpaceDN w:val="0"/>
        <w:adjustRightInd w:val="0"/>
        <w:spacing w:line="360" w:lineRule="auto"/>
        <w:jc w:val="left"/>
        <w:rPr>
          <w:rFonts w:eastAsiaTheme="minorEastAsia"/>
          <w:color w:themeColor="text1" w:val="000000"/>
          <w:sz w:val="24"/>
          <w:szCs w:val="24"/>
        </w:rPr>
      </w:pPr>
    </w:p>
    <w:p w14:paraId="71F975B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5.2 </w:t>
      </w:r>
      <w:r w:rsidRPr="00FF6B9A">
        <w:rPr>
          <w:rFonts w:eastAsiaTheme="minorEastAsia"/>
          <w:b/>
          <w:bCs/>
          <w:color w:themeColor="text1" w:val="000000"/>
          <w:kern w:val="0"/>
          <w:sz w:val="24"/>
          <w:szCs w:val="24"/>
        </w:rPr>
        <w:t>报告期末按行业分类的股票投资组合</w:t>
      </w:r>
    </w:p>
    <w:p w14:paraId="0A24FB38" w14:textId="77777777" w:rsidR="00D06738" w:rsidRDefault="00454D20" w:rsidRPr="00FF6B9A">
      <w:pPr>
        <w:rPr>
          <w:b/>
        </w:rPr>
      </w:pPr>
      <w:r w:rsidRPr="00FF6B9A">
        <w:rPr>
          <w:b/>
          <w:color w:themeColor="text1" w:val="000000"/>
        </w:rPr>
        <w:t/>
      </w:r>
      <w:proofErr w:type="spellStart"/>
      <w:r w:rsidRPr="00FF6B9A">
        <w:rPr>
          <w:b/>
          <w:color w:themeColor="text1" w:val="000000"/>
        </w:rPr>
        <w:t/>
      </w:r>
      <w:proofErr w:type="spellEnd"/>
      <w:r w:rsidRPr="00FF6B9A">
        <w:rPr>
          <w:b/>
          <w:color w:themeColor="text1" w:val="000000"/>
        </w:rPr>
        <w:t/>
      </w:r>
      <w:r w:rsidRPr="00FF6B9A">
        <w:rPr>
          <w:rFonts w:eastAsiaTheme="minorEastAsia"/>
          <w:b/>
          <w:color w:themeColor="text1" w:val="000000"/>
          <w:kern w:val="0"/>
        </w:rPr>
        <w:t>5.2.1</w:t>
      </w:r>
      <w:r w:rsidRPr="00FF6B9A">
        <w:rPr>
          <w:rFonts w:eastAsiaTheme="minor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rsidRPr="00FF6B9A">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代码</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占基金资产净值比例（％）</w:t>
            </w:r>
          </w:p>
        </w:tc>
      </w:tr>
      <w:tr w14:paraId="651FF96F"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2B8EF369"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p w14:paraId="72CB0322" w14:textId="77777777" w:rsidR="00D06738" w:rsidRDefault="00D06738" w:rsidRPr="00FF6B9A">
            <w:pPr>
              <w:jc w:val="right"/>
              <w:rPr>
                <w:rFonts w:eastAsia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p w14:paraId="5DCD6455" w14:textId="77777777" w:rsidR="00D06738" w:rsidRDefault="00D06738" w:rsidRPr="00FF6B9A">
            <w:pPr>
              <w:jc w:val="right"/>
              <w:rPr>
                <w:rFonts w:eastAsiaTheme="minorEastAsia"/>
                <w:color w:themeColor="text1" w:val="000000"/>
                <w:kern w:val="0"/>
              </w:rPr>
            </w:pPr>
          </w:p>
        </w:tc>
      </w:tr>
      <w:tr w14:paraId="3470B292"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693,424,165.19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81.80</w:t>
            </w:r>
          </w:p>
        </w:tc>
      </w:tr>
      <w:tr w14:paraId="53F8CFE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13,020.39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0.00</w:t>
            </w:r>
          </w:p>
        </w:tc>
      </w:tr>
      <w:tr w14:paraId="1B8429A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6,878,988.57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0.81</w:t>
            </w:r>
          </w:p>
        </w:tc>
      </w:tr>
      <w:tr w14:paraId="25A56BDE"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73,523.22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0.01</w:t>
            </w:r>
          </w:p>
        </w:tc>
      </w:tr>
      <w:tr w14:paraId="68AD7C4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22,231,935.30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2.62</w:t>
            </w:r>
          </w:p>
        </w:tc>
      </w:tr>
      <w:tr w14:paraId="545862F1"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EB68E1B"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3,122,603.33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0.37</w:t>
            </w:r>
          </w:p>
        </w:tc>
      </w:tr>
      <w:tr w14:paraId="379675A7"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4,235,120.10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0.50</w:t>
            </w:r>
          </w:p>
        </w:tc>
      </w:tr>
      <w:tr w14:paraId="3FE1377D"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6630310"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07EC249A"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66,105,877.81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7.80</w:t>
            </w:r>
          </w:p>
        </w:tc>
      </w:tr>
      <w:tr w14:paraId="69D921F3"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164,305.14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0.02</w:t>
            </w:r>
          </w:p>
        </w:tc>
      </w:tr>
      <w:tr w14:paraId="090E46DF"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kern w:val="0"/>
              </w:rPr>
              <w:lastRenderedPageBreak/>
              <w:t/>
            </w:r>
            <w:proofErr w:type="spellEnd"/>
            <w:r w:rsidRPr="00FF6B9A">
              <w:rPr>
                <w:rFonts w:eastAsiaTheme="minorEastAsia"/>
                <w:color w:themeColor="text1" w:val="000000"/>
                <w:kern w:val="0"/>
              </w:rPr>
              <w:t>-</w:t>
            </w:r>
          </w:p>
        </w:tc>
      </w:tr>
      <w:tr w14:paraId="684B91C8"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58A809B6"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96,650.00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0.01</w:t>
            </w:r>
          </w:p>
        </w:tc>
      </w:tr>
      <w:tr w14:paraId="0C10CFD7"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790,752.20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0.09</w:t>
            </w:r>
          </w:p>
        </w:tc>
      </w:tr>
      <w:tr w14:paraId="78F46200"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5AD397BD"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rsidRPr="00FF6B9A">
            <w:pPr>
              <w:adjustRightInd w:val="0"/>
              <w:snapToGrid w:val="0"/>
              <w:spacing w:line="400" w:lineRule="exact"/>
              <w:jc w:val="center"/>
              <w:rPr>
                <w:rFonts w:eastAsia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797,136,941.25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94.04</w:t>
            </w:r>
          </w:p>
        </w:tc>
      </w:tr>
    </w:tbl>
    <w:p w14:paraId="0F45C821"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0B00694" w14:textId="77777777" w:rsidP="00FF6B9A" w:rsidR="00FF6B9A" w:rsidRDefault="00FF6B9A" w:rsidRPr="00FF6B9A">
      <w:pPr>
        <w:spacing w:line="360" w:lineRule="auto"/>
        <w:rPr>
          <w:rFonts w:eastAsiaTheme="minorEastAsia"/>
          <w:sz w:val="24"/>
          <w:szCs w:val="24"/>
        </w:rPr>
      </w:pPr>
      <w:bookmarkStart w:id="3"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type="auto" w:w="0"/>
        <w:tblLayout w:type="fixed"/>
        <w:tblLook w:firstColumn="1" w:firstRow="1" w:lastColumn="0" w:lastRow="0" w:noHBand="0" w:noVBand="1" w:val="04A0"/>
      </w:tblPr>
      <w:tblGrid>
        <w:gridCol w:w="817"/>
        <w:gridCol w:w="1276"/>
        <w:gridCol w:w="1701"/>
        <w:gridCol w:w="1276"/>
        <w:gridCol w:w="1842"/>
        <w:gridCol w:w="1616"/>
      </w:tblGrid>
      <w:tr w14:paraId="6EFFF3EB" w14:textId="77777777" w:rsidR="00FF6B9A" w:rsidRPr="00FF6B9A" w:rsidTr="00D913A1">
        <w:tc>
          <w:tcPr>
            <w:tcW w:type="dxa" w:w="817"/>
            <w:vAlign w:val="center"/>
          </w:tcPr>
          <w:p w14:paraId="3BF93561"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type="dxa" w:w="1276"/>
            <w:vAlign w:val="center"/>
          </w:tcPr>
          <w:p w14:paraId="6281AD5E"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type="dxa" w:w="1701"/>
            <w:vAlign w:val="center"/>
          </w:tcPr>
          <w:p w14:paraId="23E4D4E7"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type="dxa" w:w="1276"/>
            <w:vAlign w:val="center"/>
          </w:tcPr>
          <w:p w14:paraId="1CC86F06"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type="dxa" w:w="1842"/>
            <w:vAlign w:val="center"/>
          </w:tcPr>
          <w:p w14:paraId="5057E922" w14:textId="77777777" w:rsidP="00D913A1" w:rsidR="00FF6B9A" w:rsidRDefault="00FF6B9A" w:rsidRPr="00FF6B9A">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type="dxa" w:w="1616"/>
            <w:vAlign w:val="center"/>
          </w:tcPr>
          <w:p w14:paraId="5797A0C8"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tc>
          <w:tcPr>
            <w:vAlign w:val="center"/>
          </w:tcPr>
          <w:p>
            <w:pPr>
              <w:jc w:val="center"/>
            </w:pPr>
            <w:r>
              <w:rPr>
                <w:rFonts w:eastAsiaTheme="minorEastAsia"/>
                <w:kern w:val="0"/>
                <w:sz w:val="24"/>
                <w:szCs w:val="24"/>
              </w:rPr>
              <w:t>1</w:t>
            </w:r>
          </w:p>
        </w:tc>
        <w:tc>
          <w:tcPr>
            <w:vAlign w:val="center"/>
          </w:tcPr>
          <w:p>
            <w:pPr>
              <w:jc w:val="center"/>
            </w:pPr>
            <w:r>
              <w:rPr>
                <w:rFonts w:eastAsiaTheme="minorEastAsia"/>
                <w:kern w:val="0"/>
                <w:sz w:val="24"/>
                <w:szCs w:val="24"/>
              </w:rPr>
              <w:t>603486</w:t>
            </w:r>
          </w:p>
        </w:tc>
        <w:tc>
          <w:tcPr>
            <w:vAlign w:val="center"/>
          </w:tcPr>
          <w:p>
            <w:pPr>
              <w:jc w:val="center"/>
            </w:pPr>
            <w:r>
              <w:rPr>
                <w:rFonts w:eastAsiaTheme="minorEastAsia"/>
                <w:kern w:val="0"/>
                <w:sz w:val="24"/>
                <w:szCs w:val="24"/>
              </w:rPr>
              <w:t>科沃斯</w:t>
            </w:r>
          </w:p>
        </w:tc>
        <w:tc>
          <w:tcPr>
            <w:vAlign w:val="center"/>
          </w:tcPr>
          <w:p>
            <w:pPr>
              <w:jc w:val="right"/>
            </w:pPr>
            <w:r>
              <w:rPr>
                <w:rFonts w:eastAsiaTheme="minorEastAsia"/>
                <w:kern w:val="0"/>
                <w:sz w:val="24"/>
                <w:szCs w:val="24"/>
              </w:rPr>
              <w:t>339,776.00</w:t>
            </w:r>
          </w:p>
        </w:tc>
        <w:tc>
          <w:tcPr>
            <w:vAlign w:val="center"/>
          </w:tcPr>
          <w:p>
            <w:pPr>
              <w:jc w:val="right"/>
            </w:pPr>
            <w:r>
              <w:rPr>
                <w:rFonts w:eastAsiaTheme="minorEastAsia"/>
                <w:kern w:val="0"/>
                <w:sz w:val="24"/>
                <w:szCs w:val="24"/>
              </w:rPr>
              <w:t>77,496,110.08</w:t>
            </w:r>
          </w:p>
        </w:tc>
        <w:tc>
          <w:tcPr>
            <w:vAlign w:val="center"/>
          </w:tcPr>
          <w:p>
            <w:pPr>
              <w:jc w:val="right"/>
            </w:pPr>
            <w:r>
              <w:rPr>
                <w:rFonts w:eastAsiaTheme="minorEastAsia"/>
                <w:kern w:val="0"/>
                <w:sz w:val="24"/>
                <w:szCs w:val="24"/>
              </w:rPr>
              <w:t>9.14</w:t>
            </w:r>
          </w:p>
        </w:tc>
      </w:tr>
      <w:tr>
        <w:tc>
          <w:tcPr>
            <w:vAlign w:val="center"/>
          </w:tcPr>
          <w:p>
            <w:pPr>
              <w:jc w:val="center"/>
            </w:pPr>
            <w:r>
              <w:rPr>
                <w:rFonts w:eastAsiaTheme="minorEastAsia"/>
                <w:kern w:val="0"/>
                <w:sz w:val="24"/>
                <w:szCs w:val="24"/>
              </w:rPr>
              <w:t>2</w:t>
            </w:r>
          </w:p>
        </w:tc>
        <w:tc>
          <w:tcPr>
            <w:vAlign w:val="center"/>
          </w:tcPr>
          <w:p>
            <w:pPr>
              <w:jc w:val="center"/>
            </w:pPr>
            <w:r>
              <w:rPr>
                <w:rFonts w:eastAsiaTheme="minorEastAsia"/>
                <w:kern w:val="0"/>
                <w:sz w:val="24"/>
                <w:szCs w:val="24"/>
              </w:rPr>
              <w:t>603501</w:t>
            </w:r>
          </w:p>
        </w:tc>
        <w:tc>
          <w:tcPr>
            <w:vAlign w:val="center"/>
          </w:tcPr>
          <w:p>
            <w:pPr>
              <w:jc w:val="center"/>
            </w:pPr>
            <w:r>
              <w:rPr>
                <w:rFonts w:eastAsiaTheme="minorEastAsia"/>
                <w:kern w:val="0"/>
                <w:sz w:val="24"/>
                <w:szCs w:val="24"/>
              </w:rPr>
              <w:t>韦尔股份</w:t>
            </w:r>
          </w:p>
        </w:tc>
        <w:tc>
          <w:tcPr>
            <w:vAlign w:val="center"/>
          </w:tcPr>
          <w:p>
            <w:pPr>
              <w:jc w:val="right"/>
            </w:pPr>
            <w:r>
              <w:rPr>
                <w:rFonts w:eastAsiaTheme="minorEastAsia"/>
                <w:kern w:val="0"/>
                <w:sz w:val="24"/>
                <w:szCs w:val="24"/>
              </w:rPr>
              <w:t>232,000.00</w:t>
            </w:r>
          </w:p>
        </w:tc>
        <w:tc>
          <w:tcPr>
            <w:vAlign w:val="center"/>
          </w:tcPr>
          <w:p>
            <w:pPr>
              <w:jc w:val="right"/>
            </w:pPr>
            <w:r>
              <w:rPr>
                <w:rFonts w:eastAsiaTheme="minorEastAsia"/>
                <w:kern w:val="0"/>
                <w:sz w:val="24"/>
                <w:szCs w:val="24"/>
              </w:rPr>
              <w:t>74,704,000.00</w:t>
            </w:r>
          </w:p>
        </w:tc>
        <w:tc>
          <w:tcPr>
            <w:vAlign w:val="center"/>
          </w:tcPr>
          <w:p>
            <w:pPr>
              <w:jc w:val="right"/>
            </w:pPr>
            <w:r>
              <w:rPr>
                <w:rFonts w:eastAsiaTheme="minorEastAsia"/>
                <w:kern w:val="0"/>
                <w:sz w:val="24"/>
                <w:szCs w:val="24"/>
              </w:rPr>
              <w:t>8.81</w:t>
            </w:r>
          </w:p>
        </w:tc>
      </w:tr>
      <w:tr>
        <w:tc>
          <w:tcPr>
            <w:vAlign w:val="center"/>
          </w:tcPr>
          <w:p>
            <w:pPr>
              <w:jc w:val="center"/>
            </w:pPr>
            <w:r>
              <w:rPr>
                <w:rFonts w:eastAsiaTheme="minorEastAsia"/>
                <w:kern w:val="0"/>
                <w:sz w:val="24"/>
                <w:szCs w:val="24"/>
              </w:rPr>
              <w:t>3</w:t>
            </w:r>
          </w:p>
        </w:tc>
        <w:tc>
          <w:tcPr>
            <w:vAlign w:val="center"/>
          </w:tcPr>
          <w:p>
            <w:pPr>
              <w:jc w:val="center"/>
            </w:pPr>
            <w:r>
              <w:rPr>
                <w:rFonts w:eastAsiaTheme="minorEastAsia"/>
                <w:kern w:val="0"/>
                <w:sz w:val="24"/>
                <w:szCs w:val="24"/>
              </w:rPr>
              <w:t>300750</w:t>
            </w:r>
          </w:p>
        </w:tc>
        <w:tc>
          <w:tcPr>
            <w:vAlign w:val="center"/>
          </w:tcPr>
          <w:p>
            <w:pPr>
              <w:jc w:val="center"/>
            </w:pPr>
            <w:r>
              <w:rPr>
                <w:rFonts w:eastAsiaTheme="minorEastAsia"/>
                <w:kern w:val="0"/>
                <w:sz w:val="24"/>
                <w:szCs w:val="24"/>
              </w:rPr>
              <w:t>宁德时代</w:t>
            </w:r>
          </w:p>
        </w:tc>
        <w:tc>
          <w:tcPr>
            <w:vAlign w:val="center"/>
          </w:tcPr>
          <w:p>
            <w:pPr>
              <w:jc w:val="right"/>
            </w:pPr>
            <w:r>
              <w:rPr>
                <w:rFonts w:eastAsiaTheme="minorEastAsia"/>
                <w:kern w:val="0"/>
                <w:sz w:val="24"/>
                <w:szCs w:val="24"/>
              </w:rPr>
              <w:t>132,800.00</w:t>
            </w:r>
          </w:p>
        </w:tc>
        <w:tc>
          <w:tcPr>
            <w:vAlign w:val="center"/>
          </w:tcPr>
          <w:p>
            <w:pPr>
              <w:jc w:val="right"/>
            </w:pPr>
            <w:r>
              <w:rPr>
                <w:rFonts w:eastAsiaTheme="minorEastAsia"/>
                <w:kern w:val="0"/>
                <w:sz w:val="24"/>
                <w:szCs w:val="24"/>
              </w:rPr>
              <w:t>71,021,440.00</w:t>
            </w:r>
          </w:p>
        </w:tc>
        <w:tc>
          <w:tcPr>
            <w:vAlign w:val="center"/>
          </w:tcPr>
          <w:p>
            <w:pPr>
              <w:jc w:val="right"/>
            </w:pPr>
            <w:r>
              <w:rPr>
                <w:rFonts w:eastAsiaTheme="minorEastAsia"/>
                <w:kern w:val="0"/>
                <w:sz w:val="24"/>
                <w:szCs w:val="24"/>
              </w:rPr>
              <w:t>8.38</w:t>
            </w:r>
          </w:p>
        </w:tc>
      </w:tr>
      <w:tr>
        <w:tc>
          <w:tcPr>
            <w:vAlign w:val="center"/>
          </w:tcPr>
          <w:p>
            <w:pPr>
              <w:jc w:val="center"/>
            </w:pPr>
            <w:r>
              <w:rPr>
                <w:rFonts w:eastAsiaTheme="minorEastAsia"/>
                <w:kern w:val="0"/>
                <w:sz w:val="24"/>
                <w:szCs w:val="24"/>
              </w:rPr>
              <w:t>4</w:t>
            </w:r>
          </w:p>
        </w:tc>
        <w:tc>
          <w:tcPr>
            <w:vAlign w:val="center"/>
          </w:tcPr>
          <w:p>
            <w:pPr>
              <w:jc w:val="center"/>
            </w:pPr>
            <w:r>
              <w:rPr>
                <w:rFonts w:eastAsiaTheme="minorEastAsia"/>
                <w:kern w:val="0"/>
                <w:sz w:val="24"/>
                <w:szCs w:val="24"/>
              </w:rPr>
              <w:t>603259</w:t>
            </w:r>
          </w:p>
        </w:tc>
        <w:tc>
          <w:tcPr>
            <w:vAlign w:val="center"/>
          </w:tcPr>
          <w:p>
            <w:pPr>
              <w:jc w:val="center"/>
            </w:pPr>
            <w:r>
              <w:rPr>
                <w:rFonts w:eastAsiaTheme="minorEastAsia"/>
                <w:kern w:val="0"/>
                <w:sz w:val="24"/>
                <w:szCs w:val="24"/>
              </w:rPr>
              <w:t>药明康德</w:t>
            </w:r>
          </w:p>
        </w:tc>
        <w:tc>
          <w:tcPr>
            <w:vAlign w:val="center"/>
          </w:tcPr>
          <w:p>
            <w:pPr>
              <w:jc w:val="right"/>
            </w:pPr>
            <w:r>
              <w:rPr>
                <w:rFonts w:eastAsiaTheme="minorEastAsia"/>
                <w:kern w:val="0"/>
                <w:sz w:val="24"/>
                <w:szCs w:val="24"/>
              </w:rPr>
              <w:t>422,159.00</w:t>
            </w:r>
          </w:p>
        </w:tc>
        <w:tc>
          <w:tcPr>
            <w:vAlign w:val="center"/>
          </w:tcPr>
          <w:p>
            <w:pPr>
              <w:jc w:val="right"/>
            </w:pPr>
            <w:r>
              <w:rPr>
                <w:rFonts w:eastAsiaTheme="minorEastAsia"/>
                <w:kern w:val="0"/>
                <w:sz w:val="24"/>
                <w:szCs w:val="24"/>
              </w:rPr>
              <w:t>66,105,877.81</w:t>
            </w:r>
          </w:p>
        </w:tc>
        <w:tc>
          <w:tcPr>
            <w:vAlign w:val="center"/>
          </w:tcPr>
          <w:p>
            <w:pPr>
              <w:jc w:val="right"/>
            </w:pPr>
            <w:r>
              <w:rPr>
                <w:rFonts w:eastAsiaTheme="minorEastAsia"/>
                <w:kern w:val="0"/>
                <w:sz w:val="24"/>
                <w:szCs w:val="24"/>
              </w:rPr>
              <w:t>7.80</w:t>
            </w:r>
          </w:p>
        </w:tc>
      </w:tr>
      <w:tr>
        <w:tc>
          <w:tcPr>
            <w:vAlign w:val="center"/>
          </w:tcPr>
          <w:p>
            <w:pPr>
              <w:jc w:val="center"/>
            </w:pPr>
            <w:r>
              <w:rPr>
                <w:rFonts w:eastAsiaTheme="minorEastAsia"/>
                <w:kern w:val="0"/>
                <w:sz w:val="24"/>
                <w:szCs w:val="24"/>
              </w:rPr>
              <w:t>5</w:t>
            </w:r>
          </w:p>
        </w:tc>
        <w:tc>
          <w:tcPr>
            <w:vAlign w:val="center"/>
          </w:tcPr>
          <w:p>
            <w:pPr>
              <w:jc w:val="center"/>
            </w:pPr>
            <w:r>
              <w:rPr>
                <w:rFonts w:eastAsiaTheme="minorEastAsia"/>
                <w:kern w:val="0"/>
                <w:sz w:val="24"/>
                <w:szCs w:val="24"/>
              </w:rPr>
              <w:t>688169</w:t>
            </w:r>
          </w:p>
        </w:tc>
        <w:tc>
          <w:tcPr>
            <w:vAlign w:val="center"/>
          </w:tcPr>
          <w:p>
            <w:pPr>
              <w:jc w:val="center"/>
            </w:pPr>
            <w:r>
              <w:rPr>
                <w:rFonts w:eastAsiaTheme="minorEastAsia"/>
                <w:kern w:val="0"/>
                <w:sz w:val="24"/>
                <w:szCs w:val="24"/>
              </w:rPr>
              <w:t>石头科技</w:t>
            </w:r>
          </w:p>
        </w:tc>
        <w:tc>
          <w:tcPr>
            <w:vAlign w:val="center"/>
          </w:tcPr>
          <w:p>
            <w:pPr>
              <w:jc w:val="right"/>
            </w:pPr>
            <w:r>
              <w:rPr>
                <w:rFonts w:eastAsiaTheme="minorEastAsia"/>
                <w:kern w:val="0"/>
                <w:sz w:val="24"/>
                <w:szCs w:val="24"/>
              </w:rPr>
              <w:t>41,140.00</w:t>
            </w:r>
          </w:p>
        </w:tc>
        <w:tc>
          <w:tcPr>
            <w:vAlign w:val="center"/>
          </w:tcPr>
          <w:p>
            <w:pPr>
              <w:jc w:val="right"/>
            </w:pPr>
            <w:r>
              <w:rPr>
                <w:rFonts w:eastAsiaTheme="minorEastAsia"/>
                <w:kern w:val="0"/>
                <w:sz w:val="24"/>
                <w:szCs w:val="24"/>
              </w:rPr>
              <w:t>51,877,540.00</w:t>
            </w:r>
          </w:p>
        </w:tc>
        <w:tc>
          <w:tcPr>
            <w:vAlign w:val="center"/>
          </w:tcPr>
          <w:p>
            <w:pPr>
              <w:jc w:val="right"/>
            </w:pPr>
            <w:r>
              <w:rPr>
                <w:rFonts w:eastAsiaTheme="minorEastAsia"/>
                <w:kern w:val="0"/>
                <w:sz w:val="24"/>
                <w:szCs w:val="24"/>
              </w:rPr>
              <w:t>6.12</w:t>
            </w:r>
          </w:p>
        </w:tc>
      </w:tr>
      <w:tr>
        <w:tc>
          <w:tcPr>
            <w:vAlign w:val="center"/>
          </w:tcPr>
          <w:p>
            <w:pPr>
              <w:jc w:val="center"/>
            </w:pPr>
            <w:r>
              <w:rPr>
                <w:rFonts w:eastAsiaTheme="minorEastAsia"/>
                <w:kern w:val="0"/>
                <w:sz w:val="24"/>
                <w:szCs w:val="24"/>
              </w:rPr>
              <w:t>6</w:t>
            </w:r>
          </w:p>
        </w:tc>
        <w:tc>
          <w:tcPr>
            <w:vAlign w:val="center"/>
          </w:tcPr>
          <w:p>
            <w:pPr>
              <w:jc w:val="center"/>
            </w:pPr>
            <w:r>
              <w:rPr>
                <w:rFonts w:eastAsiaTheme="minorEastAsia"/>
                <w:kern w:val="0"/>
                <w:sz w:val="24"/>
                <w:szCs w:val="24"/>
              </w:rPr>
              <w:t>300014</w:t>
            </w:r>
          </w:p>
        </w:tc>
        <w:tc>
          <w:tcPr>
            <w:vAlign w:val="center"/>
          </w:tcPr>
          <w:p>
            <w:pPr>
              <w:jc w:val="center"/>
            </w:pPr>
            <w:r>
              <w:rPr>
                <w:rFonts w:eastAsiaTheme="minorEastAsia"/>
                <w:kern w:val="0"/>
                <w:sz w:val="24"/>
                <w:szCs w:val="24"/>
              </w:rPr>
              <w:t>亿纬锂能</w:t>
            </w:r>
          </w:p>
        </w:tc>
        <w:tc>
          <w:tcPr>
            <w:vAlign w:val="center"/>
          </w:tcPr>
          <w:p>
            <w:pPr>
              <w:jc w:val="right"/>
            </w:pPr>
            <w:r>
              <w:rPr>
                <w:rFonts w:eastAsiaTheme="minorEastAsia"/>
                <w:kern w:val="0"/>
                <w:sz w:val="24"/>
                <w:szCs w:val="24"/>
              </w:rPr>
              <w:t>439,295.00</w:t>
            </w:r>
          </w:p>
        </w:tc>
        <w:tc>
          <w:tcPr>
            <w:vAlign w:val="center"/>
          </w:tcPr>
          <w:p>
            <w:pPr>
              <w:jc w:val="right"/>
            </w:pPr>
            <w:r>
              <w:rPr>
                <w:rFonts w:eastAsiaTheme="minorEastAsia"/>
                <w:kern w:val="0"/>
                <w:sz w:val="24"/>
                <w:szCs w:val="24"/>
              </w:rPr>
              <w:t>45,655,929.35</w:t>
            </w:r>
          </w:p>
        </w:tc>
        <w:tc>
          <w:tcPr>
            <w:vAlign w:val="center"/>
          </w:tcPr>
          <w:p>
            <w:pPr>
              <w:jc w:val="right"/>
            </w:pPr>
            <w:r>
              <w:rPr>
                <w:rFonts w:eastAsiaTheme="minorEastAsia"/>
                <w:kern w:val="0"/>
                <w:sz w:val="24"/>
                <w:szCs w:val="24"/>
              </w:rPr>
              <w:t>5.39</w:t>
            </w:r>
          </w:p>
        </w:tc>
      </w:tr>
      <w:tr>
        <w:tc>
          <w:tcPr>
            <w:vAlign w:val="center"/>
          </w:tcPr>
          <w:p>
            <w:pPr>
              <w:jc w:val="center"/>
            </w:pPr>
            <w:r>
              <w:rPr>
                <w:rFonts w:eastAsiaTheme="minorEastAsia"/>
                <w:kern w:val="0"/>
                <w:sz w:val="24"/>
                <w:szCs w:val="24"/>
              </w:rPr>
              <w:t>7</w:t>
            </w:r>
          </w:p>
        </w:tc>
        <w:tc>
          <w:tcPr>
            <w:vAlign w:val="center"/>
          </w:tcPr>
          <w:p>
            <w:pPr>
              <w:jc w:val="center"/>
            </w:pPr>
            <w:r>
              <w:rPr>
                <w:rFonts w:eastAsiaTheme="minorEastAsia"/>
                <w:kern w:val="0"/>
                <w:sz w:val="24"/>
                <w:szCs w:val="24"/>
              </w:rPr>
              <w:t>603799</w:t>
            </w:r>
          </w:p>
        </w:tc>
        <w:tc>
          <w:tcPr>
            <w:vAlign w:val="center"/>
          </w:tcPr>
          <w:p>
            <w:pPr>
              <w:jc w:val="center"/>
            </w:pPr>
            <w:r>
              <w:rPr>
                <w:rFonts w:eastAsiaTheme="minorEastAsia"/>
                <w:kern w:val="0"/>
                <w:sz w:val="24"/>
                <w:szCs w:val="24"/>
              </w:rPr>
              <w:t>华友钴业</w:t>
            </w:r>
          </w:p>
        </w:tc>
        <w:tc>
          <w:tcPr>
            <w:vAlign w:val="center"/>
          </w:tcPr>
          <w:p>
            <w:pPr>
              <w:jc w:val="right"/>
            </w:pPr>
            <w:r>
              <w:rPr>
                <w:rFonts w:eastAsiaTheme="minorEastAsia"/>
                <w:kern w:val="0"/>
                <w:sz w:val="24"/>
                <w:szCs w:val="24"/>
              </w:rPr>
              <w:t>273,305.00</w:t>
            </w:r>
          </w:p>
        </w:tc>
        <w:tc>
          <w:tcPr>
            <w:vAlign w:val="center"/>
          </w:tcPr>
          <w:p>
            <w:pPr>
              <w:jc w:val="right"/>
            </w:pPr>
            <w:r>
              <w:rPr>
                <w:rFonts w:eastAsiaTheme="minorEastAsia"/>
                <w:kern w:val="0"/>
                <w:sz w:val="24"/>
                <w:szCs w:val="24"/>
              </w:rPr>
              <w:t>31,211,431.00</w:t>
            </w:r>
          </w:p>
        </w:tc>
        <w:tc>
          <w:tcPr>
            <w:vAlign w:val="center"/>
          </w:tcPr>
          <w:p>
            <w:pPr>
              <w:jc w:val="right"/>
            </w:pPr>
            <w:r>
              <w:rPr>
                <w:rFonts w:eastAsiaTheme="minorEastAsia"/>
                <w:kern w:val="0"/>
                <w:sz w:val="24"/>
                <w:szCs w:val="24"/>
              </w:rPr>
              <w:t>3.68</w:t>
            </w:r>
          </w:p>
        </w:tc>
      </w:tr>
      <w:tr>
        <w:tc>
          <w:tcPr>
            <w:vAlign w:val="center"/>
          </w:tcPr>
          <w:p>
            <w:pPr>
              <w:jc w:val="center"/>
            </w:pPr>
            <w:r>
              <w:rPr>
                <w:rFonts w:eastAsiaTheme="minorEastAsia"/>
                <w:kern w:val="0"/>
                <w:sz w:val="24"/>
                <w:szCs w:val="24"/>
              </w:rPr>
              <w:t>8</w:t>
            </w:r>
          </w:p>
        </w:tc>
        <w:tc>
          <w:tcPr>
            <w:vAlign w:val="center"/>
          </w:tcPr>
          <w:p>
            <w:pPr>
              <w:jc w:val="center"/>
            </w:pPr>
            <w:r>
              <w:rPr>
                <w:rFonts w:eastAsiaTheme="minorEastAsia"/>
                <w:kern w:val="0"/>
                <w:sz w:val="24"/>
                <w:szCs w:val="24"/>
              </w:rPr>
              <w:t>300760</w:t>
            </w:r>
          </w:p>
        </w:tc>
        <w:tc>
          <w:tcPr>
            <w:vAlign w:val="center"/>
          </w:tcPr>
          <w:p>
            <w:pPr>
              <w:jc w:val="center"/>
            </w:pPr>
            <w:r>
              <w:rPr>
                <w:rFonts w:eastAsiaTheme="minorEastAsia"/>
                <w:kern w:val="0"/>
                <w:sz w:val="24"/>
                <w:szCs w:val="24"/>
              </w:rPr>
              <w:t>迈瑞医疗</w:t>
            </w:r>
          </w:p>
        </w:tc>
        <w:tc>
          <w:tcPr>
            <w:vAlign w:val="center"/>
          </w:tcPr>
          <w:p>
            <w:pPr>
              <w:jc w:val="right"/>
            </w:pPr>
            <w:r>
              <w:rPr>
                <w:rFonts w:eastAsiaTheme="minorEastAsia"/>
                <w:kern w:val="0"/>
                <w:sz w:val="24"/>
                <w:szCs w:val="24"/>
              </w:rPr>
              <w:t>51,219.00</w:t>
            </w:r>
          </w:p>
        </w:tc>
        <w:tc>
          <w:tcPr>
            <w:vAlign w:val="center"/>
          </w:tcPr>
          <w:p>
            <w:pPr>
              <w:jc w:val="right"/>
            </w:pPr>
            <w:r>
              <w:rPr>
                <w:rFonts w:eastAsiaTheme="minorEastAsia"/>
                <w:kern w:val="0"/>
                <w:sz w:val="24"/>
                <w:szCs w:val="24"/>
              </w:rPr>
              <w:t>24,587,680.95</w:t>
            </w:r>
          </w:p>
        </w:tc>
        <w:tc>
          <w:tcPr>
            <w:vAlign w:val="center"/>
          </w:tcPr>
          <w:p>
            <w:pPr>
              <w:jc w:val="right"/>
            </w:pPr>
            <w:r>
              <w:rPr>
                <w:rFonts w:eastAsiaTheme="minorEastAsia"/>
                <w:kern w:val="0"/>
                <w:sz w:val="24"/>
                <w:szCs w:val="24"/>
              </w:rPr>
              <w:t>2.90</w:t>
            </w:r>
          </w:p>
        </w:tc>
      </w:tr>
      <w:tr>
        <w:tc>
          <w:tcPr>
            <w:vAlign w:val="center"/>
          </w:tcPr>
          <w:p>
            <w:pPr>
              <w:jc w:val="center"/>
            </w:pPr>
            <w:r>
              <w:rPr>
                <w:rFonts w:eastAsiaTheme="minorEastAsia"/>
                <w:kern w:val="0"/>
                <w:sz w:val="24"/>
                <w:szCs w:val="24"/>
              </w:rPr>
              <w:t>9</w:t>
            </w:r>
          </w:p>
        </w:tc>
        <w:tc>
          <w:tcPr>
            <w:vAlign w:val="center"/>
          </w:tcPr>
          <w:p>
            <w:pPr>
              <w:jc w:val="center"/>
            </w:pPr>
            <w:r>
              <w:rPr>
                <w:rFonts w:eastAsiaTheme="minorEastAsia"/>
                <w:kern w:val="0"/>
                <w:sz w:val="24"/>
                <w:szCs w:val="24"/>
              </w:rPr>
              <w:t>000661</w:t>
            </w:r>
          </w:p>
        </w:tc>
        <w:tc>
          <w:tcPr>
            <w:vAlign w:val="center"/>
          </w:tcPr>
          <w:p>
            <w:pPr>
              <w:jc w:val="center"/>
            </w:pPr>
            <w:r>
              <w:rPr>
                <w:rFonts w:eastAsiaTheme="minorEastAsia"/>
                <w:kern w:val="0"/>
                <w:sz w:val="24"/>
                <w:szCs w:val="24"/>
              </w:rPr>
              <w:t>长春高新</w:t>
            </w:r>
          </w:p>
        </w:tc>
        <w:tc>
          <w:tcPr>
            <w:vAlign w:val="center"/>
          </w:tcPr>
          <w:p>
            <w:pPr>
              <w:jc w:val="right"/>
            </w:pPr>
            <w:r>
              <w:rPr>
                <w:rFonts w:eastAsiaTheme="minorEastAsia"/>
                <w:kern w:val="0"/>
                <w:sz w:val="24"/>
                <w:szCs w:val="24"/>
              </w:rPr>
              <w:t>62,877.00</w:t>
            </w:r>
          </w:p>
        </w:tc>
        <w:tc>
          <w:tcPr>
            <w:vAlign w:val="center"/>
          </w:tcPr>
          <w:p>
            <w:pPr>
              <w:jc w:val="right"/>
            </w:pPr>
            <w:r>
              <w:rPr>
                <w:rFonts w:eastAsiaTheme="minorEastAsia"/>
                <w:kern w:val="0"/>
                <w:sz w:val="24"/>
                <w:szCs w:val="24"/>
              </w:rPr>
              <w:t>24,333,399.00</w:t>
            </w:r>
          </w:p>
        </w:tc>
        <w:tc>
          <w:tcPr>
            <w:vAlign w:val="center"/>
          </w:tcPr>
          <w:p>
            <w:pPr>
              <w:jc w:val="right"/>
            </w:pPr>
            <w:r>
              <w:rPr>
                <w:rFonts w:eastAsiaTheme="minorEastAsia"/>
                <w:kern w:val="0"/>
                <w:sz w:val="24"/>
                <w:szCs w:val="24"/>
              </w:rPr>
              <w:t>2.87</w:t>
            </w:r>
          </w:p>
        </w:tc>
      </w:tr>
      <w:tr>
        <w:tc>
          <w:tcPr>
            <w:vAlign w:val="center"/>
          </w:tcPr>
          <w:p>
            <w:pPr>
              <w:jc w:val="center"/>
            </w:pPr>
            <w:r>
              <w:rPr>
                <w:rFonts w:eastAsiaTheme="minorEastAsia"/>
                <w:kern w:val="0"/>
                <w:sz w:val="24"/>
                <w:szCs w:val="24"/>
              </w:rPr>
              <w:t>10</w:t>
            </w:r>
          </w:p>
        </w:tc>
        <w:tc>
          <w:tcPr>
            <w:vAlign w:val="center"/>
          </w:tcPr>
          <w:p>
            <w:pPr>
              <w:jc w:val="center"/>
            </w:pPr>
            <w:r>
              <w:rPr>
                <w:rFonts w:eastAsiaTheme="minorEastAsia"/>
                <w:kern w:val="0"/>
                <w:sz w:val="24"/>
                <w:szCs w:val="24"/>
              </w:rPr>
              <w:t>002415</w:t>
            </w:r>
          </w:p>
        </w:tc>
        <w:tc>
          <w:tcPr>
            <w:vAlign w:val="center"/>
          </w:tcPr>
          <w:p>
            <w:pPr>
              <w:jc w:val="center"/>
            </w:pPr>
            <w:r>
              <w:rPr>
                <w:rFonts w:eastAsiaTheme="minorEastAsia"/>
                <w:kern w:val="0"/>
                <w:sz w:val="24"/>
                <w:szCs w:val="24"/>
              </w:rPr>
              <w:t>海康威视</w:t>
            </w:r>
          </w:p>
        </w:tc>
        <w:tc>
          <w:tcPr>
            <w:vAlign w:val="center"/>
          </w:tcPr>
          <w:p>
            <w:pPr>
              <w:jc w:val="right"/>
            </w:pPr>
            <w:r>
              <w:rPr>
                <w:rFonts w:eastAsiaTheme="minorEastAsia"/>
                <w:kern w:val="0"/>
                <w:sz w:val="24"/>
                <w:szCs w:val="24"/>
              </w:rPr>
              <w:t>372,600.00</w:t>
            </w:r>
          </w:p>
        </w:tc>
        <w:tc>
          <w:tcPr>
            <w:vAlign w:val="center"/>
          </w:tcPr>
          <w:p>
            <w:pPr>
              <w:jc w:val="right"/>
            </w:pPr>
            <w:r>
              <w:rPr>
                <w:rFonts w:eastAsiaTheme="minorEastAsia"/>
                <w:kern w:val="0"/>
                <w:sz w:val="24"/>
                <w:szCs w:val="24"/>
              </w:rPr>
              <w:t>24,032,700.00</w:t>
            </w:r>
          </w:p>
        </w:tc>
        <w:tc>
          <w:tcPr>
            <w:vAlign w:val="center"/>
          </w:tcPr>
          <w:p>
            <w:pPr>
              <w:jc w:val="right"/>
            </w:pPr>
            <w:r>
              <w:rPr>
                <w:rFonts w:eastAsiaTheme="minorEastAsia"/>
                <w:kern w:val="0"/>
                <w:sz w:val="24"/>
                <w:szCs w:val="24"/>
              </w:rPr>
              <w:t>2.84</w:t>
            </w:r>
          </w:p>
        </w:tc>
      </w:tr>
    </w:tbl>
    <w:bookmarkEnd w:id="3"/>
    <w:p w14:paraId="5DBD10B5" w14:textId="77777777" w:rsidR="00D06738" w:rsidRDefault="00D06738" w:rsidRPr="00FF6B9A">
      <w:pPr>
        <w:autoSpaceDE w:val="0"/>
        <w:autoSpaceDN w:val="0"/>
        <w:adjustRightInd w:val="0"/>
        <w:spacing w:line="360" w:lineRule="auto"/>
        <w:jc w:val="left"/>
        <w:rPr>
          <w:rFonts w:eastAsiaTheme="minorEastAsia"/>
          <w:b/>
          <w:bCs/>
          <w:color w:themeColor="text1" w:val="000000"/>
          <w:kern w:val="0"/>
          <w:sz w:val="24"/>
          <w:szCs w:val="24"/>
        </w:rPr>
      </w:pPr>
    </w:p>
    <w:p w14:paraId="3936D236"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5.4 </w:t>
      </w:r>
      <w:r w:rsidRPr="00FF6B9A">
        <w:rPr>
          <w:rFonts w:eastAsiaTheme="minorEastAsia"/>
          <w:b/>
          <w:bCs/>
          <w:color w:themeColor="text1" w:val="000000"/>
          <w:kern w:val="0"/>
          <w:sz w:val="24"/>
          <w:szCs w:val="24"/>
        </w:rPr>
        <w:t>报告期末按债券品种分类的债券投资组合</w:t>
      </w:r>
    </w:p>
    <w:p w14:paraId="19B23906"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本基金本报告期末未持有债券。</w:t>
      </w:r>
    </w:p>
    <w:p w14:paraId="65425732"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D1805F6"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5.5 </w:t>
      </w:r>
      <w:r w:rsidRPr="00FF6B9A">
        <w:rPr>
          <w:rFonts w:eastAsiaTheme="minorEastAsia"/>
          <w:b/>
          <w:bCs/>
          <w:color w:themeColor="text1" w:val="000000"/>
          <w:kern w:val="0"/>
          <w:sz w:val="24"/>
          <w:szCs w:val="24"/>
        </w:rPr>
        <w:t>报告期末按公允价值占基金资产净值比例大小排序的前五名债券投资明细</w:t>
      </w:r>
    </w:p>
    <w:p w14:paraId="06FBBA06"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本基金本报告期末未持有债券。</w:t>
      </w:r>
    </w:p>
    <w:p w14:paraId="021C2896" w14:textId="77777777" w:rsidR="00D06738" w:rsidRDefault="00D06738" w:rsidRPr="00FF6B9A">
      <w:pPr>
        <w:autoSpaceDE w:val="0"/>
        <w:autoSpaceDN w:val="0"/>
        <w:adjustRightInd w:val="0"/>
        <w:spacing w:line="360" w:lineRule="auto"/>
        <w:jc w:val="left"/>
        <w:rPr>
          <w:rFonts w:eastAsiaTheme="minorEastAsia"/>
          <w:b/>
          <w:bCs/>
          <w:color w:themeColor="text1" w:val="000000"/>
          <w:kern w:val="0"/>
          <w:sz w:val="24"/>
          <w:szCs w:val="24"/>
        </w:rPr>
      </w:pPr>
    </w:p>
    <w:p w14:paraId="0D4DC302"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5.6 </w:t>
      </w:r>
      <w:r w:rsidRPr="00FF6B9A">
        <w:rPr>
          <w:rFonts w:eastAsiaTheme="minor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lastRenderedPageBreak/>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本基金本报告期末未持有资产支持证券。</w:t>
      </w:r>
    </w:p>
    <w:p w14:paraId="7641962C" w14:textId="77777777" w:rsidR="00D06738" w:rsidRDefault="00D06738" w:rsidRPr="00FF6B9A">
      <w:pPr>
        <w:autoSpaceDE w:val="0"/>
        <w:autoSpaceDN w:val="0"/>
        <w:adjustRightInd w:val="0"/>
        <w:spacing w:line="360" w:lineRule="auto"/>
        <w:jc w:val="left"/>
        <w:rPr>
          <w:rFonts w:eastAsiaTheme="minorEastAsia"/>
          <w:color w:themeColor="text1" w:val="000000"/>
          <w:sz w:val="24"/>
          <w:szCs w:val="24"/>
        </w:rPr>
      </w:pPr>
    </w:p>
    <w:p w14:paraId="4D2AFCA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7 </w:t>
      </w:r>
      <w:r w:rsidRPr="00FF6B9A">
        <w:rPr>
          <w:rFonts w:eastAsiaTheme="minorEastAsia"/>
          <w:b/>
          <w:bCs/>
          <w:color w:themeColor="text1" w:val="000000"/>
          <w:kern w:val="0"/>
          <w:sz w:val="24"/>
          <w:szCs w:val="24"/>
        </w:rPr>
        <w:t>报告期末按公允价值占基金资产净值比例大小排序的前五名贵金属投资明细</w:t>
      </w:r>
    </w:p>
    <w:p w14:paraId="5072D892" w14:textId="77777777" w:rsidR="00D06738" w:rsidRDefault="00454D20" w:rsidRPr="00FF6B9A">
      <w:pPr>
        <w:widowControl/>
        <w:spacing w:line="360" w:lineRule="auto"/>
        <w:jc w:val="left"/>
        <w:rPr>
          <w:color w:themeColor="text1" w:val="000000"/>
        </w:rPr>
      </w:pPr>
      <w:r w:rsidRPr="00FF6B9A">
        <w:rPr>
          <w:color w:themeColor="text1" w:val="000000"/>
        </w:rPr>
        <w:t/>
      </w:r>
      <w:proofErr w:type="spellStart"/>
      <w:r w:rsidRPr="00FF6B9A">
        <w:rPr>
          <w:color w:themeColor="text1" w:val="000000"/>
        </w:rPr>
        <w:t/>
      </w:r>
      <w:proofErr w:type="gramStart"/>
      <w:r w:rsidRPr="00FF6B9A">
        <w:rPr>
          <w:color w:themeColor="text1" w:val="000000"/>
        </w:rPr>
        <w:t/>
      </w:r>
      <w:proofErr w:type="spellEnd"/>
      <w:r w:rsidRPr="00FF6B9A">
        <w:rPr>
          <w:color w:themeColor="text1" w:val="000000"/>
        </w:rPr>
        <w:t/>
      </w:r>
      <w:proofErr w:type="spellStart"/>
      <w:proofErr w:type="gramEnd"/>
      <w:r w:rsidRPr="00FF6B9A">
        <w:rPr>
          <w:color w:themeColor="text1" w:val="000000"/>
        </w:rPr>
        <w:t/>
      </w:r>
      <w:proofErr w:type="spellEnd"/>
      <w:r w:rsidRPr="00FF6B9A">
        <w:rPr>
          <w:color w:themeColor="text1" w:val="000000"/>
        </w:rPr>
        <w:t>本基金本报告期末未持有贵金属。</w:t>
      </w:r>
    </w:p>
    <w:p w14:paraId="60EB37E6"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ACC4ABF"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8 </w:t>
      </w:r>
      <w:r w:rsidRPr="00FF6B9A">
        <w:rPr>
          <w:rFonts w:eastAsiaTheme="minorEastAsia"/>
          <w:b/>
          <w:bCs/>
          <w:color w:themeColor="text1" w:val="000000"/>
          <w:kern w:val="0"/>
          <w:sz w:val="24"/>
          <w:szCs w:val="24"/>
        </w:rPr>
        <w:t>报告期末按公允价值占基金资产净值比例大小排序的前五名权证投资明细</w:t>
      </w:r>
    </w:p>
    <w:p w14:paraId="5CD73A7B"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lastRenderedPageBreak/>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本基金本报告期末未持有权证。</w:t>
      </w:r>
    </w:p>
    <w:p w14:paraId="47EB757F"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2F0769C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 xml:space="preserve">5.9 </w:t>
      </w:r>
      <w:r w:rsidRPr="00FF6B9A">
        <w:rPr>
          <w:rFonts w:eastAsiaTheme="minorEastAsia"/>
          <w:b/>
          <w:bCs/>
          <w:color w:themeColor="text1" w:val="000000"/>
          <w:kern w:val="0"/>
          <w:sz w:val="24"/>
          <w:szCs w:val="24"/>
        </w:rPr>
        <w:t>报告期末本基金投资的股指期货交易情况说明</w:t>
      </w:r>
    </w:p>
    <w:p w14:paraId="73A71E08"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本基金本报告期末未持有股指期货。</w:t>
      </w:r>
    </w:p>
    <w:p w14:paraId="6D381369" w14:textId="77777777" w:rsidR="00D06738" w:rsidRDefault="00D06738" w:rsidRPr="00FF6B9A">
      <w:pPr>
        <w:adjustRightInd w:val="0"/>
        <w:snapToGrid w:val="0"/>
        <w:spacing w:line="360" w:lineRule="exact"/>
        <w:rPr>
          <w:rFonts w:eastAsiaTheme="minorEastAsia"/>
          <w:color w:themeColor="text1" w:val="000000"/>
          <w:sz w:val="24"/>
          <w:szCs w:val="24"/>
        </w:rPr>
      </w:pPr>
    </w:p>
    <w:p w14:paraId="288DDC9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lastRenderedPageBreak/>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5.10</w:t>
      </w:r>
      <w:r w:rsidRPr="00FF6B9A">
        <w:rPr>
          <w:rFonts w:eastAsiaTheme="minorEastAsia"/>
          <w:b/>
          <w:bCs/>
          <w:color w:themeColor="text1" w:val="000000"/>
          <w:kern w:val="0"/>
          <w:sz w:val="24"/>
          <w:szCs w:val="24"/>
        </w:rPr>
        <w:t>报告期末本基金投资的国债期货交易情况说明</w:t>
      </w:r>
    </w:p>
    <w:p w14:paraId="5490A7F4" w14:textId="77777777" w:rsidR="00D06738" w:rsidRDefault="00454D20" w:rsidRPr="00FF6B9A">
      <w:pPr>
        <w:autoSpaceDE w:val="0"/>
        <w:autoSpaceDN w:val="0"/>
        <w:adjustRightInd w:val="0"/>
        <w:spacing w:line="360" w:lineRule="auto"/>
        <w:jc w:val="left"/>
        <w:rPr>
          <w:rFonts w:eastAsiaTheme="minorEastAsia"/>
          <w:color w:themeColor="text1" w:val="000000"/>
          <w:sz w:val="24"/>
          <w:szCs w:val="24"/>
        </w:rPr>
      </w:pPr>
      <w:r w:rsidRPr="00FF6B9A">
        <w:rPr>
          <w:rFonts w:eastAsiaTheme="minorEastAsia"/>
          <w:color w:themeColor="text1" w:val="000000"/>
          <w:sz w:val="24"/>
          <w:szCs w:val="24"/>
        </w:rPr>
        <w:t/>
      </w:r>
      <w:proofErr w:type="spellStart"/>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
      </w:r>
      <w:proofErr w:type="spellEnd"/>
      <w:r w:rsidRPr="00FF6B9A">
        <w:rPr>
          <w:rFonts w:eastAsiaTheme="minorEastAsia"/>
          <w:color w:themeColor="text1" w:val="000000"/>
          <w:sz w:val="24"/>
          <w:szCs w:val="24"/>
        </w:rPr>
        <w:t/>
      </w:r>
      <w:proofErr w:type="spellStart"/>
      <w:proofErr w:type="gramEnd"/>
      <w:r w:rsidRPr="00FF6B9A">
        <w:rPr>
          <w:rFonts w:eastAsiaTheme="minorEastAsia"/>
          <w:color w:themeColor="text1" w:val="000000"/>
          <w:sz w:val="24"/>
          <w:szCs w:val="24"/>
        </w:rPr>
        <w:t/>
      </w:r>
      <w:proofErr w:type="spellEnd"/>
      <w:r w:rsidRPr="00FF6B9A">
        <w:rPr>
          <w:rFonts w:eastAsiaTheme="minorEastAsia"/>
          <w:color w:themeColor="text1" w:val="000000"/>
          <w:sz w:val="24"/>
          <w:szCs w:val="24"/>
        </w:rPr>
        <w:t>本基金本报告期末未持有国债期货。</w:t>
      </w:r>
    </w:p>
    <w:p w14:paraId="0AD515B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11 </w:t>
      </w:r>
      <w:r w:rsidRPr="00FF6B9A">
        <w:rPr>
          <w:rFonts w:eastAsiaTheme="minorEastAsia"/>
          <w:b/>
          <w:bCs/>
          <w:color w:themeColor="text1" w:val="000000"/>
          <w:kern w:val="0"/>
          <w:sz w:val="24"/>
          <w:szCs w:val="24"/>
        </w:rPr>
        <w:t>投资组合报告附注</w:t>
      </w:r>
    </w:p>
    <w:p w14:paraId="2BAE184B"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5.</w:t>
      </w:r>
      <w:proofErr w:type="gramEnd"/>
      <w:r w:rsidRPr="00FF6B9A">
        <w:rPr>
          <w:rFonts w:eastAsiaTheme="minorEastAsia"/>
          <w:color w:themeColor="text1" w:val="000000"/>
          <w:sz w:val="24"/>
          <w:szCs w:val="24"/>
        </w:rPr>
        <w:t>11.1报告期内本基金投资的前十名证券的发行主体本期没有出现被监管部门立案调查，或在报告编制日前一年内受到公开谴责、处罚的情形。</w:t>
      </w:r>
    </w:p>
    <w:p w14:paraId="50E6CBCA"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5.</w:t>
      </w:r>
      <w:proofErr w:type="gramEnd"/>
      <w:r w:rsidRPr="00FF6B9A">
        <w:rPr>
          <w:rFonts w:eastAsiaTheme="minorEastAsia"/>
          <w:color w:themeColor="text1" w:val="000000"/>
          <w:sz w:val="24"/>
          <w:szCs w:val="24"/>
        </w:rPr>
        <w:t>11.2报告期内本基金投资的前十名股票中没有在基金合同规定备选股票库之外的股票。</w:t>
      </w:r>
    </w:p>
    <w:p w14:paraId="4124D65B"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11.3 </w:t>
      </w:r>
      <w:r w:rsidRPr="00FF6B9A">
        <w:rPr>
          <w:rFonts w:eastAsiaTheme="minor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rsidRPr="00FF6B9A">
        <w:tc>
          <w:tcPr>
            <w:tcW w:type="dxa" w:w="1235"/>
            <w:vAlign w:val="center"/>
          </w:tcPr>
          <w:p w14:paraId="3D402FF5"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序号</w:t>
            </w:r>
          </w:p>
        </w:tc>
        <w:tc>
          <w:tcPr>
            <w:tcW w:type="dxa" w:w="2470"/>
            <w:vAlign w:val="center"/>
          </w:tcPr>
          <w:p w14:paraId="627CAE1B"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名称</w:t>
            </w:r>
          </w:p>
        </w:tc>
        <w:tc>
          <w:tcPr>
            <w:tcW w:type="dxa" w:w="4808"/>
            <w:vAlign w:val="center"/>
          </w:tcPr>
          <w:p w14:paraId="6430356C"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金额</w:t>
            </w:r>
            <w:r w:rsidRPr="00FF6B9A">
              <w:rPr>
                <w:rFonts w:eastAsiaTheme="minorEastAsia"/>
                <w:color w:themeColor="text1" w:val="000000"/>
                <w:kern w:val="0"/>
              </w:rPr>
              <w:t>(</w:t>
            </w:r>
            <w:r w:rsidRPr="00FF6B9A">
              <w:rPr>
                <w:rFonts w:eastAsiaTheme="minorEastAsia"/>
                <w:color w:themeColor="text1" w:val="000000"/>
                <w:kern w:val="0"/>
              </w:rPr>
              <w:t>元</w:t>
            </w:r>
            <w:r w:rsidRPr="00FF6B9A">
              <w:rPr>
                <w:rFonts w:eastAsiaTheme="minorEastAsia"/>
                <w:color w:themeColor="text1" w:val="000000"/>
                <w:kern w:val="0"/>
              </w:rPr>
              <w:t>)</w:t>
            </w:r>
          </w:p>
        </w:tc>
      </w:tr>
      <w:tr w14:paraId="2C715D80" w14:textId="77777777" w:rsidR="00D06738" w:rsidRPr="00FF6B9A">
        <w:tc>
          <w:tcPr>
            <w:tcW w:type="dxa" w:w="1235"/>
            <w:vAlign w:val="center"/>
          </w:tcPr>
          <w:p w14:paraId="117C1A9A"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1</w:t>
            </w:r>
          </w:p>
        </w:tc>
        <w:tc>
          <w:tcPr>
            <w:tcW w:type="dxa" w:w="2470"/>
            <w:vAlign w:val="center"/>
          </w:tcPr>
          <w:p w14:paraId="61153B98"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存出保证金</w:t>
            </w:r>
          </w:p>
        </w:tc>
        <w:tc>
          <w:tcPr>
            <w:tcW w:type="dxa" w:w="4808"/>
            <w:vAlign w:val="center"/>
          </w:tcPr>
          <w:p w14:paraId="069C1229"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265,721.99</w:t>
            </w:r>
          </w:p>
        </w:tc>
      </w:tr>
      <w:tr w14:paraId="3C032846" w14:textId="77777777" w:rsidR="00D06738" w:rsidRPr="00FF6B9A">
        <w:tc>
          <w:tcPr>
            <w:tcW w:type="dxa" w:w="1235"/>
            <w:vAlign w:val="center"/>
          </w:tcPr>
          <w:p w14:paraId="141CD098"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2</w:t>
            </w:r>
          </w:p>
        </w:tc>
        <w:tc>
          <w:tcPr>
            <w:tcW w:type="dxa" w:w="2470"/>
            <w:vAlign w:val="center"/>
          </w:tcPr>
          <w:p w14:paraId="307B0992"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应收证券清算款</w:t>
            </w:r>
          </w:p>
        </w:tc>
        <w:tc>
          <w:tcPr>
            <w:tcW w:type="dxa" w:w="4808"/>
            <w:vAlign w:val="center"/>
          </w:tcPr>
          <w:p w14:paraId="7B2B0246"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3,568,581.81</w:t>
            </w:r>
          </w:p>
        </w:tc>
      </w:tr>
      <w:tr w14:paraId="176311B8" w14:textId="77777777" w:rsidR="00D06738" w:rsidRPr="00FF6B9A">
        <w:tc>
          <w:tcPr>
            <w:tcW w:type="dxa" w:w="1235"/>
            <w:vAlign w:val="center"/>
          </w:tcPr>
          <w:p w14:paraId="602CCE2F"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3</w:t>
            </w:r>
          </w:p>
        </w:tc>
        <w:tc>
          <w:tcPr>
            <w:tcW w:type="dxa" w:w="2470"/>
            <w:vAlign w:val="center"/>
          </w:tcPr>
          <w:p w14:paraId="31EEC93A"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应收股利</w:t>
            </w:r>
          </w:p>
        </w:tc>
        <w:tc>
          <w:tcPr>
            <w:tcW w:type="dxa" w:w="4808"/>
            <w:vAlign w:val="center"/>
          </w:tcPr>
          <w:p w14:paraId="30AA7BFB"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C0EC699" w14:textId="77777777" w:rsidR="00D06738" w:rsidRPr="00FF6B9A">
        <w:tc>
          <w:tcPr>
            <w:tcW w:type="dxa" w:w="1235"/>
            <w:vAlign w:val="center"/>
          </w:tcPr>
          <w:p w14:paraId="4EAB88E6"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4</w:t>
            </w:r>
          </w:p>
        </w:tc>
        <w:tc>
          <w:tcPr>
            <w:tcW w:type="dxa" w:w="2470"/>
            <w:vAlign w:val="center"/>
          </w:tcPr>
          <w:p w14:paraId="25AFBD38"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应收利息</w:t>
            </w:r>
          </w:p>
        </w:tc>
        <w:tc>
          <w:tcPr>
            <w:tcW w:type="dxa" w:w="4808"/>
            <w:vAlign w:val="center"/>
          </w:tcPr>
          <w:p w14:paraId="61FAC2C4"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5,981.68</w:t>
            </w:r>
          </w:p>
        </w:tc>
      </w:tr>
      <w:tr w14:paraId="617FE4E0" w14:textId="77777777" w:rsidR="00D06738" w:rsidRPr="00FF6B9A">
        <w:tc>
          <w:tcPr>
            <w:tcW w:type="dxa" w:w="1235"/>
            <w:vAlign w:val="center"/>
          </w:tcPr>
          <w:p w14:paraId="0DE5BCEB"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5</w:t>
            </w:r>
          </w:p>
        </w:tc>
        <w:tc>
          <w:tcPr>
            <w:tcW w:type="dxa" w:w="2470"/>
            <w:vAlign w:val="center"/>
          </w:tcPr>
          <w:p w14:paraId="418D350C"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应收申购款</w:t>
            </w:r>
          </w:p>
        </w:tc>
        <w:tc>
          <w:tcPr>
            <w:tcW w:type="dxa" w:w="4808"/>
            <w:vAlign w:val="center"/>
          </w:tcPr>
          <w:p w14:paraId="6138F79B"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128,033.29</w:t>
            </w:r>
          </w:p>
        </w:tc>
      </w:tr>
      <w:tr w14:paraId="2FF8C6CF" w14:textId="77777777" w:rsidR="00D06738" w:rsidRPr="00FF6B9A">
        <w:tc>
          <w:tcPr>
            <w:tcW w:type="dxa" w:w="1235"/>
            <w:vAlign w:val="center"/>
          </w:tcPr>
          <w:p w14:paraId="027C50FA"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6</w:t>
            </w:r>
          </w:p>
        </w:tc>
        <w:tc>
          <w:tcPr>
            <w:tcW w:type="dxa" w:w="2470"/>
            <w:vAlign w:val="center"/>
          </w:tcPr>
          <w:p w14:paraId="763B3400"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其他应收款</w:t>
            </w:r>
          </w:p>
        </w:tc>
        <w:tc>
          <w:tcPr>
            <w:tcW w:type="dxa" w:w="4808"/>
            <w:vAlign w:val="center"/>
          </w:tcPr>
          <w:p w14:paraId="5846D225"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72C6A37" w14:textId="77777777" w:rsidR="00D06738" w:rsidRPr="00FF6B9A">
        <w:tc>
          <w:tcPr>
            <w:tcW w:type="dxa" w:w="1235"/>
            <w:vAlign w:val="center"/>
          </w:tcPr>
          <w:p w14:paraId="75EFC638"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7</w:t>
            </w:r>
          </w:p>
        </w:tc>
        <w:tc>
          <w:tcPr>
            <w:tcW w:type="dxa" w:w="2470"/>
            <w:vAlign w:val="center"/>
          </w:tcPr>
          <w:p w14:paraId="0A943614"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待摊费用</w:t>
            </w:r>
          </w:p>
        </w:tc>
        <w:tc>
          <w:tcPr>
            <w:tcW w:type="dxa" w:w="4808"/>
            <w:vAlign w:val="center"/>
          </w:tcPr>
          <w:p w14:paraId="72EB47BF"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1EB71240" w14:textId="77777777" w:rsidR="00D06738" w:rsidRPr="00FF6B9A">
        <w:tc>
          <w:tcPr>
            <w:tcW w:type="dxa" w:w="1235"/>
            <w:vAlign w:val="center"/>
          </w:tcPr>
          <w:p w14:paraId="4CA5E701"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lastRenderedPageBreak/>
              <w:t>8</w:t>
            </w:r>
          </w:p>
        </w:tc>
        <w:tc>
          <w:tcPr>
            <w:tcW w:type="dxa" w:w="2470"/>
            <w:vAlign w:val="center"/>
          </w:tcPr>
          <w:p w14:paraId="139BE609"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其他</w:t>
            </w:r>
          </w:p>
        </w:tc>
        <w:tc>
          <w:tcPr>
            <w:tcW w:type="dxa" w:w="4808"/>
            <w:vAlign w:val="center"/>
          </w:tcPr>
          <w:p w14:paraId="5ED4A47C"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3A99357C" w14:textId="77777777" w:rsidR="00D06738" w:rsidRPr="00FF6B9A">
        <w:tc>
          <w:tcPr>
            <w:tcW w:type="dxa" w:w="1235"/>
            <w:vAlign w:val="center"/>
          </w:tcPr>
          <w:p w14:paraId="7043D59F"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9</w:t>
            </w:r>
          </w:p>
        </w:tc>
        <w:tc>
          <w:tcPr>
            <w:tcW w:type="dxa" w:w="2470"/>
            <w:vAlign w:val="center"/>
          </w:tcPr>
          <w:p w14:paraId="756733B0"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合计</w:t>
            </w:r>
          </w:p>
        </w:tc>
        <w:tc>
          <w:tcPr>
            <w:tcW w:type="dxa" w:w="4808"/>
            <w:vAlign w:val="center"/>
          </w:tcPr>
          <w:p w14:paraId="1336DBC1"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3,968,318.77</w:t>
            </w:r>
          </w:p>
        </w:tc>
      </w:tr>
    </w:tbl>
    <w:p w14:paraId="4676AA60"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5172EF34"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11.4</w:t>
      </w:r>
      <w:r w:rsidRPr="00FF6B9A">
        <w:rPr>
          <w:rFonts w:eastAsiaTheme="minorEastAsia"/>
          <w:b/>
          <w:bCs/>
          <w:color w:themeColor="text1" w:val="000000"/>
          <w:kern w:val="0"/>
          <w:sz w:val="24"/>
          <w:szCs w:val="24"/>
        </w:rPr>
        <w:t>报告期末持有的处于转股期的可转换债券明细</w:t>
      </w:r>
    </w:p>
    <w:p w14:paraId="0C2B4847"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本基金本报告期末未持有处于转股期的可转换债券。</w:t>
      </w:r>
    </w:p>
    <w:p w14:paraId="73809093"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26374DDE"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11.5</w:t>
      </w:r>
      <w:r w:rsidRPr="00FF6B9A">
        <w:rPr>
          <w:rFonts w:eastAsiaTheme="minorEastAsia"/>
          <w:b/>
          <w:bCs/>
          <w:color w:themeColor="text1" w:val="000000"/>
          <w:kern w:val="0"/>
          <w:sz w:val="24"/>
          <w:szCs w:val="24"/>
        </w:rPr>
        <w:t>报告期末前十名股票中存在流通受限情况的说明</w:t>
      </w:r>
    </w:p>
    <w:p w14:paraId="7A502387"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gramStart"/>
      <w:r w:rsidRPr="00FF6B9A">
        <w:rPr>
          <w:rFonts w:eastAsiaTheme="minorEastAsia"/>
          <w:color w:themeColor="text1" w:val="000000"/>
        </w:rPr>
        <w:t/>
      </w:r>
      <w:proofErr w:type="gramEnd"/>
      <w:r w:rsidRPr="00FF6B9A">
        <w:rPr>
          <w:rFonts w:eastAsiaTheme="minorEastAsia"/>
          <w:color w:themeColor="text1" w:val="000000"/>
        </w:rPr>
        <w:t>本基金本报告期末前十名股票中不存在流通受限情况。</w:t>
      </w:r>
    </w:p>
    <w:p w14:paraId="6F6FE44E"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329684B0"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5.11.6</w:t>
      </w:r>
      <w:r w:rsidRPr="00FF6B9A">
        <w:rPr>
          <w:rFonts w:eastAsiaTheme="minorEastAsia"/>
          <w:b/>
          <w:bCs/>
          <w:color w:themeColor="text1" w:val="000000"/>
          <w:kern w:val="0"/>
          <w:sz w:val="24"/>
          <w:szCs w:val="24"/>
        </w:rPr>
        <w:t>投资组合报告附注的其他文字描述部分</w:t>
      </w:r>
    </w:p>
    <w:p w14:paraId="536D339F"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因四舍五入原因，投资组合报告中分项之和与合计可能存在尾差。</w:t>
      </w:r>
    </w:p>
    <w:p w14:paraId="1F6232E1"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§6  </w:t>
      </w:r>
      <w:r w:rsidRPr="00FF6B9A">
        <w:rPr>
          <w:rFonts w:eastAsiaTheme="minorEastAsia"/>
          <w:color w:themeColor="text1" w:val="000000"/>
          <w:kern w:val="0"/>
          <w:sz w:val="24"/>
          <w:szCs w:val="24"/>
        </w:rPr>
        <w:t>开放式基金份额变动</w:t>
      </w:r>
    </w:p>
    <w:p w14:paraId="1546AC98"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sz w:val="24"/>
          <w:szCs w:val="24"/>
        </w:rPr>
      </w:pPr>
      <w:r w:rsidRPr="00FF6B9A">
        <w:rPr>
          <w:rFonts w:eastAsiaTheme="minor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本报告期期</w:t>
            </w:r>
            <w:proofErr w:type="gramStart"/>
            <w:r w:rsidRPr="00FF6B9A">
              <w:rPr>
                <w:rFonts w:eastAsiaTheme="minorEastAsia"/>
                <w:color w:themeColor="text1" w:val="000000"/>
                <w:kern w:val="0"/>
              </w:rPr>
              <w:t>初基金</w:t>
            </w:r>
            <w:proofErr w:type="gramEnd"/>
            <w:r w:rsidRPr="00FF6B9A">
              <w:rPr>
                <w:rFonts w:eastAsiaTheme="minor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gramEnd"/>
            <w:r w:rsidRPr="00FF6B9A">
              <w:rPr>
                <w:rFonts w:eastAsiaTheme="minorEastAsia"/>
                <w:color w:themeColor="text1" w:val="000000"/>
              </w:rPr>
              <w:t>623,318,599.98</w:t>
            </w:r>
          </w:p>
        </w:tc>
      </w:tr>
      <w:tr w14:paraId="464FC419"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12,252,039.69</w:t>
            </w:r>
          </w:p>
        </w:tc>
      </w:tr>
      <w:tr w14:paraId="17EE7B14"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减：</w:t>
            </w: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57,073,158.70</w:t>
            </w:r>
          </w:p>
        </w:tc>
      </w:tr>
      <w:tr w14:paraId="465F9B6E"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w:t>
            </w:r>
          </w:p>
        </w:tc>
      </w:tr>
      <w:tr w14:paraId="05E84194"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578,497,480.97</w:t>
            </w:r>
          </w:p>
        </w:tc>
      </w:tr>
    </w:tbl>
    <w:p w14:paraId="3C94584F" w14:textId="77777777" w:rsidR="00D06738" w:rsidRDefault="00454D20" w:rsidRPr="00FF6B9A">
      <w:pPr>
        <w:pStyle w:val="1"/>
        <w:tabs>
          <w:tab w:pos="4156" w:val="center"/>
          <w:tab w:pos="8312" w:val="right"/>
        </w:tabs>
        <w:spacing w:after="312" w:afterLines="100" w:before="312" w:beforeLines="100" w:line="360" w:lineRule="auto"/>
        <w:jc w:val="center"/>
        <w:rPr>
          <w:color w:themeColor="text1" w:val="000000"/>
          <w:sz w:val="24"/>
          <w:szCs w:val="24"/>
        </w:rPr>
      </w:pPr>
      <w:r w:rsidRPr="00FF6B9A">
        <w:rPr>
          <w:rFonts w:eastAsiaTheme="minorEastAsia"/>
          <w:color w:themeColor="text1" w:val="000000"/>
          <w:kern w:val="0"/>
          <w:sz w:val="24"/>
          <w:szCs w:val="24"/>
        </w:rPr>
        <w:t/>
      </w:r>
      <w:proofErr w:type="spellStart"/>
      <w:r w:rsidRPr="00FF6B9A">
        <w:rPr>
          <w:rFonts w:eastAsiaTheme="minorEastAsia"/>
          <w:color w:themeColor="text1" w:val="000000"/>
          <w:kern w:val="0"/>
          <w:sz w:val="24"/>
          <w:szCs w:val="24"/>
        </w:rPr>
        <w:t/>
      </w:r>
      <w:proofErr w:type="spellEnd"/>
      <w:r w:rsidRPr="00FF6B9A">
        <w:rPr>
          <w:rFonts w:eastAsiaTheme="minorEastAsia"/>
          <w:color w:themeColor="text1" w:val="000000"/>
          <w:kern w:val="0"/>
          <w:sz w:val="24"/>
          <w:szCs w:val="24"/>
        </w:rPr>
        <w:t xml:space="preserve">§7  </w:t>
      </w:r>
      <w:r w:rsidRPr="00FF6B9A">
        <w:rPr>
          <w:color w:themeColor="text1" w:val="000000"/>
          <w:sz w:val="24"/>
          <w:szCs w:val="24"/>
        </w:rPr>
        <w:t>基金管理人运用</w:t>
      </w:r>
      <w:proofErr w:type="gramStart"/>
      <w:r w:rsidRPr="00FF6B9A">
        <w:rPr>
          <w:color w:themeColor="text1" w:val="000000"/>
          <w:sz w:val="24"/>
          <w:szCs w:val="24"/>
        </w:rPr>
        <w:t>固有资金</w:t>
      </w:r>
      <w:proofErr w:type="gramEnd"/>
      <w:r w:rsidRPr="00FF6B9A">
        <w:rPr>
          <w:color w:themeColor="text1" w:val="000000"/>
          <w:sz w:val="24"/>
          <w:szCs w:val="24"/>
        </w:rPr>
        <w:t>投资本基金情况</w:t>
      </w:r>
    </w:p>
    <w:p w14:paraId="220CB641" w14:textId="77777777" w:rsidR="00D06738" w:rsidRDefault="00454D20" w:rsidRPr="00FF6B9A">
      <w:pPr>
        <w:spacing w:line="360" w:lineRule="auto"/>
        <w:jc w:val="left"/>
        <w:rPr>
          <w:color w:themeColor="text1" w:val="000000"/>
          <w:sz w:val="24"/>
          <w:szCs w:val="24"/>
        </w:rPr>
      </w:pPr>
      <w:r w:rsidRPr="00FF6B9A">
        <w:rPr>
          <w:b/>
          <w:color w:themeColor="text1" w:val="000000"/>
          <w:sz w:val="24"/>
        </w:rPr>
        <w:t/>
      </w:r>
      <w:proofErr w:type="spellStart"/>
      <w:r w:rsidRPr="00FF6B9A">
        <w:rPr>
          <w:b/>
          <w:color w:themeColor="text1" w:val="000000"/>
          <w:sz w:val="24"/>
        </w:rPr>
        <w:t/>
      </w:r>
      <w:proofErr w:type="gramStart"/>
      <w:r w:rsidRPr="00FF6B9A">
        <w:rPr>
          <w:b/>
          <w:color w:themeColor="text1" w:val="000000"/>
          <w:sz w:val="24"/>
        </w:rPr>
        <w:t/>
      </w:r>
      <w:proofErr w:type="spellEnd"/>
      <w:r w:rsidRPr="00FF6B9A">
        <w:rPr>
          <w:b/>
          <w:color w:themeColor="text1" w:val="000000"/>
          <w:sz w:val="24"/>
        </w:rPr>
        <w:t/>
      </w:r>
      <w:proofErr w:type="gramEnd"/>
      <w:r w:rsidRPr="00FF6B9A">
        <w:rPr>
          <w:b/>
          <w:color w:themeColor="text1" w:val="000000"/>
          <w:sz w:val="24"/>
        </w:rPr>
        <w:t xml:space="preserve">7.1 </w:t>
      </w:r>
      <w:r w:rsidRPr="00FF6B9A">
        <w:rPr>
          <w:b/>
          <w:color w:themeColor="text1" w:val="000000"/>
          <w:sz w:val="24"/>
        </w:rPr>
        <w:t>基金管理人持有本基金份额变动情况</w:t>
      </w:r>
    </w:p>
    <w:p w14:paraId="3105CFED"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kern w:val="0"/>
        </w:rPr>
        <w:t/>
      </w:r>
      <w:proofErr w:type="gramStart"/>
      <w:r w:rsidRPr="00FF6B9A">
        <w:rPr>
          <w:rFonts w:eastAsiaTheme="minorEastAsia"/>
          <w:color w:themeColor="text1" w:val="000000"/>
          <w:kern w:val="0"/>
        </w:rPr>
        <w:t/>
      </w:r>
      <w:proofErr w:type="spellStart"/>
      <w:proofErr w:type="gramEnd"/>
      <w:r w:rsidRPr="00FF6B9A">
        <w:rPr>
          <w:rFonts w:eastAsiaTheme="minorEastAsia"/>
          <w:color w:themeColor="text1" w:val="000000"/>
          <w:kern w:val="0"/>
        </w:rPr>
        <w:t/>
      </w:r>
      <w:proofErr w:type="spellEnd"/>
      <w:r w:rsidRPr="00FF6B9A">
        <w:rPr>
          <w:rFonts w:eastAsiaTheme="minorEastAsia"/>
          <w:color w:themeColor="text1" w:val="000000"/>
          <w:kern w:val="0"/>
        </w:rPr>
        <w:t>无。</w:t>
      </w:r>
    </w:p>
    <w:p w14:paraId="470676A3"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rPr>
      </w:pPr>
    </w:p>
    <w:p w14:paraId="6765BFDC"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§8  </w:t>
      </w:r>
      <w:r w:rsidRPr="00FF6B9A">
        <w:rPr>
          <w:rFonts w:eastAsiaTheme="minorEastAsia"/>
          <w:color w:themeColor="text1" w:val="000000"/>
          <w:kern w:val="0"/>
          <w:sz w:val="24"/>
          <w:szCs w:val="24"/>
        </w:rPr>
        <w:t>备查文件目录</w:t>
      </w:r>
    </w:p>
    <w:p w14:paraId="457E531B"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8.</w:t>
      </w:r>
      <w:proofErr w:type="gramEnd"/>
      <w:r w:rsidRPr="00FF6B9A">
        <w:rPr>
          <w:rFonts w:eastAsiaTheme="minorEastAsia"/>
          <w:b/>
          <w:bCs/>
          <w:color w:themeColor="text1" w:val="000000"/>
          <w:kern w:val="0"/>
          <w:sz w:val="24"/>
          <w:szCs w:val="24"/>
        </w:rPr>
        <w:t xml:space="preserve">1 </w:t>
      </w:r>
      <w:r w:rsidRPr="00FF6B9A">
        <w:rPr>
          <w:rFonts w:eastAsiaTheme="minorEastAsia"/>
          <w:b/>
          <w:bCs/>
          <w:color w:themeColor="text1" w:val="000000"/>
          <w:kern w:val="0"/>
          <w:sz w:val="24"/>
          <w:szCs w:val="24"/>
        </w:rPr>
        <w:t>备查文件目录</w:t>
      </w:r>
    </w:p>
    <w:p>
      <w:pPr>
        <w:spacing w:line="360" w:lineRule="auto"/>
        <w:ind w:firstLine="420" w:firstLineChars="200"/>
        <w:rPr>
          <w:rFonts w:eastAsiaTheme="minorEastAsia"/>
          <w:color w:themeColor="text1" w:val="000000"/>
        </w:rPr>
      </w:pPr>
      <w:r>
        <w:rPr>
          <w:rFonts w:eastAsiaTheme="minorEastAsia"/>
          <w:color w:themeColor="text1" w:val="000000"/>
        </w:rPr>
        <w:t>1. 中国证监会准予上投摩根智慧互联股票型证券投资基金募集注册的文件；</w:t>
      </w:r>
    </w:p>
    <w:p>
      <w:pPr>
        <w:spacing w:line="360" w:lineRule="auto"/>
        <w:ind w:firstLine="420" w:firstLineChars="200"/>
        <w:rPr>
          <w:rFonts w:eastAsiaTheme="minorEastAsia"/>
          <w:color w:themeColor="text1" w:val="000000"/>
        </w:rPr>
      </w:pPr>
      <w:r>
        <w:rPr>
          <w:rFonts w:eastAsiaTheme="minorEastAsia"/>
          <w:color w:themeColor="text1" w:val="000000"/>
        </w:rPr>
        <w:t>2. 《上投摩根智慧互联股票型证券投资基金基金合同》；</w:t>
      </w:r>
    </w:p>
    <w:p>
      <w:pPr>
        <w:spacing w:line="360" w:lineRule="auto"/>
        <w:ind w:firstLine="420" w:firstLineChars="200"/>
        <w:rPr>
          <w:rFonts w:eastAsiaTheme="minorEastAsia"/>
          <w:color w:themeColor="text1" w:val="000000"/>
        </w:rPr>
      </w:pPr>
      <w:r>
        <w:rPr>
          <w:rFonts w:eastAsiaTheme="minorEastAsia"/>
          <w:color w:themeColor="text1" w:val="000000"/>
        </w:rPr>
        <w:t>3. 《上投摩根智慧互联股票型证券投资基金基金托管协议》；</w:t>
      </w:r>
    </w:p>
    <w:p>
      <w:pPr>
        <w:spacing w:line="360" w:lineRule="auto"/>
        <w:ind w:firstLine="420" w:firstLineChars="200"/>
        <w:rPr>
          <w:rFonts w:eastAsiaTheme="minorEastAsia"/>
          <w:color w:themeColor="text1" w:val="000000"/>
        </w:rPr>
      </w:pPr>
      <w:r>
        <w:rPr>
          <w:rFonts w:eastAsiaTheme="minorEastAsia"/>
          <w:color w:themeColor="text1" w:val="000000"/>
        </w:rPr>
        <w:t>4. 《上投摩根基金管理有限公司开放式基金业务规则》；</w:t>
      </w:r>
    </w:p>
    <w:p>
      <w:pPr>
        <w:spacing w:line="360" w:lineRule="auto"/>
        <w:ind w:firstLine="420" w:firstLineChars="200"/>
        <w:rPr>
          <w:rFonts w:eastAsiaTheme="minorEastAsia"/>
          <w:color w:themeColor="text1" w:val="000000"/>
        </w:rPr>
      </w:pPr>
      <w:r>
        <w:rPr>
          <w:rFonts w:eastAsiaTheme="minorEastAsia"/>
          <w:color w:themeColor="text1" w:val="000000"/>
        </w:rPr>
        <w:t>5. 基金管理人业务资格批件、营业执照；</w:t>
      </w:r>
    </w:p>
    <w:p w14:paraId="1A471A23"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6. 基金托管人业务资格批件和营业执照。</w:t>
      </w:r>
    </w:p>
    <w:p w14:paraId="34C276B3" w14:textId="77777777" w:rsidR="00D06738" w:rsidRDefault="00D06738" w:rsidRPr="00FF6B9A">
      <w:pPr>
        <w:spacing w:line="360" w:lineRule="auto"/>
        <w:ind w:firstLine="480" w:firstLineChars="200"/>
        <w:rPr>
          <w:rFonts w:eastAsiaTheme="minorEastAsia"/>
          <w:color w:themeColor="text1" w:val="000000"/>
          <w:sz w:val="24"/>
          <w:szCs w:val="24"/>
        </w:rPr>
      </w:pPr>
    </w:p>
    <w:p w14:paraId="23507D88"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8.</w:t>
      </w:r>
      <w:proofErr w:type="gramEnd"/>
      <w:r w:rsidRPr="00FF6B9A">
        <w:rPr>
          <w:rFonts w:eastAsiaTheme="minorEastAsia"/>
          <w:b/>
          <w:bCs/>
          <w:color w:themeColor="text1" w:val="000000"/>
          <w:kern w:val="0"/>
          <w:sz w:val="24"/>
          <w:szCs w:val="24"/>
        </w:rPr>
        <w:t xml:space="preserve">2 </w:t>
      </w:r>
      <w:r w:rsidRPr="00FF6B9A">
        <w:rPr>
          <w:rFonts w:eastAsiaTheme="minorEastAsia"/>
          <w:b/>
          <w:bCs/>
          <w:color w:themeColor="text1" w:val="000000"/>
          <w:kern w:val="0"/>
          <w:sz w:val="24"/>
          <w:szCs w:val="24"/>
        </w:rPr>
        <w:t>存放地点</w:t>
      </w:r>
    </w:p>
    <w:p w14:paraId="61EC8F57"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基金管理人或基金托管人处。</w:t>
      </w:r>
    </w:p>
    <w:p w14:paraId="4B43DAA4" w14:textId="77777777" w:rsidR="00D06738" w:rsidRDefault="00D06738" w:rsidRPr="00FF6B9A">
      <w:pPr>
        <w:spacing w:line="360" w:lineRule="auto"/>
        <w:ind w:firstLine="480" w:firstLineChars="200"/>
        <w:rPr>
          <w:rFonts w:eastAsiaTheme="minorEastAsia"/>
          <w:color w:themeColor="text1" w:val="000000"/>
          <w:sz w:val="24"/>
          <w:szCs w:val="24"/>
        </w:rPr>
      </w:pPr>
    </w:p>
    <w:p w14:paraId="05279DD9"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8.</w:t>
      </w:r>
      <w:proofErr w:type="gramEnd"/>
      <w:r w:rsidRPr="00FF6B9A">
        <w:rPr>
          <w:rFonts w:eastAsiaTheme="minorEastAsia"/>
          <w:b/>
          <w:bCs/>
          <w:color w:themeColor="text1" w:val="000000"/>
          <w:kern w:val="0"/>
          <w:sz w:val="24"/>
          <w:szCs w:val="24"/>
        </w:rPr>
        <w:t xml:space="preserve">3 </w:t>
      </w:r>
      <w:r w:rsidRPr="00FF6B9A">
        <w:rPr>
          <w:rFonts w:eastAsiaTheme="minorEastAsia"/>
          <w:b/>
          <w:bCs/>
          <w:color w:themeColor="text1" w:val="000000"/>
          <w:kern w:val="0"/>
          <w:sz w:val="24"/>
          <w:szCs w:val="24"/>
        </w:rPr>
        <w:t>查阅方式</w:t>
      </w:r>
    </w:p>
    <w:p w14:paraId="5BDF4042"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投资者可在营业时间免费查阅，也可按工本费购买复印件。</w:t>
      </w:r>
    </w:p>
    <w:p w14:paraId="1EB1072F" w14:textId="77777777" w:rsidR="00D06738" w:rsidRDefault="00D06738" w:rsidRPr="00FF6B9A">
      <w:pPr>
        <w:spacing w:line="360" w:lineRule="auto"/>
        <w:ind w:left="840"/>
        <w:jc w:val="right"/>
        <w:rPr>
          <w:rFonts w:eastAsiaTheme="minorEastAsia"/>
          <w:color w:themeColor="text1" w:val="000000"/>
          <w:sz w:val="24"/>
          <w:szCs w:val="24"/>
        </w:rPr>
      </w:pPr>
    </w:p>
    <w:p w14:paraId="086D5C70" w14:textId="77777777" w:rsidR="00D06738" w:rsidRDefault="00D06738" w:rsidRPr="00FF6B9A">
      <w:pPr>
        <w:spacing w:line="360" w:lineRule="auto"/>
        <w:ind w:left="840"/>
        <w:jc w:val="right"/>
        <w:rPr>
          <w:rFonts w:eastAsiaTheme="minorEastAsia"/>
          <w:color w:themeColor="text1" w:val="000000"/>
          <w:sz w:val="24"/>
          <w:szCs w:val="24"/>
        </w:rPr>
      </w:pPr>
    </w:p>
    <w:p w14:paraId="667FD74D" w14:textId="77777777" w:rsidR="00D06738" w:rsidRDefault="00D06738" w:rsidRPr="00FF6B9A">
      <w:pPr>
        <w:spacing w:line="360" w:lineRule="auto"/>
        <w:ind w:left="840"/>
        <w:jc w:val="right"/>
        <w:rPr>
          <w:rFonts w:eastAsiaTheme="minorEastAsia"/>
          <w:color w:themeColor="text1" w:val="000000"/>
          <w:sz w:val="24"/>
          <w:szCs w:val="24"/>
        </w:rPr>
      </w:pPr>
    </w:p>
    <w:p w14:paraId="5173A207" w14:textId="77777777" w:rsidR="00D06738" w:rsidRDefault="00D06738" w:rsidRPr="00FF6B9A">
      <w:pPr>
        <w:spacing w:line="360" w:lineRule="auto"/>
        <w:ind w:left="840"/>
        <w:jc w:val="right"/>
        <w:rPr>
          <w:rFonts w:eastAsiaTheme="minorEastAsia"/>
          <w:color w:themeColor="text1" w:val="000000"/>
          <w:sz w:val="24"/>
          <w:szCs w:val="24"/>
        </w:rPr>
      </w:pPr>
    </w:p>
    <w:p w14:paraId="5C1BC673" w14:textId="77777777" w:rsidR="00D06738" w:rsidRDefault="00D06738" w:rsidRPr="00FF6B9A">
      <w:pPr>
        <w:spacing w:line="360" w:lineRule="auto"/>
        <w:ind w:left="840"/>
        <w:jc w:val="right"/>
        <w:rPr>
          <w:rFonts w:eastAsiaTheme="minorEastAsia"/>
          <w:color w:themeColor="text1" w:val="000000"/>
          <w:sz w:val="24"/>
          <w:szCs w:val="24"/>
        </w:rPr>
      </w:pPr>
    </w:p>
    <w:p w14:paraId="309916CD" w14:textId="77777777" w:rsidR="00D06738" w:rsidRDefault="00D06738" w:rsidRPr="00FF6B9A">
      <w:pPr>
        <w:spacing w:line="360" w:lineRule="auto"/>
        <w:ind w:left="840"/>
        <w:jc w:val="right"/>
        <w:rPr>
          <w:rFonts w:eastAsiaTheme="minorEastAsia"/>
          <w:color w:themeColor="text1" w:val="000000"/>
          <w:sz w:val="24"/>
          <w:szCs w:val="24"/>
        </w:rPr>
      </w:pPr>
    </w:p>
    <w:p w14:paraId="7C0C74F6" w14:textId="77777777" w:rsidR="00D06738" w:rsidRDefault="00D06738" w:rsidRPr="00FF6B9A">
      <w:pPr>
        <w:spacing w:line="360" w:lineRule="auto"/>
        <w:ind w:left="840"/>
        <w:jc w:val="right"/>
        <w:rPr>
          <w:rFonts w:eastAsiaTheme="minorEastAsia"/>
          <w:color w:themeColor="text1" w:val="000000"/>
          <w:sz w:val="24"/>
          <w:szCs w:val="24"/>
        </w:rPr>
      </w:pPr>
    </w:p>
    <w:p w14:paraId="04EFEDF1" w14:textId="77777777" w:rsidR="00D06738" w:rsidRDefault="00D06738" w:rsidRPr="00FF6B9A">
      <w:pPr>
        <w:spacing w:line="360" w:lineRule="auto"/>
        <w:ind w:left="840"/>
        <w:jc w:val="right"/>
        <w:rPr>
          <w:rFonts w:eastAsiaTheme="minorEastAsia"/>
          <w:color w:themeColor="text1" w:val="000000"/>
          <w:sz w:val="24"/>
          <w:szCs w:val="24"/>
        </w:rPr>
      </w:pPr>
    </w:p>
    <w:p w14:paraId="0387F1AC" w14:textId="77777777" w:rsidR="00D06738" w:rsidRDefault="00454D20" w:rsidRPr="00FF6B9A">
      <w:pPr>
        <w:spacing w:line="360" w:lineRule="auto"/>
        <w:jc w:val="right"/>
        <w:rPr>
          <w:rFonts w:eastAsiaTheme="minorEastAsia"/>
          <w:b/>
          <w:bCs/>
          <w:color w:themeColor="text1" w:val="000000"/>
          <w:sz w:val="24"/>
          <w:szCs w:val="24"/>
        </w:rPr>
      </w:pPr>
      <w:r w:rsidRPr="00FF6B9A">
        <w:rPr>
          <w:rFonts w:eastAsiaTheme="minorEastAsia"/>
          <w:b/>
          <w:bCs/>
          <w:color w:themeColor="text1" w:val="000000"/>
          <w:sz w:val="24"/>
          <w:szCs w:val="24"/>
        </w:rPr>
        <w:t/>
      </w:r>
      <w:proofErr w:type="spellStart"/>
      <w:r w:rsidRPr="00FF6B9A">
        <w:rPr>
          <w:rFonts w:eastAsiaTheme="minorEastAsia"/>
          <w:b/>
          <w:bCs/>
          <w:color w:themeColor="text1" w:val="000000"/>
          <w:sz w:val="24"/>
          <w:szCs w:val="24"/>
        </w:rPr>
        <w:t/>
      </w:r>
      <w:proofErr w:type="spellEnd"/>
      <w:r w:rsidRPr="00FF6B9A">
        <w:rPr>
          <w:rFonts w:eastAsiaTheme="minorEastAsia"/>
          <w:b/>
          <w:bCs/>
          <w:color w:themeColor="text1" w:val="000000"/>
          <w:sz w:val="24"/>
          <w:szCs w:val="24"/>
        </w:rPr>
        <w:t>上投摩根基金管理有限公司</w:t>
      </w:r>
    </w:p>
    <w:p w14:paraId="114F1307" w14:textId="77777777" w:rsidR="00D06738" w:rsidRDefault="00454D20" w:rsidRPr="00FF6B9A">
      <w:pPr>
        <w:spacing w:line="360" w:lineRule="auto"/>
        <w:jc w:val="right"/>
        <w:rPr>
          <w:rFonts w:eastAsiaTheme="minorEastAsia"/>
          <w:b/>
          <w:bCs/>
          <w:color w:themeColor="text1" w:val="000000"/>
          <w:sz w:val="24"/>
          <w:szCs w:val="24"/>
        </w:rPr>
      </w:pPr>
      <w:r w:rsidRPr="00FF6B9A">
        <w:rPr>
          <w:rFonts w:eastAsiaTheme="minorEastAsia"/>
          <w:b/>
          <w:bCs/>
          <w:color w:themeColor="text1" w:val="000000"/>
          <w:sz w:val="24"/>
          <w:szCs w:val="24"/>
        </w:rPr>
        <w:t/>
      </w:r>
      <w:proofErr w:type="spellStart"/>
      <w:r w:rsidRPr="00FF6B9A">
        <w:rPr>
          <w:rFonts w:eastAsiaTheme="minorEastAsia"/>
          <w:b/>
          <w:bCs/>
          <w:color w:themeColor="text1" w:val="000000"/>
          <w:sz w:val="24"/>
          <w:szCs w:val="24"/>
        </w:rPr>
        <w:t/>
      </w:r>
      <w:proofErr w:type="spellEnd"/>
      <w:r w:rsidRPr="00FF6B9A">
        <w:rPr>
          <w:rFonts w:eastAsiaTheme="minorEastAsia"/>
          <w:b/>
          <w:bCs/>
          <w:color w:themeColor="text1" w:val="000000"/>
          <w:sz w:val="24"/>
          <w:szCs w:val="24"/>
        </w:rPr>
        <w:t>二〇二一年七月二十一日</w:t>
      </w:r>
    </w:p>
    <w:p w14:paraId="2199A838" w14:textId="77777777" w:rsidR="00D06738" w:rsidRDefault="00D06738" w:rsidRPr="00FF6B9A">
      <w:pPr>
        <w:spacing w:line="360" w:lineRule="auto"/>
        <w:ind w:left="840"/>
        <w:jc w:val="right"/>
        <w:rPr>
          <w:rFonts w:eastAsiaTheme="minorEastAsia"/>
          <w:b/>
          <w:bCs/>
          <w:color w:themeColor="text1" w:val="000000"/>
          <w:sz w:val="24"/>
          <w:szCs w:val="24"/>
        </w:rPr>
      </w:pPr>
    </w:p>
    <w:p w14:paraId="1ED73A6C" w14:textId="77777777" w:rsidR="00D06738" w:rsidRDefault="00D06738" w:rsidRPr="00FF6B9A">
      <w:pPr>
        <w:rPr>
          <w:rFonts w:eastAsiaTheme="minorEastAsia"/>
          <w:color w:themeColor="text1" w:val="000000"/>
          <w:sz w:val="24"/>
          <w:szCs w:val="24"/>
        </w:rPr>
      </w:pPr>
    </w:p>
    <w:sectPr w:rsidR="00D06738" w:rsidRPr="00FF6B9A">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A565" w14:textId="77777777" w:rsidR="007573EA" w:rsidRDefault="007573EA">
      <w:r>
        <w:separator/>
      </w:r>
    </w:p>
  </w:endnote>
  <w:endnote w:type="continuationSeparator" w:id="0">
    <w:p w14:paraId="487ADA0C" w14:textId="77777777"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78AE9C8" w14:textId="77777777" w:rsidR="007573EA" w:rsidRDefault="007573EA">
      <w:r>
        <w:separator/>
      </w:r>
    </w:p>
  </w:footnote>
  <w:footnote w:id="0" w:type="continuationSeparator">
    <w:p w14:paraId="43F62B92" w14:textId="77777777" w:rsidR="007573EA" w:rsidRDefault="007573E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上投摩根智慧互联股票型证券投资基金</w:t>
    </w:r>
    <w:proofErr w:type="spellStart"/>
    <w:proofErr w:type="gramEnd"/>
    <w:r>
      <w:rPr>
        <w:rFonts w:hint="eastAsia"/>
      </w:rPr>
      <w:t/>
    </w:r>
    <w:proofErr w:type="spellEnd"/>
    <w:r>
      <w:rPr>
        <w:rFonts w:hint="eastAsia"/>
      </w:rPr>
      <w:t>2021年第2季度报告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qFormat/>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4167</Words>
  <Characters>23756</Characters>
  <Application>Microsoft Office Word</Application>
  <DocSecurity>0</DocSecurity>
  <Lines>197</Lines>
  <Paragraphs>55</Paragraphs>
  <ScaleCrop>false</ScaleCrop>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良 虢</cp:lastModifiedBy>
  <dcterms:modified xsi:type="dcterms:W3CDTF">2021-06-04T04:09:00Z</dcterms:modified>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