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上投摩根智慧互联股票型证券投资基金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中国工商银行股份有限公司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上投摩根智慧互联股票</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001313</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001313</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2015年6月9日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765,420,519.26</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采用定量及定性研究方法，自下而上优选互联网主题上市公司，通过严格的风险控制，力争实现基金资产的长期增值。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本基金将专注于互联网主题投资，对其相关行业的发展进行密切跟踪，充分把握互联网概念企业的投资机会。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在资产配置层面，本基金将根据各类证券的风险收益特征的相对变化，适度的调整确定基金资产在股票、债券及现金等类别资产间的分配比例，动态优化投资组合。</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在个股选择层面，本基金主要采取“自下而上”的选股策略，基于对互联网主题相关的上市公司盈利水平、成长性和估值水平的综合考量，使用定性与定量相结合的方法精选股票进行投资。</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中证800指数收益率×85%+中债总指数收益率×15%</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中国工商银行股份有限公司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129,451,463.97</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152,475,943.04</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0.1750</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1,007,872,683.74</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1.317</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15.83%</w:t>
            </w:r>
          </w:p>
        </w:tc>
        <w:tc>
          <w:tcPr>
            <w:vAlign w:val="center"/>
          </w:tcPr>
          <w:p>
            <w:pPr>
              <w:jc w:val="center"/>
            </w:pPr>
            <w:r>
              <w:rPr>
                <w:rFonts w:asciiTheme="minorEastAsia" w:eastAsiaTheme="minorEastAsia" w:hAnsiTheme="minorEastAsia"/>
                <w:color w:themeColor="text1" w:val="000000"/>
                <w:kern w:val="0"/>
              </w:rPr>
              <w:t>1.33%</w:t>
            </w:r>
          </w:p>
        </w:tc>
        <w:tc>
          <w:tcPr>
            <w:vAlign w:val="center"/>
          </w:tcPr>
          <w:p>
            <w:pPr>
              <w:jc w:val="center"/>
            </w:pPr>
            <w:r>
              <w:rPr>
                <w:rFonts w:asciiTheme="minorEastAsia" w:eastAsiaTheme="minorEastAsia" w:hAnsiTheme="minorEastAsia"/>
                <w:color w:themeColor="text1" w:val="000000"/>
                <w:kern w:val="0"/>
              </w:rPr>
              <w:t>9.50%</w:t>
            </w:r>
          </w:p>
        </w:tc>
        <w:tc>
          <w:tcPr>
            <w:vAlign w:val="center"/>
          </w:tcPr>
          <w:p>
            <w:pPr>
              <w:jc w:val="center"/>
            </w:pPr>
            <w:r>
              <w:rPr>
                <w:rFonts w:asciiTheme="minorEastAsia" w:eastAsiaTheme="minorEastAsia" w:hAnsiTheme="minorEastAsia"/>
                <w:color w:themeColor="text1" w:val="000000"/>
                <w:kern w:val="0"/>
              </w:rPr>
              <w:t>0.86%</w:t>
            </w:r>
          </w:p>
        </w:tc>
        <w:tc>
          <w:tcPr>
            <w:vAlign w:val="center"/>
          </w:tcPr>
          <w:p>
            <w:pPr>
              <w:jc w:val="center"/>
            </w:pPr>
            <w:r>
              <w:rPr>
                <w:rFonts w:asciiTheme="minorEastAsia" w:eastAsiaTheme="minorEastAsia" w:hAnsiTheme="minorEastAsia"/>
                <w:color w:themeColor="text1" w:val="000000"/>
                <w:kern w:val="0"/>
              </w:rPr>
              <w:t>6.33%</w:t>
            </w:r>
          </w:p>
        </w:tc>
        <w:tc>
          <w:tcPr>
            <w:vAlign w:val="center"/>
          </w:tcPr>
          <w:p>
            <w:pPr>
              <w:jc w:val="center"/>
            </w:pPr>
            <w:r>
              <w:rPr>
                <w:rFonts w:asciiTheme="minorEastAsia" w:eastAsiaTheme="minorEastAsia" w:hAnsiTheme="minorEastAsia"/>
                <w:color w:themeColor="text1" w:val="000000"/>
                <w:kern w:val="0"/>
              </w:rPr>
              <w:t>0.47%</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17.17%</w:t>
            </w:r>
          </w:p>
        </w:tc>
        <w:tc>
          <w:tcPr>
            <w:vAlign w:val="center"/>
          </w:tcPr>
          <w:p>
            <w:pPr>
              <w:jc w:val="center"/>
            </w:pPr>
            <w:r>
              <w:rPr>
                <w:rFonts w:asciiTheme="minorEastAsia" w:eastAsiaTheme="minorEastAsia" w:hAnsiTheme="minorEastAsia"/>
                <w:color w:themeColor="text1" w:val="000000"/>
                <w:kern w:val="0"/>
              </w:rPr>
              <w:t>1.73%</w:t>
            </w:r>
          </w:p>
        </w:tc>
        <w:tc>
          <w:tcPr>
            <w:vAlign w:val="center"/>
          </w:tcPr>
          <w:p>
            <w:pPr>
              <w:jc w:val="center"/>
            </w:pPr>
            <w:r>
              <w:rPr>
                <w:rFonts w:asciiTheme="minorEastAsia" w:eastAsiaTheme="minorEastAsia" w:hAnsiTheme="minorEastAsia"/>
                <w:color w:themeColor="text1" w:val="000000"/>
                <w:kern w:val="0"/>
              </w:rPr>
              <w:t>17.72%</w:t>
            </w:r>
          </w:p>
        </w:tc>
        <w:tc>
          <w:tcPr>
            <w:vAlign w:val="center"/>
          </w:tcPr>
          <w:p>
            <w:pPr>
              <w:jc w:val="center"/>
            </w:pPr>
            <w:r>
              <w:rPr>
                <w:rFonts w:asciiTheme="minorEastAsia" w:eastAsiaTheme="minorEastAsia" w:hAnsiTheme="minorEastAsia"/>
                <w:color w:themeColor="text1" w:val="000000"/>
                <w:kern w:val="0"/>
              </w:rPr>
              <w:t>1.14%</w:t>
            </w:r>
          </w:p>
        </w:tc>
        <w:tc>
          <w:tcPr>
            <w:vAlign w:val="center"/>
          </w:tcPr>
          <w:p>
            <w:pPr>
              <w:jc w:val="center"/>
            </w:pPr>
            <w:r>
              <w:rPr>
                <w:rFonts w:asciiTheme="minorEastAsia" w:eastAsiaTheme="minorEastAsia" w:hAnsiTheme="minorEastAsia"/>
                <w:color w:themeColor="text1" w:val="000000"/>
                <w:kern w:val="0"/>
              </w:rPr>
              <w:t>-0.55%</w:t>
            </w:r>
          </w:p>
        </w:tc>
        <w:tc>
          <w:tcPr>
            <w:vAlign w:val="center"/>
          </w:tcPr>
          <w:p>
            <w:pPr>
              <w:jc w:val="center"/>
            </w:pPr>
            <w:r>
              <w:rPr>
                <w:rFonts w:asciiTheme="minorEastAsia" w:eastAsiaTheme="minorEastAsia" w:hAnsiTheme="minorEastAsia"/>
                <w:color w:themeColor="text1" w:val="000000"/>
                <w:kern w:val="0"/>
              </w:rPr>
              <w:t>0.59%</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61.99%</w:t>
            </w:r>
          </w:p>
        </w:tc>
        <w:tc>
          <w:tcPr>
            <w:vAlign w:val="center"/>
          </w:tcPr>
          <w:p>
            <w:pPr>
              <w:jc w:val="center"/>
            </w:pPr>
            <w:r>
              <w:rPr>
                <w:rFonts w:asciiTheme="minorEastAsia" w:eastAsiaTheme="minorEastAsia" w:hAnsiTheme="minorEastAsia"/>
                <w:color w:themeColor="text1" w:val="000000"/>
                <w:kern w:val="0"/>
              </w:rPr>
              <w:t>1.97%</w:t>
            </w:r>
          </w:p>
        </w:tc>
        <w:tc>
          <w:tcPr>
            <w:vAlign w:val="center"/>
          </w:tcPr>
          <w:p>
            <w:pPr>
              <w:jc w:val="center"/>
            </w:pPr>
            <w:r>
              <w:rPr>
                <w:rFonts w:asciiTheme="minorEastAsia" w:eastAsiaTheme="minorEastAsia" w:hAnsiTheme="minorEastAsia"/>
                <w:color w:themeColor="text1" w:val="000000"/>
                <w:kern w:val="0"/>
              </w:rPr>
              <w:t>21.90%</w:t>
            </w:r>
          </w:p>
        </w:tc>
        <w:tc>
          <w:tcPr>
            <w:vAlign w:val="center"/>
          </w:tcPr>
          <w:p>
            <w:pPr>
              <w:jc w:val="center"/>
            </w:pPr>
            <w:r>
              <w:rPr>
                <w:rFonts w:asciiTheme="minorEastAsia" w:eastAsiaTheme="minorEastAsia" w:hAnsiTheme="minorEastAsia"/>
                <w:color w:themeColor="text1" w:val="000000"/>
                <w:kern w:val="0"/>
              </w:rPr>
              <w:t>1.23%</w:t>
            </w:r>
          </w:p>
        </w:tc>
        <w:tc>
          <w:tcPr>
            <w:vAlign w:val="center"/>
          </w:tcPr>
          <w:p>
            <w:pPr>
              <w:jc w:val="center"/>
            </w:pPr>
            <w:r>
              <w:rPr>
                <w:rFonts w:asciiTheme="minorEastAsia" w:eastAsiaTheme="minorEastAsia" w:hAnsiTheme="minorEastAsia"/>
                <w:color w:themeColor="text1" w:val="000000"/>
                <w:kern w:val="0"/>
              </w:rPr>
              <w:t>40.09%</w:t>
            </w:r>
          </w:p>
        </w:tc>
        <w:tc>
          <w:tcPr>
            <w:vAlign w:val="center"/>
          </w:tcPr>
          <w:p>
            <w:pPr>
              <w:jc w:val="center"/>
            </w:pPr>
            <w:r>
              <w:rPr>
                <w:rFonts w:asciiTheme="minorEastAsia" w:eastAsiaTheme="minorEastAsia" w:hAnsiTheme="minorEastAsia"/>
                <w:color w:themeColor="text1" w:val="000000"/>
                <w:kern w:val="0"/>
              </w:rPr>
              <w:t>0.74%</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75.60%</w:t>
            </w:r>
          </w:p>
        </w:tc>
        <w:tc>
          <w:tcPr>
            <w:vAlign w:val="center"/>
          </w:tcPr>
          <w:p>
            <w:pPr>
              <w:jc w:val="center"/>
            </w:pPr>
            <w:r>
              <w:rPr>
                <w:rFonts w:asciiTheme="minorEastAsia" w:eastAsiaTheme="minorEastAsia" w:hAnsiTheme="minorEastAsia"/>
                <w:color w:themeColor="text1" w:val="000000"/>
                <w:kern w:val="0"/>
              </w:rPr>
              <w:t>1.85%</w:t>
            </w:r>
          </w:p>
        </w:tc>
        <w:tc>
          <w:tcPr>
            <w:vAlign w:val="center"/>
          </w:tcPr>
          <w:p>
            <w:pPr>
              <w:jc w:val="center"/>
            </w:pPr>
            <w:r>
              <w:rPr>
                <w:rFonts w:asciiTheme="minorEastAsia" w:eastAsiaTheme="minorEastAsia" w:hAnsiTheme="minorEastAsia"/>
                <w:color w:themeColor="text1" w:val="000000"/>
                <w:kern w:val="0"/>
              </w:rPr>
              <w:t>19.89%</w:t>
            </w:r>
          </w:p>
        </w:tc>
        <w:tc>
          <w:tcPr>
            <w:vAlign w:val="center"/>
          </w:tcPr>
          <w:p>
            <w:pPr>
              <w:jc w:val="center"/>
            </w:pPr>
            <w:r>
              <w:rPr>
                <w:rFonts w:asciiTheme="minorEastAsia" w:eastAsiaTheme="minorEastAsia" w:hAnsiTheme="minorEastAsia"/>
                <w:color w:themeColor="text1" w:val="000000"/>
                <w:kern w:val="0"/>
              </w:rPr>
              <w:t>1.15%</w:t>
            </w:r>
          </w:p>
        </w:tc>
        <w:tc>
          <w:tcPr>
            <w:vAlign w:val="center"/>
          </w:tcPr>
          <w:p>
            <w:pPr>
              <w:jc w:val="center"/>
            </w:pPr>
            <w:r>
              <w:rPr>
                <w:rFonts w:asciiTheme="minorEastAsia" w:eastAsiaTheme="minorEastAsia" w:hAnsiTheme="minorEastAsia"/>
                <w:color w:themeColor="text1" w:val="000000"/>
                <w:kern w:val="0"/>
              </w:rPr>
              <w:t>55.71%</w:t>
            </w:r>
          </w:p>
        </w:tc>
        <w:tc>
          <w:tcPr>
            <w:vAlign w:val="center"/>
          </w:tcPr>
          <w:p>
            <w:pPr>
              <w:jc w:val="center"/>
            </w:pPr>
            <w:r>
              <w:rPr>
                <w:rFonts w:asciiTheme="minorEastAsia" w:eastAsiaTheme="minorEastAsia" w:hAnsiTheme="minorEastAsia"/>
                <w:color w:themeColor="text1" w:val="000000"/>
                <w:kern w:val="0"/>
              </w:rPr>
              <w:t>0.70%</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46.99%</w:t>
            </w:r>
          </w:p>
        </w:tc>
        <w:tc>
          <w:tcPr>
            <w:vAlign w:val="center"/>
          </w:tcPr>
          <w:p>
            <w:pPr>
              <w:jc w:val="center"/>
            </w:pPr>
            <w:r>
              <w:rPr>
                <w:rFonts w:asciiTheme="minorEastAsia" w:eastAsiaTheme="minorEastAsia" w:hAnsiTheme="minorEastAsia"/>
                <w:color w:themeColor="text1" w:val="000000"/>
                <w:kern w:val="0"/>
              </w:rPr>
              <w:t>1.81%</w:t>
            </w:r>
          </w:p>
        </w:tc>
        <w:tc>
          <w:tcPr>
            <w:vAlign w:val="center"/>
          </w:tcPr>
          <w:p>
            <w:pPr>
              <w:jc w:val="center"/>
            </w:pPr>
            <w:r>
              <w:rPr>
                <w:rFonts w:asciiTheme="minorEastAsia" w:eastAsiaTheme="minorEastAsia" w:hAnsiTheme="minorEastAsia"/>
                <w:color w:themeColor="text1" w:val="000000"/>
                <w:kern w:val="0"/>
              </w:rPr>
              <w:t>18.80%</w:t>
            </w:r>
          </w:p>
        </w:tc>
        <w:tc>
          <w:tcPr>
            <w:vAlign w:val="center"/>
          </w:tcPr>
          <w:p>
            <w:pPr>
              <w:jc w:val="center"/>
            </w:pPr>
            <w:r>
              <w:rPr>
                <w:rFonts w:asciiTheme="minorEastAsia" w:eastAsiaTheme="minorEastAsia" w:hAnsiTheme="minorEastAsia"/>
                <w:color w:themeColor="text1" w:val="000000"/>
                <w:kern w:val="0"/>
              </w:rPr>
              <w:t>1.09%</w:t>
            </w:r>
          </w:p>
        </w:tc>
        <w:tc>
          <w:tcPr>
            <w:vAlign w:val="center"/>
          </w:tcPr>
          <w:p>
            <w:pPr>
              <w:jc w:val="center"/>
            </w:pPr>
            <w:r>
              <w:rPr>
                <w:rFonts w:asciiTheme="minorEastAsia" w:eastAsiaTheme="minorEastAsia" w:hAnsiTheme="minorEastAsia"/>
                <w:color w:themeColor="text1" w:val="000000"/>
                <w:kern w:val="0"/>
              </w:rPr>
              <w:t>28.19%</w:t>
            </w:r>
          </w:p>
        </w:tc>
        <w:tc>
          <w:tcPr>
            <w:vAlign w:val="center"/>
          </w:tcPr>
          <w:p>
            <w:pPr>
              <w:jc w:val="center"/>
            </w:pPr>
            <w:r>
              <w:rPr>
                <w:rFonts w:asciiTheme="minorEastAsia" w:eastAsiaTheme="minorEastAsia" w:hAnsiTheme="minorEastAsia"/>
                <w:color w:themeColor="text1" w:val="000000"/>
                <w:kern w:val="0"/>
              </w:rPr>
              <w:t>0.72%</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31.70%</w:t>
            </w:r>
          </w:p>
        </w:tc>
        <w:tc>
          <w:tcPr>
            <w:vAlign w:val="center"/>
          </w:tcPr>
          <w:p>
            <w:pPr>
              <w:jc w:val="center"/>
            </w:pPr>
            <w:r>
              <w:rPr>
                <w:rFonts w:asciiTheme="minorEastAsia" w:eastAsiaTheme="minorEastAsia" w:hAnsiTheme="minorEastAsia"/>
                <w:color w:themeColor="text1" w:val="000000"/>
                <w:kern w:val="0"/>
              </w:rPr>
              <w:t>1.89%</w:t>
            </w:r>
          </w:p>
        </w:tc>
        <w:tc>
          <w:tcPr>
            <w:vAlign w:val="center"/>
          </w:tcPr>
          <w:p>
            <w:pPr>
              <w:jc w:val="center"/>
            </w:pPr>
            <w:r>
              <w:rPr>
                <w:rFonts w:asciiTheme="minorEastAsia" w:eastAsiaTheme="minorEastAsia" w:hAnsiTheme="minorEastAsia"/>
                <w:color w:themeColor="text1" w:val="000000"/>
                <w:kern w:val="0"/>
              </w:rPr>
              <w:t>-12.28%</w:t>
            </w:r>
          </w:p>
        </w:tc>
        <w:tc>
          <w:tcPr>
            <w:vAlign w:val="center"/>
          </w:tcPr>
          <w:p>
            <w:pPr>
              <w:jc w:val="center"/>
            </w:pPr>
            <w:r>
              <w:rPr>
                <w:rFonts w:asciiTheme="minorEastAsia" w:eastAsiaTheme="minorEastAsia" w:hAnsiTheme="minorEastAsia"/>
                <w:color w:themeColor="text1" w:val="000000"/>
                <w:kern w:val="0"/>
              </w:rPr>
              <w:t>1.29%</w:t>
            </w:r>
          </w:p>
        </w:tc>
        <w:tc>
          <w:tcPr>
            <w:vAlign w:val="center"/>
          </w:tcPr>
          <w:p>
            <w:pPr>
              <w:jc w:val="center"/>
            </w:pPr>
            <w:r>
              <w:rPr>
                <w:rFonts w:asciiTheme="minorEastAsia" w:eastAsiaTheme="minorEastAsia" w:hAnsiTheme="minorEastAsia"/>
                <w:color w:themeColor="text1" w:val="000000"/>
                <w:kern w:val="0"/>
              </w:rPr>
              <w:t>43.98%</w:t>
            </w:r>
          </w:p>
        </w:tc>
        <w:tc>
          <w:tcPr>
            <w:vAlign w:val="center"/>
          </w:tcPr>
          <w:p>
            <w:pPr>
              <w:jc w:val="center"/>
            </w:pPr>
            <w:r>
              <w:rPr>
                <w:rFonts w:asciiTheme="minorEastAsia" w:eastAsiaTheme="minorEastAsia" w:hAnsiTheme="minorEastAsia"/>
                <w:color w:themeColor="text1" w:val="000000"/>
                <w:kern w:val="0"/>
              </w:rPr>
              <w:t>0.60%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上投摩根智慧互联股票型证券投资基金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2015年6月9日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注：本基金合同生效日为2015年6月9日，图示时间段为2015年6月9日至2020年12月31日。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本基金建仓期自2015年6月9日至2015年12月8日，建仓期结束时资产配置比例符合本基金基金合同规定。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郭晨</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2015-06-09</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14年</w:t>
            </w:r>
          </w:p>
        </w:tc>
        <w:tc>
          <w:tcPr>
            <w:vAlign w:val="center"/>
          </w:tcPr>
          <w:p>
            <w:pPr>
              <w:jc w:val="both"/>
            </w:pPr>
            <w:r>
              <w:rPr>
                <w:rFonts w:asciiTheme="minorEastAsia" w:eastAsiaTheme="minorEastAsia" w:hAnsi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国内权益投资部动力组组长兼资深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2.郭晨先生为本基金首任基金经理，其任职日期指本基金基金合同生效之日。</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市场整体表现不错，沪深300指数涨幅达到13.60%，创业板指数上涨15.21%，市场整体比较活跃，两市成交额温和放大，呈现出慢牛的走势。表现比较好的行业依然是前期强势板块，比如新能源汽车、光伏、食品饮料等。今年新基金发行火爆，机构话语权增强，资金通过机构入市的趋势逐渐形成，市场结构分化越来越明显。四季度美国大选结束，海外疫情依然严峻，但是疫苗的研发出现曙光，全球资本市场开始预期未来经济的恢复，风险偏好提升，加上流动性非常充裕，全球大宗商品和股市都表现不错。国内疫情控制良好，经济平稳，出口超预期，对市场整体都是利好。</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四季度本基金考虑到年底市场的不确定性，仓位比较灵活，行业和个股配置上更加均衡，继续超配长期看好的科技、新能源、智慧医疗、智能汽车等智慧互联主题相关行业，也是本基金一直长期持有的一些行业和公司。本基金始终坚持价值投资思路，坚持配置高景气度行业，选择高景气行业中优秀的龙头公司长期投资。</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2021年一季度我们继续乐观，随着疫苗逐渐开始应用，疫情有望得到控制。考虑到低基数原因，2021年一季度全球经济增速预计都比较亮眼，上市公司业绩也有望加速。另外一季度受益于流动性的改善和全年各种经济政策的出台，股市也会有一定的表现。整体来看A股市场的估值不贵，三千点附近处于长期底部，A股市场没有大的系统性风险，也很难出现快牛、疯牛。未来有望走出长期慢牛行情，类似于海外成熟市场的走势。一季度结构性行情大概率将持续。</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我们会始终坚持价值投资，坚持超配高景气度行业，选择朝阳行业中优秀的龙头公司长期投资。我们依然战略看好高科技、先进制造等成长板块和与百姓生活相关的消费、医药行业，致力长期投资高景气度、高成长，低估值的优秀龙头公司。行业上，半导体、消费电子、新能源汽车、消费、医药、光伏等行业的景气度依然长期看好，这些高景气度行业大多与智慧互联主题相关。合理的估值，业绩增速，成长的确定性是本基金最看重的。</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本报告期上投摩根智慧互联股票份额净值增长率为:15.83%，同期业绩比较基准收益率为:9.50%。</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921,725,651.74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89.44</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921,725,651.74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89.44</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813,000.00</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0.08</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813,000.00</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0.08</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107,086,847.90</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10.39</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924,250.56</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0.09</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1,030,549,750.20</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2,103,750.00</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0.21</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710,449,055.02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70.49</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21,007,386.54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2.08</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406,508.02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52,904,776.41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5.25</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8,975.14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52,141,682.25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5.17</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48,002,778.48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4.76</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206,160.21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1,295,805.18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0.13</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32,298,483.00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3.20</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883,968.77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0.09</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921,725,651.74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91.45</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164,018.00</w:t>
            </w:r>
          </w:p>
        </w:tc>
        <w:tc>
          <w:tcPr>
            <w:vAlign w:val="center"/>
          </w:tcPr>
          <w:p>
            <w:pPr>
              <w:jc w:val="right"/>
            </w:pPr>
            <w:r>
              <w:rPr>
                <w:rFonts w:asciiTheme="minorEastAsia" w:cs="宋体" w:eastAsiaTheme="minorEastAsia" w:hAnsiTheme="minorEastAsia"/>
                <w:color w:themeColor="text1" w:val="000000"/>
                <w:kern w:val="0"/>
              </w:rPr>
              <w:t>73,629,320.38</w:t>
            </w:r>
          </w:p>
        </w:tc>
        <w:tc>
          <w:tcPr>
            <w:vAlign w:val="center"/>
          </w:tcPr>
          <w:p>
            <w:pPr>
              <w:jc w:val="right"/>
            </w:pPr>
            <w:r>
              <w:rPr>
                <w:rFonts w:asciiTheme="minorEastAsia" w:cs="宋体" w:eastAsiaTheme="minorEastAsia" w:hAnsiTheme="minorEastAsia"/>
                <w:color w:themeColor="text1" w:val="000000"/>
                <w:kern w:val="0"/>
              </w:rPr>
              <w:t>7.31</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603501</w:t>
            </w:r>
          </w:p>
        </w:tc>
        <w:tc>
          <w:tcPr>
            <w:vAlign w:val="center"/>
          </w:tcPr>
          <w:p>
            <w:pPr>
              <w:jc w:val="center"/>
            </w:pPr>
            <w:r>
              <w:rPr>
                <w:rFonts w:asciiTheme="minorEastAsia" w:cs="宋体" w:eastAsiaTheme="minorEastAsia" w:hAnsiTheme="minorEastAsia"/>
                <w:color w:themeColor="text1" w:val="000000"/>
                <w:kern w:val="0"/>
              </w:rPr>
              <w:t>韦尔股份</w:t>
            </w:r>
          </w:p>
        </w:tc>
        <w:tc>
          <w:tcPr>
            <w:vAlign w:val="center"/>
          </w:tcPr>
          <w:p>
            <w:pPr>
              <w:jc w:val="right"/>
            </w:pPr>
            <w:r>
              <w:rPr>
                <w:rFonts w:asciiTheme="minorEastAsia" w:cs="宋体" w:eastAsiaTheme="minorEastAsia" w:hAnsiTheme="minorEastAsia"/>
                <w:color w:themeColor="text1" w:val="000000"/>
                <w:kern w:val="0"/>
              </w:rPr>
              <w:t>248,997.00</w:t>
            </w:r>
          </w:p>
        </w:tc>
        <w:tc>
          <w:tcPr>
            <w:vAlign w:val="center"/>
          </w:tcPr>
          <w:p>
            <w:pPr>
              <w:jc w:val="right"/>
            </w:pPr>
            <w:r>
              <w:rPr>
                <w:rFonts w:asciiTheme="minorEastAsia" w:cs="宋体" w:eastAsiaTheme="minorEastAsia" w:hAnsiTheme="minorEastAsia"/>
                <w:color w:themeColor="text1" w:val="000000"/>
                <w:kern w:val="0"/>
              </w:rPr>
              <w:t>57,543,206.70</w:t>
            </w:r>
          </w:p>
        </w:tc>
        <w:tc>
          <w:tcPr>
            <w:vAlign w:val="center"/>
          </w:tcPr>
          <w:p>
            <w:pPr>
              <w:jc w:val="right"/>
            </w:pPr>
            <w:r>
              <w:rPr>
                <w:rFonts w:asciiTheme="minorEastAsia" w:cs="宋体" w:eastAsiaTheme="minorEastAsia" w:hAnsiTheme="minorEastAsia"/>
                <w:color w:themeColor="text1" w:val="000000"/>
                <w:kern w:val="0"/>
              </w:rPr>
              <w:t>5.71</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184,605.00</w:t>
            </w:r>
          </w:p>
        </w:tc>
        <w:tc>
          <w:tcPr>
            <w:vAlign w:val="center"/>
          </w:tcPr>
          <w:p>
            <w:pPr>
              <w:jc w:val="right"/>
            </w:pPr>
            <w:r>
              <w:rPr>
                <w:rFonts w:asciiTheme="minorEastAsia" w:cs="宋体" w:eastAsiaTheme="minorEastAsia" w:hAnsiTheme="minorEastAsia"/>
                <w:color w:themeColor="text1" w:val="000000"/>
                <w:kern w:val="0"/>
              </w:rPr>
              <w:t>52,141,682.25</w:t>
            </w:r>
          </w:p>
        </w:tc>
        <w:tc>
          <w:tcPr>
            <w:vAlign w:val="center"/>
          </w:tcPr>
          <w:p>
            <w:pPr>
              <w:jc w:val="right"/>
            </w:pPr>
            <w:r>
              <w:rPr>
                <w:rFonts w:asciiTheme="minorEastAsia" w:cs="宋体" w:eastAsiaTheme="minorEastAsia" w:hAnsiTheme="minorEastAsia"/>
                <w:color w:themeColor="text1" w:val="000000"/>
                <w:kern w:val="0"/>
              </w:rPr>
              <w:t>5.17</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356,199.00</w:t>
            </w:r>
          </w:p>
        </w:tc>
        <w:tc>
          <w:tcPr>
            <w:vAlign w:val="center"/>
          </w:tcPr>
          <w:p>
            <w:pPr>
              <w:jc w:val="right"/>
            </w:pPr>
            <w:r>
              <w:rPr>
                <w:rFonts w:asciiTheme="minorEastAsia" w:cs="宋体" w:eastAsiaTheme="minorEastAsia" w:hAnsiTheme="minorEastAsia"/>
                <w:color w:themeColor="text1" w:val="000000"/>
                <w:kern w:val="0"/>
              </w:rPr>
              <w:t>47,987,129.28</w:t>
            </w:r>
          </w:p>
        </w:tc>
        <w:tc>
          <w:tcPr>
            <w:vAlign w:val="center"/>
          </w:tcPr>
          <w:p>
            <w:pPr>
              <w:jc w:val="right"/>
            </w:pPr>
            <w:r>
              <w:rPr>
                <w:rFonts w:asciiTheme="minorEastAsia" w:cs="宋体" w:eastAsiaTheme="minorEastAsia" w:hAnsiTheme="minorEastAsia"/>
                <w:color w:themeColor="text1" w:val="000000"/>
                <w:kern w:val="0"/>
              </w:rPr>
              <w:t>4.76</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五粮液</w:t>
            </w:r>
          </w:p>
        </w:tc>
        <w:tc>
          <w:tcPr>
            <w:vAlign w:val="center"/>
          </w:tcPr>
          <w:p>
            <w:pPr>
              <w:jc w:val="right"/>
            </w:pPr>
            <w:r>
              <w:rPr>
                <w:rFonts w:asciiTheme="minorEastAsia" w:cs="宋体" w:eastAsiaTheme="minorEastAsia" w:hAnsiTheme="minorEastAsia"/>
                <w:color w:themeColor="text1" w:val="000000"/>
                <w:kern w:val="0"/>
              </w:rPr>
              <w:t>150,907.00</w:t>
            </w:r>
          </w:p>
        </w:tc>
        <w:tc>
          <w:tcPr>
            <w:vAlign w:val="center"/>
          </w:tcPr>
          <w:p>
            <w:pPr>
              <w:jc w:val="right"/>
            </w:pPr>
            <w:r>
              <w:rPr>
                <w:rFonts w:asciiTheme="minorEastAsia" w:cs="宋体" w:eastAsiaTheme="minorEastAsia" w:hAnsiTheme="minorEastAsia"/>
                <w:color w:themeColor="text1" w:val="000000"/>
                <w:kern w:val="0"/>
              </w:rPr>
              <w:t>44,042,207.95</w:t>
            </w:r>
          </w:p>
        </w:tc>
        <w:tc>
          <w:tcPr>
            <w:vAlign w:val="center"/>
          </w:tcPr>
          <w:p>
            <w:pPr>
              <w:jc w:val="right"/>
            </w:pPr>
            <w:r>
              <w:rPr>
                <w:rFonts w:asciiTheme="minorEastAsia" w:cs="宋体" w:eastAsiaTheme="minorEastAsia" w:hAnsiTheme="minorEastAsia"/>
                <w:color w:themeColor="text1" w:val="000000"/>
                <w:kern w:val="0"/>
              </w:rPr>
              <w:t>4.37</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000568</w:t>
            </w:r>
          </w:p>
        </w:tc>
        <w:tc>
          <w:tcPr>
            <w:vAlign w:val="center"/>
          </w:tcPr>
          <w:p>
            <w:pPr>
              <w:jc w:val="center"/>
            </w:pPr>
            <w:r>
              <w:rPr>
                <w:rFonts w:asciiTheme="minorEastAsia" w:cs="宋体" w:eastAsiaTheme="minorEastAsia" w:hAnsiTheme="minorEastAsia"/>
                <w:color w:themeColor="text1" w:val="000000"/>
                <w:kern w:val="0"/>
              </w:rPr>
              <w:t>泸州老窖</w:t>
            </w:r>
          </w:p>
        </w:tc>
        <w:tc>
          <w:tcPr>
            <w:vAlign w:val="center"/>
          </w:tcPr>
          <w:p>
            <w:pPr>
              <w:jc w:val="right"/>
            </w:pPr>
            <w:r>
              <w:rPr>
                <w:rFonts w:asciiTheme="minorEastAsia" w:cs="宋体" w:eastAsiaTheme="minorEastAsia" w:hAnsiTheme="minorEastAsia"/>
                <w:color w:themeColor="text1" w:val="000000"/>
                <w:kern w:val="0"/>
              </w:rPr>
              <w:t>188,327.00</w:t>
            </w:r>
          </w:p>
        </w:tc>
        <w:tc>
          <w:tcPr>
            <w:vAlign w:val="center"/>
          </w:tcPr>
          <w:p>
            <w:pPr>
              <w:jc w:val="right"/>
            </w:pPr>
            <w:r>
              <w:rPr>
                <w:rFonts w:asciiTheme="minorEastAsia" w:cs="宋体" w:eastAsiaTheme="minorEastAsia" w:hAnsiTheme="minorEastAsia"/>
                <w:color w:themeColor="text1" w:val="000000"/>
                <w:kern w:val="0"/>
              </w:rPr>
              <w:t>42,592,034.32</w:t>
            </w:r>
          </w:p>
        </w:tc>
        <w:tc>
          <w:tcPr>
            <w:vAlign w:val="center"/>
          </w:tcPr>
          <w:p>
            <w:pPr>
              <w:jc w:val="right"/>
            </w:pPr>
            <w:r>
              <w:rPr>
                <w:rFonts w:asciiTheme="minorEastAsia" w:cs="宋体" w:eastAsiaTheme="minorEastAsia" w:hAnsiTheme="minorEastAsia"/>
                <w:color w:themeColor="text1" w:val="000000"/>
                <w:kern w:val="0"/>
              </w:rPr>
              <w:t>4.23</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603799</w:t>
            </w:r>
          </w:p>
        </w:tc>
        <w:tc>
          <w:tcPr>
            <w:vAlign w:val="center"/>
          </w:tcPr>
          <w:p>
            <w:pPr>
              <w:jc w:val="center"/>
            </w:pPr>
            <w:r>
              <w:rPr>
                <w:rFonts w:asciiTheme="minorEastAsia" w:cs="宋体" w:eastAsiaTheme="minorEastAsia" w:hAnsiTheme="minorEastAsia"/>
                <w:color w:themeColor="text1" w:val="000000"/>
                <w:kern w:val="0"/>
              </w:rPr>
              <w:t>华友钴业</w:t>
            </w:r>
          </w:p>
        </w:tc>
        <w:tc>
          <w:tcPr>
            <w:vAlign w:val="center"/>
          </w:tcPr>
          <w:p>
            <w:pPr>
              <w:jc w:val="right"/>
            </w:pPr>
            <w:r>
              <w:rPr>
                <w:rFonts w:asciiTheme="minorEastAsia" w:cs="宋体" w:eastAsiaTheme="minorEastAsia" w:hAnsiTheme="minorEastAsia"/>
                <w:color w:themeColor="text1" w:val="000000"/>
                <w:kern w:val="0"/>
              </w:rPr>
              <w:t>460,613.00</w:t>
            </w:r>
          </w:p>
        </w:tc>
        <w:tc>
          <w:tcPr>
            <w:vAlign w:val="center"/>
          </w:tcPr>
          <w:p>
            <w:pPr>
              <w:jc w:val="right"/>
            </w:pPr>
            <w:r>
              <w:rPr>
                <w:rFonts w:asciiTheme="minorEastAsia" w:cs="宋体" w:eastAsiaTheme="minorEastAsia" w:hAnsiTheme="minorEastAsia"/>
                <w:color w:themeColor="text1" w:val="000000"/>
                <w:kern w:val="0"/>
              </w:rPr>
              <w:t>36,526,610.90</w:t>
            </w:r>
          </w:p>
        </w:tc>
        <w:tc>
          <w:tcPr>
            <w:vAlign w:val="center"/>
          </w:tcPr>
          <w:p>
            <w:pPr>
              <w:jc w:val="right"/>
            </w:pPr>
            <w:r>
              <w:rPr>
                <w:rFonts w:asciiTheme="minorEastAsia" w:cs="宋体" w:eastAsiaTheme="minorEastAsia" w:hAnsiTheme="minorEastAsia"/>
                <w:color w:themeColor="text1" w:val="000000"/>
                <w:kern w:val="0"/>
              </w:rPr>
              <w:t>3.62</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442,301.00</w:t>
            </w:r>
          </w:p>
        </w:tc>
        <w:tc>
          <w:tcPr>
            <w:vAlign w:val="center"/>
          </w:tcPr>
          <w:p>
            <w:pPr>
              <w:jc w:val="right"/>
            </w:pPr>
            <w:r>
              <w:rPr>
                <w:rFonts w:asciiTheme="minorEastAsia" w:cs="宋体" w:eastAsiaTheme="minorEastAsia" w:hAnsiTheme="minorEastAsia"/>
                <w:color w:themeColor="text1" w:val="000000"/>
                <w:kern w:val="0"/>
              </w:rPr>
              <w:t>36,047,531.50</w:t>
            </w:r>
          </w:p>
        </w:tc>
        <w:tc>
          <w:tcPr>
            <w:vAlign w:val="center"/>
          </w:tcPr>
          <w:p>
            <w:pPr>
              <w:jc w:val="right"/>
            </w:pPr>
            <w:r>
              <w:rPr>
                <w:rFonts w:asciiTheme="minorEastAsia" w:cs="宋体" w:eastAsiaTheme="minorEastAsia" w:hAnsiTheme="minorEastAsia"/>
                <w:color w:themeColor="text1" w:val="000000"/>
                <w:kern w:val="0"/>
              </w:rPr>
              <w:t>3.58</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581,818.00</w:t>
            </w:r>
          </w:p>
        </w:tc>
        <w:tc>
          <w:tcPr>
            <w:vAlign w:val="center"/>
          </w:tcPr>
          <w:p>
            <w:pPr>
              <w:jc w:val="right"/>
            </w:pPr>
            <w:r>
              <w:rPr>
                <w:rFonts w:asciiTheme="minorEastAsia" w:cs="宋体" w:eastAsiaTheme="minorEastAsia" w:hAnsiTheme="minorEastAsia"/>
                <w:color w:themeColor="text1" w:val="000000"/>
                <w:kern w:val="0"/>
              </w:rPr>
              <w:t>32,651,626.16</w:t>
            </w:r>
          </w:p>
        </w:tc>
        <w:tc>
          <w:tcPr>
            <w:vAlign w:val="center"/>
          </w:tcPr>
          <w:p>
            <w:pPr>
              <w:jc w:val="right"/>
            </w:pPr>
            <w:r>
              <w:rPr>
                <w:rFonts w:asciiTheme="minorEastAsia" w:cs="宋体" w:eastAsiaTheme="minorEastAsia" w:hAnsiTheme="minorEastAsia"/>
                <w:color w:themeColor="text1" w:val="000000"/>
                <w:kern w:val="0"/>
              </w:rPr>
              <w:t>3.24</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300015</w:t>
            </w:r>
          </w:p>
        </w:tc>
        <w:tc>
          <w:tcPr>
            <w:vAlign w:val="center"/>
          </w:tcPr>
          <w:p>
            <w:pPr>
              <w:jc w:val="center"/>
            </w:pPr>
            <w:r>
              <w:rPr>
                <w:rFonts w:asciiTheme="minorEastAsia" w:cs="宋体" w:eastAsiaTheme="minorEastAsia" w:hAnsiTheme="minorEastAsia"/>
                <w:color w:themeColor="text1" w:val="000000"/>
                <w:kern w:val="0"/>
              </w:rPr>
              <w:t>爱尔眼科</w:t>
            </w:r>
          </w:p>
        </w:tc>
        <w:tc>
          <w:tcPr>
            <w:vAlign w:val="center"/>
          </w:tcPr>
          <w:p>
            <w:pPr>
              <w:jc w:val="right"/>
            </w:pPr>
            <w:r>
              <w:rPr>
                <w:rFonts w:asciiTheme="minorEastAsia" w:cs="宋体" w:eastAsiaTheme="minorEastAsia" w:hAnsiTheme="minorEastAsia"/>
                <w:color w:themeColor="text1" w:val="000000"/>
                <w:kern w:val="0"/>
              </w:rPr>
              <w:t>430,200.00</w:t>
            </w:r>
          </w:p>
        </w:tc>
        <w:tc>
          <w:tcPr>
            <w:vAlign w:val="center"/>
          </w:tcPr>
          <w:p>
            <w:pPr>
              <w:jc w:val="right"/>
            </w:pPr>
            <w:r>
              <w:rPr>
                <w:rFonts w:asciiTheme="minorEastAsia" w:cs="宋体" w:eastAsiaTheme="minorEastAsia" w:hAnsiTheme="minorEastAsia"/>
                <w:color w:themeColor="text1" w:val="000000"/>
                <w:kern w:val="0"/>
              </w:rPr>
              <w:t>32,217,678.00</w:t>
            </w:r>
          </w:p>
        </w:tc>
        <w:tc>
          <w:tcPr>
            <w:vAlign w:val="center"/>
          </w:tcPr>
          <w:p>
            <w:pPr>
              <w:jc w:val="right"/>
            </w:pPr>
            <w:r>
              <w:rPr>
                <w:rFonts w:asciiTheme="minorEastAsia" w:cs="宋体" w:eastAsiaTheme="minorEastAsia" w:hAnsiTheme="minorEastAsia"/>
                <w:color w:themeColor="text1" w:val="000000"/>
                <w:kern w:val="0"/>
              </w:rPr>
              <w:t>3.20</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813,000.00</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0.08</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813,000.00</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0.08</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113616</w:t>
            </w:r>
          </w:p>
        </w:tc>
        <w:tc>
          <w:tcPr>
            <w:vAlign w:val="center"/>
          </w:tcPr>
          <w:p>
            <w:pPr>
              <w:jc w:val="center"/>
            </w:pPr>
            <w:r>
              <w:rPr>
                <w:rFonts w:asciiTheme="minorEastAsia" w:cs="宋体" w:eastAsiaTheme="minorEastAsia" w:hAnsiTheme="minorEastAsia"/>
                <w:color w:themeColor="text1" w:val="000000"/>
                <w:kern w:val="0"/>
              </w:rPr>
              <w:t>韦尔转债</w:t>
            </w:r>
          </w:p>
        </w:tc>
        <w:tc>
          <w:tcPr>
            <w:vAlign w:val="center"/>
          </w:tcPr>
          <w:p>
            <w:pPr>
              <w:jc w:val="right"/>
            </w:pPr>
            <w:r>
              <w:rPr>
                <w:rFonts w:asciiTheme="minorEastAsia" w:cs="宋体" w:eastAsiaTheme="minorEastAsia" w:hAnsiTheme="minorEastAsia"/>
                <w:color w:themeColor="text1" w:val="000000"/>
                <w:kern w:val="0"/>
              </w:rPr>
              <w:t>7,000</w:t>
            </w:r>
          </w:p>
        </w:tc>
        <w:tc>
          <w:tcPr>
            <w:vAlign w:val="center"/>
          </w:tcPr>
          <w:p>
            <w:pPr>
              <w:jc w:val="right"/>
            </w:pPr>
            <w:r>
              <w:rPr>
                <w:rFonts w:asciiTheme="minorEastAsia" w:cs="宋体" w:eastAsiaTheme="minorEastAsia" w:hAnsiTheme="minorEastAsia"/>
                <w:color w:themeColor="text1" w:val="000000"/>
                <w:kern w:val="0"/>
              </w:rPr>
              <w:t>700,000.00</w:t>
            </w:r>
          </w:p>
        </w:tc>
        <w:tc>
          <w:tcPr>
            <w:vAlign w:val="center"/>
          </w:tcPr>
          <w:p>
            <w:pPr>
              <w:jc w:val="right"/>
            </w:pPr>
            <w:r>
              <w:rPr>
                <w:rFonts w:asciiTheme="minorEastAsia" w:cs="宋体" w:eastAsiaTheme="minorEastAsia" w:hAnsiTheme="minorEastAsia"/>
                <w:color w:themeColor="text1" w:val="000000"/>
                <w:kern w:val="0"/>
              </w:rPr>
              <w:t>0.07</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113044</w:t>
            </w:r>
          </w:p>
        </w:tc>
        <w:tc>
          <w:tcPr>
            <w:vAlign w:val="center"/>
          </w:tcPr>
          <w:p>
            <w:pPr>
              <w:jc w:val="center"/>
            </w:pPr>
            <w:r>
              <w:rPr>
                <w:rFonts w:asciiTheme="minorEastAsia" w:cs="宋体" w:eastAsiaTheme="minorEastAsia" w:hAnsiTheme="minorEastAsia"/>
                <w:color w:themeColor="text1" w:val="000000"/>
                <w:kern w:val="0"/>
              </w:rPr>
              <w:t>大秦转债</w:t>
            </w:r>
          </w:p>
        </w:tc>
        <w:tc>
          <w:tcPr>
            <w:vAlign w:val="center"/>
          </w:tcPr>
          <w:p>
            <w:pPr>
              <w:jc w:val="right"/>
            </w:pPr>
            <w:r>
              <w:rPr>
                <w:rFonts w:asciiTheme="minorEastAsia" w:cs="宋体" w:eastAsiaTheme="minorEastAsia" w:hAnsiTheme="minorEastAsia"/>
                <w:color w:themeColor="text1" w:val="000000"/>
                <w:kern w:val="0"/>
              </w:rPr>
              <w:t>1,130</w:t>
            </w:r>
          </w:p>
        </w:tc>
        <w:tc>
          <w:tcPr>
            <w:vAlign w:val="center"/>
          </w:tcPr>
          <w:p>
            <w:pPr>
              <w:jc w:val="right"/>
            </w:pPr>
            <w:r>
              <w:rPr>
                <w:rFonts w:asciiTheme="minorEastAsia" w:cs="宋体" w:eastAsiaTheme="minorEastAsia" w:hAnsiTheme="minorEastAsia"/>
                <w:color w:themeColor="text1" w:val="000000"/>
                <w:kern w:val="0"/>
              </w:rPr>
              <w:t>113,000.00</w:t>
            </w:r>
          </w:p>
        </w:tc>
        <w:tc>
          <w:tcPr>
            <w:vAlign w:val="center"/>
          </w:tcPr>
          <w:p>
            <w:pPr>
              <w:jc w:val="right"/>
            </w:pPr>
            <w:r>
              <w:rPr>
                <w:rFonts w:asciiTheme="minorEastAsia" w:cs="宋体" w:eastAsiaTheme="minorEastAsia" w:hAnsiTheme="minorEastAsia"/>
                <w:color w:themeColor="text1" w:val="000000"/>
                <w:kern w:val="0"/>
              </w:rPr>
              <w:t>0.01</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390,676.09</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364,229.61</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11,985.65</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157,359.21</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924,250.56</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1,001,035,581.61</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17,934,080.93</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253,549,143.28</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765,420,519.26</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中国证监会准予上投摩根智慧互联股票型证券投资基金募集注册的文件；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《上投摩根智慧互联股票型证券投资基金基金合同》；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《上投摩根智慧互联股票型证券投资基金基金托管协议》；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上投摩根智慧互联股票型证券投资基金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