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上投摩根智慧互联股票型证券投资基金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中国工商银行股份有限公司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上投摩根智慧互联股票</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001313</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001313</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2015年6月9日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1,001,035,581.61</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采用定量及定性研究方法，自下而上优选互联网主题上市公司，通过严格的风险控制，力争实现基金资产的长期增值。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本基金将专注于互联网主题投资，对其相关行业的发展进行密切跟踪，充分把握互联网概念企业的投资机会。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在资产配置层面，本基金将根据各类证券的风险收益特征的相对变化，适度的调整确定基金资产在股票、债券及现金等类别资产间的分配比例，动态优化投资组合。</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在个股选择层面，本基金主要采取“自下而上”的选股策略，基于对互联网主题相关的上市公司盈利水平、成长性和估值水平的综合考量，使用定性与定量相结合的方法精选股票进行投资。</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中证800指数收益率×85%+中债总指数收益率×15%</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中国工商银行股份有限公司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287,740,215.72</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46,225,882.22</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0.0419</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1,138,666,436.65</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1.137</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1.16%</w:t>
            </w:r>
          </w:p>
        </w:tc>
        <w:tc>
          <w:tcPr>
            <w:vAlign w:val="center"/>
          </w:tcPr>
          <w:p>
            <w:pPr>
              <w:jc w:val="center"/>
            </w:pPr>
            <w:r>
              <w:rPr>
                <w:rFonts w:asciiTheme="minorEastAsia" w:eastAsiaTheme="minorEastAsia" w:hAnsiTheme="minorEastAsia"/>
                <w:color w:themeColor="text1" w:val="000000"/>
                <w:kern w:val="0"/>
              </w:rPr>
              <w:t>2.04%</w:t>
            </w:r>
          </w:p>
        </w:tc>
        <w:tc>
          <w:tcPr>
            <w:vAlign w:val="center"/>
          </w:tcPr>
          <w:p>
            <w:pPr>
              <w:jc w:val="center"/>
            </w:pPr>
            <w:r>
              <w:rPr>
                <w:rFonts w:asciiTheme="minorEastAsia" w:eastAsiaTheme="minorEastAsia" w:hAnsiTheme="minorEastAsia"/>
                <w:color w:themeColor="text1" w:val="000000"/>
                <w:kern w:val="0"/>
              </w:rPr>
              <w:t>7.37%</w:t>
            </w:r>
          </w:p>
        </w:tc>
        <w:tc>
          <w:tcPr>
            <w:vAlign w:val="center"/>
          </w:tcPr>
          <w:p>
            <w:pPr>
              <w:jc w:val="center"/>
            </w:pPr>
            <w:r>
              <w:rPr>
                <w:rFonts w:asciiTheme="minorEastAsia" w:eastAsiaTheme="minorEastAsia" w:hAnsiTheme="minorEastAsia"/>
                <w:color w:themeColor="text1" w:val="000000"/>
                <w:kern w:val="0"/>
              </w:rPr>
              <w:t>1.36%</w:t>
            </w:r>
          </w:p>
        </w:tc>
        <w:tc>
          <w:tcPr>
            <w:vAlign w:val="center"/>
          </w:tcPr>
          <w:p>
            <w:pPr>
              <w:jc w:val="center"/>
            </w:pPr>
            <w:r>
              <w:rPr>
                <w:rFonts w:asciiTheme="minorEastAsia" w:eastAsiaTheme="minorEastAsia" w:hAnsiTheme="minorEastAsia"/>
                <w:color w:themeColor="text1" w:val="000000"/>
                <w:kern w:val="0"/>
              </w:rPr>
              <w:t>-6.21%</w:t>
            </w:r>
          </w:p>
        </w:tc>
        <w:tc>
          <w:tcPr>
            <w:vAlign w:val="center"/>
          </w:tcPr>
          <w:p>
            <w:pPr>
              <w:jc w:val="center"/>
            </w:pPr>
            <w:r>
              <w:rPr>
                <w:rFonts w:asciiTheme="minorEastAsia" w:eastAsiaTheme="minorEastAsia" w:hAnsiTheme="minorEastAsia"/>
                <w:color w:themeColor="text1" w:val="000000"/>
                <w:kern w:val="0"/>
              </w:rPr>
              <w:t>0.68%</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32.67%</w:t>
            </w:r>
          </w:p>
        </w:tc>
        <w:tc>
          <w:tcPr>
            <w:vAlign w:val="center"/>
          </w:tcPr>
          <w:p>
            <w:pPr>
              <w:jc w:val="center"/>
            </w:pPr>
            <w:r>
              <w:rPr>
                <w:rFonts w:asciiTheme="minorEastAsia" w:eastAsiaTheme="minorEastAsia" w:hAnsiTheme="minorEastAsia"/>
                <w:color w:themeColor="text1" w:val="000000"/>
                <w:kern w:val="0"/>
              </w:rPr>
              <w:t>1.80%</w:t>
            </w:r>
          </w:p>
        </w:tc>
        <w:tc>
          <w:tcPr>
            <w:vAlign w:val="center"/>
          </w:tcPr>
          <w:p>
            <w:pPr>
              <w:jc w:val="center"/>
            </w:pPr>
            <w:r>
              <w:rPr>
                <w:rFonts w:asciiTheme="minorEastAsia" w:eastAsiaTheme="minorEastAsia" w:hAnsiTheme="minorEastAsia"/>
                <w:color w:themeColor="text1" w:val="000000"/>
                <w:kern w:val="0"/>
              </w:rPr>
              <w:t>19.91%</w:t>
            </w:r>
          </w:p>
        </w:tc>
        <w:tc>
          <w:tcPr>
            <w:vAlign w:val="center"/>
          </w:tcPr>
          <w:p>
            <w:pPr>
              <w:jc w:val="center"/>
            </w:pPr>
            <w:r>
              <w:rPr>
                <w:rFonts w:asciiTheme="minorEastAsia" w:eastAsiaTheme="minorEastAsia" w:hAnsiTheme="minorEastAsia"/>
                <w:color w:themeColor="text1" w:val="000000"/>
                <w:kern w:val="0"/>
              </w:rPr>
              <w:t>1.12%</w:t>
            </w:r>
          </w:p>
        </w:tc>
        <w:tc>
          <w:tcPr>
            <w:vAlign w:val="center"/>
          </w:tcPr>
          <w:p>
            <w:pPr>
              <w:jc w:val="center"/>
            </w:pPr>
            <w:r>
              <w:rPr>
                <w:rFonts w:asciiTheme="minorEastAsia" w:eastAsiaTheme="minorEastAsia" w:hAnsiTheme="minorEastAsia"/>
                <w:color w:themeColor="text1" w:val="000000"/>
                <w:kern w:val="0"/>
              </w:rPr>
              <w:t>12.76%</w:t>
            </w:r>
          </w:p>
        </w:tc>
        <w:tc>
          <w:tcPr>
            <w:vAlign w:val="center"/>
          </w:tcPr>
          <w:p>
            <w:pPr>
              <w:jc w:val="center"/>
            </w:pPr>
            <w:r>
              <w:rPr>
                <w:rFonts w:asciiTheme="minorEastAsia" w:eastAsiaTheme="minorEastAsia" w:hAnsiTheme="minorEastAsia"/>
                <w:color w:themeColor="text1" w:val="000000"/>
                <w:kern w:val="0"/>
              </w:rPr>
              <w:t>0.68%</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56.61%</w:t>
            </w:r>
          </w:p>
        </w:tc>
        <w:tc>
          <w:tcPr>
            <w:vAlign w:val="center"/>
          </w:tcPr>
          <w:p>
            <w:pPr>
              <w:jc w:val="center"/>
            </w:pPr>
            <w:r>
              <w:rPr>
                <w:rFonts w:asciiTheme="minorEastAsia" w:eastAsiaTheme="minorEastAsia" w:hAnsiTheme="minorEastAsia"/>
                <w:color w:themeColor="text1" w:val="000000"/>
                <w:kern w:val="0"/>
              </w:rPr>
              <w:t>1.95%</w:t>
            </w:r>
          </w:p>
        </w:tc>
        <w:tc>
          <w:tcPr>
            <w:vAlign w:val="center"/>
          </w:tcPr>
          <w:p>
            <w:pPr>
              <w:jc w:val="center"/>
            </w:pPr>
            <w:r>
              <w:rPr>
                <w:rFonts w:asciiTheme="minorEastAsia" w:eastAsiaTheme="minorEastAsia" w:hAnsiTheme="minorEastAsia"/>
                <w:color w:themeColor="text1" w:val="000000"/>
                <w:kern w:val="0"/>
              </w:rPr>
              <w:t>18.22%</w:t>
            </w:r>
          </w:p>
        </w:tc>
        <w:tc>
          <w:tcPr>
            <w:vAlign w:val="center"/>
          </w:tcPr>
          <w:p>
            <w:pPr>
              <w:jc w:val="center"/>
            </w:pPr>
            <w:r>
              <w:rPr>
                <w:rFonts w:asciiTheme="minorEastAsia" w:eastAsiaTheme="minorEastAsia" w:hAnsiTheme="minorEastAsia"/>
                <w:color w:themeColor="text1" w:val="000000"/>
                <w:kern w:val="0"/>
              </w:rPr>
              <w:t>1.19%</w:t>
            </w:r>
          </w:p>
        </w:tc>
        <w:tc>
          <w:tcPr>
            <w:vAlign w:val="center"/>
          </w:tcPr>
          <w:p>
            <w:pPr>
              <w:jc w:val="center"/>
            </w:pPr>
            <w:r>
              <w:rPr>
                <w:rFonts w:asciiTheme="minorEastAsia" w:eastAsiaTheme="minorEastAsia" w:hAnsiTheme="minorEastAsia"/>
                <w:color w:themeColor="text1" w:val="000000"/>
                <w:kern w:val="0"/>
              </w:rPr>
              <w:t>38.39%</w:t>
            </w:r>
          </w:p>
        </w:tc>
        <w:tc>
          <w:tcPr>
            <w:vAlign w:val="center"/>
          </w:tcPr>
          <w:p>
            <w:pPr>
              <w:jc w:val="center"/>
            </w:pPr>
            <w:r>
              <w:rPr>
                <w:rFonts w:asciiTheme="minorEastAsia" w:eastAsiaTheme="minorEastAsia" w:hAnsiTheme="minorEastAsia"/>
                <w:color w:themeColor="text1" w:val="000000"/>
                <w:kern w:val="0"/>
              </w:rPr>
              <w:t>0.76%</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36.17%</w:t>
            </w:r>
          </w:p>
        </w:tc>
        <w:tc>
          <w:tcPr>
            <w:vAlign w:val="center"/>
          </w:tcPr>
          <w:p>
            <w:pPr>
              <w:jc w:val="center"/>
            </w:pPr>
            <w:r>
              <w:rPr>
                <w:rFonts w:asciiTheme="minorEastAsia" w:eastAsiaTheme="minorEastAsia" w:hAnsiTheme="minorEastAsia"/>
                <w:color w:themeColor="text1" w:val="000000"/>
                <w:kern w:val="0"/>
              </w:rPr>
              <w:t>1.85%</w:t>
            </w:r>
          </w:p>
        </w:tc>
        <w:tc>
          <w:tcPr>
            <w:vAlign w:val="center"/>
          </w:tcPr>
          <w:p>
            <w:pPr>
              <w:jc w:val="center"/>
            </w:pPr>
            <w:r>
              <w:rPr>
                <w:rFonts w:asciiTheme="minorEastAsia" w:eastAsiaTheme="minorEastAsia" w:hAnsiTheme="minorEastAsia"/>
                <w:color w:themeColor="text1" w:val="000000"/>
                <w:kern w:val="0"/>
              </w:rPr>
              <w:t>11.19%</w:t>
            </w:r>
          </w:p>
        </w:tc>
        <w:tc>
          <w:tcPr>
            <w:vAlign w:val="center"/>
          </w:tcPr>
          <w:p>
            <w:pPr>
              <w:jc w:val="center"/>
            </w:pPr>
            <w:r>
              <w:rPr>
                <w:rFonts w:asciiTheme="minorEastAsia" w:eastAsiaTheme="minorEastAsia" w:hAnsiTheme="minorEastAsia"/>
                <w:color w:themeColor="text1" w:val="000000"/>
                <w:kern w:val="0"/>
              </w:rPr>
              <w:t>1.14%</w:t>
            </w:r>
          </w:p>
        </w:tc>
        <w:tc>
          <w:tcPr>
            <w:vAlign w:val="center"/>
          </w:tcPr>
          <w:p>
            <w:pPr>
              <w:jc w:val="center"/>
            </w:pPr>
            <w:r>
              <w:rPr>
                <w:rFonts w:asciiTheme="minorEastAsia" w:eastAsiaTheme="minorEastAsia" w:hAnsiTheme="minorEastAsia"/>
                <w:color w:themeColor="text1" w:val="000000"/>
                <w:kern w:val="0"/>
              </w:rPr>
              <w:t>24.98%</w:t>
            </w:r>
          </w:p>
        </w:tc>
        <w:tc>
          <w:tcPr>
            <w:vAlign w:val="center"/>
          </w:tcPr>
          <w:p>
            <w:pPr>
              <w:jc w:val="center"/>
            </w:pPr>
            <w:r>
              <w:rPr>
                <w:rFonts w:asciiTheme="minorEastAsia" w:eastAsiaTheme="minorEastAsia" w:hAnsiTheme="minorEastAsia"/>
                <w:color w:themeColor="text1" w:val="000000"/>
                <w:kern w:val="0"/>
              </w:rPr>
              <w:t>0.71%</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65.50%</w:t>
            </w:r>
          </w:p>
        </w:tc>
        <w:tc>
          <w:tcPr>
            <w:vAlign w:val="center"/>
          </w:tcPr>
          <w:p>
            <w:pPr>
              <w:jc w:val="center"/>
            </w:pPr>
            <w:r>
              <w:rPr>
                <w:rFonts w:asciiTheme="minorEastAsia" w:eastAsiaTheme="minorEastAsia" w:hAnsiTheme="minorEastAsia"/>
                <w:color w:themeColor="text1" w:val="000000"/>
                <w:kern w:val="0"/>
              </w:rPr>
              <w:t>1.86%</w:t>
            </w:r>
          </w:p>
        </w:tc>
        <w:tc>
          <w:tcPr>
            <w:vAlign w:val="center"/>
          </w:tcPr>
          <w:p>
            <w:pPr>
              <w:jc w:val="center"/>
            </w:pPr>
            <w:r>
              <w:rPr>
                <w:rFonts w:asciiTheme="minorEastAsia" w:eastAsiaTheme="minorEastAsia" w:hAnsiTheme="minorEastAsia"/>
                <w:color w:themeColor="text1" w:val="000000"/>
                <w:kern w:val="0"/>
              </w:rPr>
              <w:t>26.25%</w:t>
            </w:r>
          </w:p>
        </w:tc>
        <w:tc>
          <w:tcPr>
            <w:vAlign w:val="center"/>
          </w:tcPr>
          <w:p>
            <w:pPr>
              <w:jc w:val="center"/>
            </w:pPr>
            <w:r>
              <w:rPr>
                <w:rFonts w:asciiTheme="minorEastAsia" w:eastAsiaTheme="minorEastAsia" w:hAnsiTheme="minorEastAsia"/>
                <w:color w:themeColor="text1" w:val="000000"/>
                <w:kern w:val="0"/>
              </w:rPr>
              <w:t>1.12%</w:t>
            </w:r>
          </w:p>
        </w:tc>
        <w:tc>
          <w:tcPr>
            <w:vAlign w:val="center"/>
          </w:tcPr>
          <w:p>
            <w:pPr>
              <w:jc w:val="center"/>
            </w:pPr>
            <w:r>
              <w:rPr>
                <w:rFonts w:asciiTheme="minorEastAsia" w:eastAsiaTheme="minorEastAsia" w:hAnsiTheme="minorEastAsia"/>
                <w:color w:themeColor="text1" w:val="000000"/>
                <w:kern w:val="0"/>
              </w:rPr>
              <w:t>39.25%</w:t>
            </w:r>
          </w:p>
        </w:tc>
        <w:tc>
          <w:tcPr>
            <w:vAlign w:val="center"/>
          </w:tcPr>
          <w:p>
            <w:pPr>
              <w:jc w:val="center"/>
            </w:pPr>
            <w:r>
              <w:rPr>
                <w:rFonts w:asciiTheme="minorEastAsia" w:eastAsiaTheme="minorEastAsia" w:hAnsiTheme="minorEastAsia"/>
                <w:color w:themeColor="text1" w:val="000000"/>
                <w:kern w:val="0"/>
              </w:rPr>
              <w:t>0.74%</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13.70%</w:t>
            </w:r>
          </w:p>
        </w:tc>
        <w:tc>
          <w:tcPr>
            <w:vAlign w:val="center"/>
          </w:tcPr>
          <w:p>
            <w:pPr>
              <w:jc w:val="center"/>
            </w:pPr>
            <w:r>
              <w:rPr>
                <w:rFonts w:asciiTheme="minorEastAsia" w:eastAsiaTheme="minorEastAsia" w:hAnsiTheme="minorEastAsia"/>
                <w:color w:themeColor="text1" w:val="000000"/>
                <w:kern w:val="0"/>
              </w:rPr>
              <w:t>1.91%</w:t>
            </w:r>
          </w:p>
        </w:tc>
        <w:tc>
          <w:tcPr>
            <w:vAlign w:val="center"/>
          </w:tcPr>
          <w:p>
            <w:pPr>
              <w:jc w:val="center"/>
            </w:pPr>
            <w:r>
              <w:rPr>
                <w:rFonts w:asciiTheme="minorEastAsia" w:eastAsiaTheme="minorEastAsia" w:hAnsiTheme="minorEastAsia"/>
                <w:color w:themeColor="text1" w:val="000000"/>
                <w:kern w:val="0"/>
              </w:rPr>
              <w:t>-19.58%</w:t>
            </w:r>
          </w:p>
        </w:tc>
        <w:tc>
          <w:tcPr>
            <w:vAlign w:val="center"/>
          </w:tcPr>
          <w:p>
            <w:pPr>
              <w:jc w:val="center"/>
            </w:pPr>
            <w:r>
              <w:rPr>
                <w:rFonts w:asciiTheme="minorEastAsia" w:eastAsiaTheme="minorEastAsia" w:hAnsiTheme="minorEastAsia"/>
                <w:color w:themeColor="text1" w:val="000000"/>
                <w:kern w:val="0"/>
              </w:rPr>
              <w:t>1.31%</w:t>
            </w:r>
          </w:p>
        </w:tc>
        <w:tc>
          <w:tcPr>
            <w:vAlign w:val="center"/>
          </w:tcPr>
          <w:p>
            <w:pPr>
              <w:jc w:val="center"/>
            </w:pPr>
            <w:r>
              <w:rPr>
                <w:rFonts w:asciiTheme="minorEastAsia" w:eastAsiaTheme="minorEastAsia" w:hAnsiTheme="minorEastAsia"/>
                <w:color w:themeColor="text1" w:val="000000"/>
                <w:kern w:val="0"/>
              </w:rPr>
              <w:t>33.28%</w:t>
            </w:r>
          </w:p>
        </w:tc>
        <w:tc>
          <w:tcPr>
            <w:vAlign w:val="center"/>
          </w:tcPr>
          <w:p>
            <w:pPr>
              <w:jc w:val="center"/>
            </w:pPr>
            <w:r>
              <w:rPr>
                <w:rFonts w:asciiTheme="minorEastAsia" w:eastAsiaTheme="minorEastAsia" w:hAnsiTheme="minorEastAsia"/>
                <w:color w:themeColor="text1" w:val="000000"/>
                <w:kern w:val="0"/>
              </w:rPr>
              <w:t>0.60%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上投摩根智慧互联股票型证券投资基金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2015年6月9日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注：本基金合同生效日为2015年6月9日，图示时间段为2015年6月9日至2020年9月30日。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本基金建仓期自2015年6月9日至2015年12月8日，建仓期结束时资产配置比例符合本基金基金合同规定。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郭晨</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2015-06-09</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13年</w:t>
            </w:r>
          </w:p>
        </w:tc>
        <w:tc>
          <w:tcPr>
            <w:vAlign w:val="center"/>
          </w:tcPr>
          <w:p>
            <w:pPr>
              <w:jc w:val="both"/>
            </w:pPr>
            <w:r>
              <w:rPr>
                <w:rFonts w:asciiTheme="minorEastAsia" w:eastAsiaTheme="minorEastAsia" w:hAnsi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国内权益投资部动力组组长兼资深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2.郭晨先生为本基金首任基金经理，其任职日期指本基金基金合同生效之日。</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	</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	</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市场整体表现较好，沪深300指涨幅达到10.17%，创业板指数上涨5.60%，这个涨幅基本是在7月上旬完成的，随后市场一直处于震荡调整的状态。在七月初的时候，整个市场非常活跃，两市成交额迅速攀升，曾经超过15000亿，大量散户入市，市场也出现了许多非理性的现象，许多基本面不支持的公司在流动性助推下呈现上涨。随后市场逐渐回归理性，成交量回归常态，结构性行情继续。三季度海外疫情依然严峻，并且经济受到打击，各国央行持续放水。另一方面，国内疫情控制良好，经济活动逐渐恢复，甚至略超预期，在这种背景下，国内流动性前期较松，后面出现了边际收紧的迹象，国内债市在三季度也出现了一些震荡，人民币升值幅度不小。三季度创业板注册制顺利落地，涨跌幅放开到20%，国内资本市场改革更进一步。</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虽然三季度前期市场比较亢奋，本基金并没有受市场气氛的影响，一直保持相对较高的稳定仓位，超配了之前一直长期关注的5G、光伏、医药、传媒、新能源汽车、消费等行业。本季度基金始终坚持价值投资思路，坚持配置高景气度行业，优选高景气行业中优秀的龙头公司长期投资。</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四季度我们谨慎乐观，美国大选结果可能对全球资本市场产生一些影响。目前疫情对国内市场影响相对较小。整体来看A股市场的估值不贵，A股市场没有呈现出大的系统性风险，快牛行情出现的概率较低。未来有望走出长期慢牛行情，类似于海外成熟市场的走势。当市场出现类似三季度初成交量迅速放大，流动性导致的市场快速推升，我们将会保持谨慎的态度。目前市场已经恢复到正常的状态，四季度结构性行情大概率将持续。</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我们会始终坚持价值投资，坚持超配高景气度行业，优选朝阳行业中优秀的龙头公司长期投资。我们依然战略看好高科技、先进制造等成长板块和与百姓生活相关的消费、医药行业，致力长期投资高景气度、高成长，低估值的优秀龙头公司。行业上，5G相关的科技股、新能源汽车、消费、医药、光伏等行业的景气度依然长期看好。合理的估值，业绩增速，成长的确定性是本基金最看重的。</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本报告期智慧互联份额净值增长率为:1.16%，同期业绩比较基准收益率为:7.37%。</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1,074,417,391.04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93.87</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1,074,417,391.04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93.87</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67,202,960.40</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5.87</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3,013,071.15</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0.26</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1,144,633,422.59</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795,632,293.08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69.87</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13,029.12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28,264.03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79,192,061.87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6.95</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55,162,490.08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4.84</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81,397,107.40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7.15</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163,090.80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0.01</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5,772,247.00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0.51</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3,620,023.00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0.32</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53,436,784.66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4.69</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1,074,417,391.04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94.36</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801,796.00</w:t>
            </w:r>
          </w:p>
        </w:tc>
        <w:tc>
          <w:tcPr>
            <w:vAlign w:val="center"/>
          </w:tcPr>
          <w:p>
            <w:pPr>
              <w:jc w:val="right"/>
            </w:pPr>
            <w:r>
              <w:rPr>
                <w:rFonts w:asciiTheme="minorEastAsia" w:cs="宋体" w:eastAsiaTheme="minorEastAsia" w:hAnsiTheme="minorEastAsia"/>
                <w:color w:themeColor="text1" w:val="000000"/>
                <w:kern w:val="0"/>
              </w:rPr>
              <w:t>81,382,294.00</w:t>
            </w:r>
          </w:p>
        </w:tc>
        <w:tc>
          <w:tcPr>
            <w:vAlign w:val="center"/>
          </w:tcPr>
          <w:p>
            <w:pPr>
              <w:jc w:val="right"/>
            </w:pPr>
            <w:r>
              <w:rPr>
                <w:rFonts w:asciiTheme="minorEastAsia" w:cs="宋体" w:eastAsiaTheme="minorEastAsia" w:hAnsiTheme="minorEastAsia"/>
                <w:color w:themeColor="text1" w:val="000000"/>
                <w:kern w:val="0"/>
              </w:rPr>
              <w:t>7.15</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002460</w:t>
            </w:r>
          </w:p>
        </w:tc>
        <w:tc>
          <w:tcPr>
            <w:vAlign w:val="center"/>
          </w:tcPr>
          <w:p>
            <w:pPr>
              <w:jc w:val="center"/>
            </w:pPr>
            <w:r>
              <w:rPr>
                <w:rFonts w:asciiTheme="minorEastAsia" w:cs="宋体" w:eastAsiaTheme="minorEastAsia" w:hAnsiTheme="minorEastAsia"/>
                <w:color w:themeColor="text1" w:val="000000"/>
                <w:kern w:val="0"/>
              </w:rPr>
              <w:t>赣锋锂业</w:t>
            </w:r>
          </w:p>
        </w:tc>
        <w:tc>
          <w:tcPr>
            <w:vAlign w:val="center"/>
          </w:tcPr>
          <w:p>
            <w:pPr>
              <w:jc w:val="right"/>
            </w:pPr>
            <w:r>
              <w:rPr>
                <w:rFonts w:asciiTheme="minorEastAsia" w:cs="宋体" w:eastAsiaTheme="minorEastAsia" w:hAnsiTheme="minorEastAsia"/>
                <w:color w:themeColor="text1" w:val="000000"/>
                <w:kern w:val="0"/>
              </w:rPr>
              <w:t>1,177,364.00</w:t>
            </w:r>
          </w:p>
        </w:tc>
        <w:tc>
          <w:tcPr>
            <w:vAlign w:val="center"/>
          </w:tcPr>
          <w:p>
            <w:pPr>
              <w:jc w:val="right"/>
            </w:pPr>
            <w:r>
              <w:rPr>
                <w:rFonts w:asciiTheme="minorEastAsia" w:cs="宋体" w:eastAsiaTheme="minorEastAsia" w:hAnsiTheme="minorEastAsia"/>
                <w:color w:themeColor="text1" w:val="000000"/>
                <w:kern w:val="0"/>
              </w:rPr>
              <w:t>63,801,355.16</w:t>
            </w:r>
          </w:p>
        </w:tc>
        <w:tc>
          <w:tcPr>
            <w:vAlign w:val="center"/>
          </w:tcPr>
          <w:p>
            <w:pPr>
              <w:jc w:val="right"/>
            </w:pPr>
            <w:r>
              <w:rPr>
                <w:rFonts w:asciiTheme="minorEastAsia" w:cs="宋体" w:eastAsiaTheme="minorEastAsia" w:hAnsiTheme="minorEastAsia"/>
                <w:color w:themeColor="text1" w:val="000000"/>
                <w:kern w:val="0"/>
              </w:rPr>
              <w:t>5.60</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159,175.00</w:t>
            </w:r>
          </w:p>
        </w:tc>
        <w:tc>
          <w:tcPr>
            <w:vAlign w:val="center"/>
          </w:tcPr>
          <w:p>
            <w:pPr>
              <w:jc w:val="right"/>
            </w:pPr>
            <w:r>
              <w:rPr>
                <w:rFonts w:asciiTheme="minorEastAsia" w:cs="宋体" w:eastAsiaTheme="minorEastAsia" w:hAnsiTheme="minorEastAsia"/>
                <w:color w:themeColor="text1" w:val="000000"/>
                <w:kern w:val="0"/>
              </w:rPr>
              <w:t>58,837,447.00</w:t>
            </w:r>
          </w:p>
        </w:tc>
        <w:tc>
          <w:tcPr>
            <w:vAlign w:val="center"/>
          </w:tcPr>
          <w:p>
            <w:pPr>
              <w:jc w:val="right"/>
            </w:pPr>
            <w:r>
              <w:rPr>
                <w:rFonts w:asciiTheme="minorEastAsia" w:cs="宋体" w:eastAsiaTheme="minorEastAsia" w:hAnsiTheme="minorEastAsia"/>
                <w:color w:themeColor="text1" w:val="000000"/>
                <w:kern w:val="0"/>
              </w:rPr>
              <w:t>5.17</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247,432.00</w:t>
            </w:r>
          </w:p>
        </w:tc>
        <w:tc>
          <w:tcPr>
            <w:vAlign w:val="center"/>
          </w:tcPr>
          <w:p>
            <w:pPr>
              <w:jc w:val="right"/>
            </w:pPr>
            <w:r>
              <w:rPr>
                <w:rFonts w:asciiTheme="minorEastAsia" w:cs="宋体" w:eastAsiaTheme="minorEastAsia" w:hAnsiTheme="minorEastAsia"/>
                <w:color w:themeColor="text1" w:val="000000"/>
                <w:kern w:val="0"/>
              </w:rPr>
              <w:t>55,162,490.08</w:t>
            </w:r>
          </w:p>
        </w:tc>
        <w:tc>
          <w:tcPr>
            <w:vAlign w:val="center"/>
          </w:tcPr>
          <w:p>
            <w:pPr>
              <w:jc w:val="right"/>
            </w:pPr>
            <w:r>
              <w:rPr>
                <w:rFonts w:asciiTheme="minorEastAsia" w:cs="宋体" w:eastAsiaTheme="minorEastAsia" w:hAnsiTheme="minorEastAsia"/>
                <w:color w:themeColor="text1" w:val="000000"/>
                <w:kern w:val="0"/>
              </w:rPr>
              <w:t>4.84</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300413</w:t>
            </w:r>
          </w:p>
        </w:tc>
        <w:tc>
          <w:tcPr>
            <w:vAlign w:val="center"/>
          </w:tcPr>
          <w:p>
            <w:pPr>
              <w:jc w:val="center"/>
            </w:pPr>
            <w:r>
              <w:rPr>
                <w:rFonts w:asciiTheme="minorEastAsia" w:cs="宋体" w:eastAsiaTheme="minorEastAsia" w:hAnsiTheme="minorEastAsia"/>
                <w:color w:themeColor="text1" w:val="000000"/>
                <w:kern w:val="0"/>
              </w:rPr>
              <w:t>芒果超媒</w:t>
            </w:r>
          </w:p>
        </w:tc>
        <w:tc>
          <w:tcPr>
            <w:vAlign w:val="center"/>
          </w:tcPr>
          <w:p>
            <w:pPr>
              <w:jc w:val="right"/>
            </w:pPr>
            <w:r>
              <w:rPr>
                <w:rFonts w:asciiTheme="minorEastAsia" w:cs="宋体" w:eastAsiaTheme="minorEastAsia" w:hAnsiTheme="minorEastAsia"/>
                <w:color w:themeColor="text1" w:val="000000"/>
                <w:kern w:val="0"/>
              </w:rPr>
              <w:t>792,161.00</w:t>
            </w:r>
          </w:p>
        </w:tc>
        <w:tc>
          <w:tcPr>
            <w:vAlign w:val="center"/>
          </w:tcPr>
          <w:p>
            <w:pPr>
              <w:jc w:val="right"/>
            </w:pPr>
            <w:r>
              <w:rPr>
                <w:rFonts w:asciiTheme="minorEastAsia" w:cs="宋体" w:eastAsiaTheme="minorEastAsia" w:hAnsiTheme="minorEastAsia"/>
                <w:color w:themeColor="text1" w:val="000000"/>
                <w:kern w:val="0"/>
              </w:rPr>
              <w:t>53,391,651.40</w:t>
            </w:r>
          </w:p>
        </w:tc>
        <w:tc>
          <w:tcPr>
            <w:vAlign w:val="center"/>
          </w:tcPr>
          <w:p>
            <w:pPr>
              <w:jc w:val="right"/>
            </w:pPr>
            <w:r>
              <w:rPr>
                <w:rFonts w:asciiTheme="minorEastAsia" w:cs="宋体" w:eastAsiaTheme="minorEastAsia" w:hAnsiTheme="minorEastAsia"/>
                <w:color w:themeColor="text1" w:val="000000"/>
                <w:kern w:val="0"/>
              </w:rPr>
              <w:t>4.69</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600984</w:t>
            </w:r>
          </w:p>
        </w:tc>
        <w:tc>
          <w:tcPr>
            <w:vAlign w:val="center"/>
          </w:tcPr>
          <w:p>
            <w:pPr>
              <w:jc w:val="center"/>
            </w:pPr>
            <w:r>
              <w:rPr>
                <w:rFonts w:asciiTheme="minorEastAsia" w:cs="宋体" w:eastAsiaTheme="minorEastAsia" w:hAnsiTheme="minorEastAsia"/>
                <w:color w:themeColor="text1" w:val="000000"/>
                <w:kern w:val="0"/>
              </w:rPr>
              <w:t>建设机械</w:t>
            </w:r>
          </w:p>
        </w:tc>
        <w:tc>
          <w:tcPr>
            <w:vAlign w:val="center"/>
          </w:tcPr>
          <w:p>
            <w:pPr>
              <w:jc w:val="right"/>
            </w:pPr>
            <w:r>
              <w:rPr>
                <w:rFonts w:asciiTheme="minorEastAsia" w:cs="宋体" w:eastAsiaTheme="minorEastAsia" w:hAnsiTheme="minorEastAsia"/>
                <w:color w:themeColor="text1" w:val="000000"/>
                <w:kern w:val="0"/>
              </w:rPr>
              <w:t>2,113,260.00</w:t>
            </w:r>
          </w:p>
        </w:tc>
        <w:tc>
          <w:tcPr>
            <w:vAlign w:val="center"/>
          </w:tcPr>
          <w:p>
            <w:pPr>
              <w:jc w:val="right"/>
            </w:pPr>
            <w:r>
              <w:rPr>
                <w:rFonts w:asciiTheme="minorEastAsia" w:cs="宋体" w:eastAsiaTheme="minorEastAsia" w:hAnsiTheme="minorEastAsia"/>
                <w:color w:themeColor="text1" w:val="000000"/>
                <w:kern w:val="0"/>
              </w:rPr>
              <w:t>45,033,570.60</w:t>
            </w:r>
          </w:p>
        </w:tc>
        <w:tc>
          <w:tcPr>
            <w:vAlign w:val="center"/>
          </w:tcPr>
          <w:p>
            <w:pPr>
              <w:jc w:val="right"/>
            </w:pPr>
            <w:r>
              <w:rPr>
                <w:rFonts w:asciiTheme="minorEastAsia" w:cs="宋体" w:eastAsiaTheme="minorEastAsia" w:hAnsiTheme="minorEastAsia"/>
                <w:color w:themeColor="text1" w:val="000000"/>
                <w:kern w:val="0"/>
              </w:rPr>
              <w:t>3.95</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786,639.00</w:t>
            </w:r>
          </w:p>
        </w:tc>
        <w:tc>
          <w:tcPr>
            <w:vAlign w:val="center"/>
          </w:tcPr>
          <w:p>
            <w:pPr>
              <w:jc w:val="right"/>
            </w:pPr>
            <w:r>
              <w:rPr>
                <w:rFonts w:asciiTheme="minorEastAsia" w:cs="宋体" w:eastAsiaTheme="minorEastAsia" w:hAnsiTheme="minorEastAsia"/>
                <w:color w:themeColor="text1" w:val="000000"/>
                <w:kern w:val="0"/>
              </w:rPr>
              <w:t>44,940,686.07</w:t>
            </w:r>
          </w:p>
        </w:tc>
        <w:tc>
          <w:tcPr>
            <w:vAlign w:val="center"/>
          </w:tcPr>
          <w:p>
            <w:pPr>
              <w:jc w:val="right"/>
            </w:pPr>
            <w:r>
              <w:rPr>
                <w:rFonts w:asciiTheme="minorEastAsia" w:cs="宋体" w:eastAsiaTheme="minorEastAsia" w:hAnsiTheme="minorEastAsia"/>
                <w:color w:themeColor="text1" w:val="000000"/>
                <w:kern w:val="0"/>
              </w:rPr>
              <w:t>3.95</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603960</w:t>
            </w:r>
          </w:p>
        </w:tc>
        <w:tc>
          <w:tcPr>
            <w:vAlign w:val="center"/>
          </w:tcPr>
          <w:p>
            <w:pPr>
              <w:jc w:val="center"/>
            </w:pPr>
            <w:r>
              <w:rPr>
                <w:rFonts w:asciiTheme="minorEastAsia" w:cs="宋体" w:eastAsiaTheme="minorEastAsia" w:hAnsiTheme="minorEastAsia"/>
                <w:color w:themeColor="text1" w:val="000000"/>
                <w:kern w:val="0"/>
              </w:rPr>
              <w:t>克来机电</w:t>
            </w:r>
          </w:p>
        </w:tc>
        <w:tc>
          <w:tcPr>
            <w:vAlign w:val="center"/>
          </w:tcPr>
          <w:p>
            <w:pPr>
              <w:jc w:val="right"/>
            </w:pPr>
            <w:r>
              <w:rPr>
                <w:rFonts w:asciiTheme="minorEastAsia" w:cs="宋体" w:eastAsiaTheme="minorEastAsia" w:hAnsiTheme="minorEastAsia"/>
                <w:color w:themeColor="text1" w:val="000000"/>
                <w:kern w:val="0"/>
              </w:rPr>
              <w:t>1,091,859.00</w:t>
            </w:r>
          </w:p>
        </w:tc>
        <w:tc>
          <w:tcPr>
            <w:vAlign w:val="center"/>
          </w:tcPr>
          <w:p>
            <w:pPr>
              <w:jc w:val="right"/>
            </w:pPr>
            <w:r>
              <w:rPr>
                <w:rFonts w:asciiTheme="minorEastAsia" w:cs="宋体" w:eastAsiaTheme="minorEastAsia" w:hAnsiTheme="minorEastAsia"/>
                <w:color w:themeColor="text1" w:val="000000"/>
                <w:kern w:val="0"/>
              </w:rPr>
              <w:t>43,827,220.26</w:t>
            </w:r>
          </w:p>
        </w:tc>
        <w:tc>
          <w:tcPr>
            <w:vAlign w:val="center"/>
          </w:tcPr>
          <w:p>
            <w:pPr>
              <w:jc w:val="right"/>
            </w:pPr>
            <w:r>
              <w:rPr>
                <w:rFonts w:asciiTheme="minorEastAsia" w:cs="宋体" w:eastAsiaTheme="minorEastAsia" w:hAnsiTheme="minorEastAsia"/>
                <w:color w:themeColor="text1" w:val="000000"/>
                <w:kern w:val="0"/>
              </w:rPr>
              <w:t>3.85</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513,089.00</w:t>
            </w:r>
          </w:p>
        </w:tc>
        <w:tc>
          <w:tcPr>
            <w:vAlign w:val="center"/>
          </w:tcPr>
          <w:p>
            <w:pPr>
              <w:jc w:val="right"/>
            </w:pPr>
            <w:r>
              <w:rPr>
                <w:rFonts w:asciiTheme="minorEastAsia" w:cs="宋体" w:eastAsiaTheme="minorEastAsia" w:hAnsiTheme="minorEastAsia"/>
                <w:color w:themeColor="text1" w:val="000000"/>
                <w:kern w:val="0"/>
              </w:rPr>
              <w:t>38,486,805.89</w:t>
            </w:r>
          </w:p>
        </w:tc>
        <w:tc>
          <w:tcPr>
            <w:vAlign w:val="center"/>
          </w:tcPr>
          <w:p>
            <w:pPr>
              <w:jc w:val="right"/>
            </w:pPr>
            <w:r>
              <w:rPr>
                <w:rFonts w:asciiTheme="minorEastAsia" w:cs="宋体" w:eastAsiaTheme="minorEastAsia" w:hAnsiTheme="minorEastAsia"/>
                <w:color w:themeColor="text1" w:val="000000"/>
                <w:kern w:val="0"/>
              </w:rPr>
              <w:t>3.38</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603520</w:t>
            </w:r>
          </w:p>
        </w:tc>
        <w:tc>
          <w:tcPr>
            <w:vAlign w:val="center"/>
          </w:tcPr>
          <w:p>
            <w:pPr>
              <w:jc w:val="center"/>
            </w:pPr>
            <w:r>
              <w:rPr>
                <w:rFonts w:asciiTheme="minorEastAsia" w:cs="宋体" w:eastAsiaTheme="minorEastAsia" w:hAnsiTheme="minorEastAsia"/>
                <w:color w:themeColor="text1" w:val="000000"/>
                <w:kern w:val="0"/>
              </w:rPr>
              <w:t>司太立</w:t>
            </w:r>
          </w:p>
        </w:tc>
        <w:tc>
          <w:tcPr>
            <w:vAlign w:val="center"/>
          </w:tcPr>
          <w:p>
            <w:pPr>
              <w:jc w:val="right"/>
            </w:pPr>
            <w:r>
              <w:rPr>
                <w:rFonts w:asciiTheme="minorEastAsia" w:cs="宋体" w:eastAsiaTheme="minorEastAsia" w:hAnsiTheme="minorEastAsia"/>
                <w:color w:themeColor="text1" w:val="000000"/>
                <w:kern w:val="0"/>
              </w:rPr>
              <w:t>483,963.00</w:t>
            </w:r>
          </w:p>
        </w:tc>
        <w:tc>
          <w:tcPr>
            <w:vAlign w:val="center"/>
          </w:tcPr>
          <w:p>
            <w:pPr>
              <w:jc w:val="right"/>
            </w:pPr>
            <w:r>
              <w:rPr>
                <w:rFonts w:asciiTheme="minorEastAsia" w:cs="宋体" w:eastAsiaTheme="minorEastAsia" w:hAnsiTheme="minorEastAsia"/>
                <w:color w:themeColor="text1" w:val="000000"/>
                <w:kern w:val="0"/>
              </w:rPr>
              <w:t>38,286,312.93</w:t>
            </w:r>
          </w:p>
        </w:tc>
        <w:tc>
          <w:tcPr>
            <w:vAlign w:val="center"/>
          </w:tcPr>
          <w:p>
            <w:pPr>
              <w:jc w:val="right"/>
            </w:pPr>
            <w:r>
              <w:rPr>
                <w:rFonts w:asciiTheme="minorEastAsia" w:cs="宋体" w:eastAsiaTheme="minorEastAsia" w:hAnsiTheme="minorEastAsia"/>
                <w:color w:themeColor="text1" w:val="000000"/>
                <w:kern w:val="0"/>
              </w:rPr>
              <w:t>3.36</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506,581.15</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2,331,361.69</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8,148.43</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166,979.88</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3,013,071.15</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1,406,798,905.11</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71,412,092.45</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477,175,415.95</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1,001,035,581.61</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中国证监会准予上投摩根智慧互联股票型证券投资基金募集注册的文件；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《上投摩根智慧互联股票型证券投资基金基金合同》；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《上投摩根智慧互联股票型证券投资基金基金托管协议》；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上投摩根智慧互联股票型证券投资基金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