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AAAB4E7" w14:textId="77777777" w:rsidR="005C2C0E" w:rsidRDefault="005C2C0E">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31EAE7BF" w14:textId="77777777" w:rsidR="005C2C0E" w:rsidRDefault="005C2C0E">
      <w:pPr>
        <w:spacing w:line="360" w:lineRule="auto"/>
        <w:rPr>
          <w:rFonts w:ascii="宋体" w:hAnsi="宋体" w:hint="eastAsia"/>
          <w:sz w:val="48"/>
        </w:rPr>
      </w:pPr>
      <w:r>
        <w:rPr>
          <w:rFonts w:ascii="宋体" w:hAnsi="宋体" w:hint="eastAsia"/>
          <w:sz w:val="48"/>
        </w:rPr>
        <w:t xml:space="preserve">　 </w:t>
      </w:r>
    </w:p>
    <w:p w14:paraId="1BC95E75" w14:textId="77777777" w:rsidR="005C2C0E" w:rsidRDefault="005C2C0E">
      <w:pPr>
        <w:spacing w:line="360" w:lineRule="auto"/>
        <w:jc w:val="center"/>
      </w:pPr>
      <w:r>
        <w:rPr>
          <w:rFonts w:ascii="宋体" w:hAnsi="宋体" w:hint="eastAsia"/>
          <w:b/>
          <w:bCs/>
          <w:color w:val="000000" w:themeColor="text1"/>
          <w:sz w:val="48"/>
          <w:szCs w:val="30"/>
        </w:rPr>
        <w:t>摩根动态多因子策略灵活配置混合型证券投资基金</w:t>
      </w:r>
      <w:r>
        <w:rPr>
          <w:rFonts w:ascii="宋体" w:hAnsi="宋体" w:hint="eastAsia"/>
          <w:b/>
          <w:bCs/>
          <w:color w:val="000000" w:themeColor="text1"/>
          <w:sz w:val="48"/>
          <w:szCs w:val="30"/>
        </w:rPr>
        <w:br/>
        <w:t>2025年第4季度报告</w:t>
      </w:r>
    </w:p>
    <w:p w14:paraId="173980B4" w14:textId="77777777" w:rsidR="005C2C0E" w:rsidRDefault="005C2C0E">
      <w:pPr>
        <w:spacing w:line="360" w:lineRule="auto"/>
        <w:jc w:val="center"/>
        <w:rPr>
          <w:rFonts w:ascii="宋体" w:hAnsi="宋体" w:hint="eastAsia"/>
          <w:sz w:val="28"/>
          <w:szCs w:val="30"/>
        </w:rPr>
      </w:pPr>
      <w:r>
        <w:rPr>
          <w:rFonts w:ascii="宋体" w:hAnsi="宋体" w:hint="eastAsia"/>
          <w:sz w:val="28"/>
          <w:szCs w:val="30"/>
        </w:rPr>
        <w:t xml:space="preserve">　 </w:t>
      </w:r>
    </w:p>
    <w:p w14:paraId="140B36D6" w14:textId="77777777" w:rsidR="005C2C0E" w:rsidRDefault="005C2C0E">
      <w:pPr>
        <w:spacing w:line="360" w:lineRule="auto"/>
        <w:jc w:val="center"/>
      </w:pPr>
      <w:r>
        <w:rPr>
          <w:rFonts w:ascii="宋体" w:hAnsi="宋体" w:hint="eastAsia"/>
          <w:b/>
          <w:bCs/>
          <w:sz w:val="28"/>
          <w:szCs w:val="30"/>
        </w:rPr>
        <w:t>2025年12月31日</w:t>
      </w:r>
    </w:p>
    <w:p w14:paraId="0D436120" w14:textId="77777777" w:rsidR="005C2C0E" w:rsidRDefault="005C2C0E">
      <w:pPr>
        <w:spacing w:line="360" w:lineRule="auto"/>
        <w:jc w:val="center"/>
        <w:rPr>
          <w:rFonts w:ascii="宋体" w:hAnsi="宋体" w:hint="eastAsia"/>
          <w:sz w:val="28"/>
          <w:szCs w:val="30"/>
        </w:rPr>
      </w:pPr>
      <w:r>
        <w:rPr>
          <w:rFonts w:ascii="宋体" w:hAnsi="宋体" w:hint="eastAsia"/>
          <w:sz w:val="28"/>
          <w:szCs w:val="30"/>
        </w:rPr>
        <w:t xml:space="preserve">　 </w:t>
      </w:r>
    </w:p>
    <w:p w14:paraId="6CF1B0A2" w14:textId="77777777" w:rsidR="005C2C0E" w:rsidRDefault="005C2C0E">
      <w:pPr>
        <w:spacing w:line="360" w:lineRule="auto"/>
        <w:jc w:val="center"/>
        <w:rPr>
          <w:rFonts w:ascii="宋体" w:hAnsi="宋体" w:hint="eastAsia"/>
          <w:sz w:val="28"/>
          <w:szCs w:val="30"/>
        </w:rPr>
      </w:pPr>
      <w:r>
        <w:rPr>
          <w:rFonts w:ascii="宋体" w:hAnsi="宋体" w:hint="eastAsia"/>
          <w:sz w:val="28"/>
          <w:szCs w:val="30"/>
        </w:rPr>
        <w:t xml:space="preserve">　 </w:t>
      </w:r>
    </w:p>
    <w:p w14:paraId="0F1236E8" w14:textId="77777777" w:rsidR="005C2C0E" w:rsidRDefault="005C2C0E">
      <w:pPr>
        <w:spacing w:line="360" w:lineRule="auto"/>
        <w:jc w:val="center"/>
        <w:rPr>
          <w:rFonts w:ascii="宋体" w:hAnsi="宋体" w:hint="eastAsia"/>
          <w:sz w:val="28"/>
          <w:szCs w:val="30"/>
        </w:rPr>
      </w:pPr>
      <w:r>
        <w:rPr>
          <w:rFonts w:ascii="宋体" w:hAnsi="宋体" w:hint="eastAsia"/>
          <w:sz w:val="28"/>
          <w:szCs w:val="30"/>
        </w:rPr>
        <w:t xml:space="preserve">　 </w:t>
      </w:r>
    </w:p>
    <w:p w14:paraId="48D12617" w14:textId="21E20354" w:rsidR="005C2C0E" w:rsidRDefault="005C2C0E">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1AAF28F5" w14:textId="77777777" w:rsidR="005C2C0E" w:rsidRDefault="005C2C0E">
      <w:pPr>
        <w:spacing w:line="360" w:lineRule="auto"/>
        <w:jc w:val="center"/>
        <w:rPr>
          <w:rFonts w:ascii="宋体" w:hAnsi="宋体" w:hint="eastAsia"/>
          <w:sz w:val="28"/>
          <w:szCs w:val="30"/>
        </w:rPr>
      </w:pPr>
      <w:r>
        <w:rPr>
          <w:rFonts w:ascii="宋体" w:hAnsi="宋体" w:hint="eastAsia"/>
          <w:sz w:val="28"/>
          <w:szCs w:val="30"/>
        </w:rPr>
        <w:t xml:space="preserve">　 </w:t>
      </w:r>
    </w:p>
    <w:p w14:paraId="4CC3085C" w14:textId="77777777" w:rsidR="005C2C0E" w:rsidRDefault="005C2C0E">
      <w:pPr>
        <w:spacing w:line="360" w:lineRule="auto"/>
        <w:jc w:val="center"/>
        <w:rPr>
          <w:rFonts w:ascii="宋体" w:hAnsi="宋体" w:hint="eastAsia"/>
          <w:sz w:val="28"/>
          <w:szCs w:val="30"/>
        </w:rPr>
      </w:pPr>
      <w:r>
        <w:rPr>
          <w:rFonts w:ascii="宋体" w:hAnsi="宋体" w:hint="eastAsia"/>
          <w:sz w:val="28"/>
          <w:szCs w:val="30"/>
        </w:rPr>
        <w:t xml:space="preserve">　 </w:t>
      </w:r>
    </w:p>
    <w:p w14:paraId="71248497" w14:textId="77777777" w:rsidR="005C2C0E" w:rsidRDefault="005C2C0E">
      <w:pPr>
        <w:spacing w:line="360" w:lineRule="auto"/>
        <w:jc w:val="center"/>
        <w:rPr>
          <w:rFonts w:ascii="宋体" w:hAnsi="宋体" w:hint="eastAsia"/>
          <w:sz w:val="28"/>
          <w:szCs w:val="30"/>
        </w:rPr>
      </w:pPr>
      <w:r>
        <w:rPr>
          <w:rFonts w:ascii="宋体" w:hAnsi="宋体" w:hint="eastAsia"/>
          <w:sz w:val="28"/>
          <w:szCs w:val="30"/>
        </w:rPr>
        <w:t xml:space="preserve">　 </w:t>
      </w:r>
    </w:p>
    <w:p w14:paraId="20FF8686" w14:textId="77777777" w:rsidR="005C2C0E" w:rsidRDefault="005C2C0E">
      <w:pPr>
        <w:spacing w:line="360" w:lineRule="auto"/>
        <w:jc w:val="center"/>
        <w:rPr>
          <w:rFonts w:ascii="宋体" w:hAnsi="宋体" w:hint="eastAsia"/>
          <w:sz w:val="28"/>
          <w:szCs w:val="30"/>
        </w:rPr>
      </w:pPr>
      <w:r>
        <w:rPr>
          <w:rFonts w:ascii="宋体" w:hAnsi="宋体" w:hint="eastAsia"/>
          <w:sz w:val="28"/>
          <w:szCs w:val="30"/>
        </w:rPr>
        <w:t xml:space="preserve">　 </w:t>
      </w:r>
    </w:p>
    <w:p w14:paraId="05D88B4A" w14:textId="77777777" w:rsidR="005C2C0E" w:rsidRDefault="005C2C0E">
      <w:pPr>
        <w:spacing w:line="360" w:lineRule="auto"/>
        <w:jc w:val="center"/>
        <w:rPr>
          <w:rFonts w:ascii="宋体" w:hAnsi="宋体" w:hint="eastAsia"/>
          <w:sz w:val="28"/>
          <w:szCs w:val="30"/>
        </w:rPr>
      </w:pPr>
      <w:r>
        <w:rPr>
          <w:rFonts w:ascii="宋体" w:hAnsi="宋体" w:hint="eastAsia"/>
          <w:sz w:val="28"/>
          <w:szCs w:val="30"/>
        </w:rPr>
        <w:t xml:space="preserve">　 </w:t>
      </w:r>
    </w:p>
    <w:p w14:paraId="5F6449BB" w14:textId="77777777" w:rsidR="005C2C0E" w:rsidRDefault="005C2C0E">
      <w:pPr>
        <w:spacing w:line="360" w:lineRule="auto"/>
        <w:jc w:val="center"/>
        <w:rPr>
          <w:rFonts w:ascii="宋体" w:hAnsi="宋体" w:hint="eastAsia"/>
          <w:sz w:val="28"/>
          <w:szCs w:val="30"/>
        </w:rPr>
      </w:pPr>
      <w:r>
        <w:rPr>
          <w:rFonts w:ascii="宋体" w:hAnsi="宋体" w:hint="eastAsia"/>
          <w:sz w:val="28"/>
          <w:szCs w:val="30"/>
        </w:rPr>
        <w:t xml:space="preserve">　 </w:t>
      </w:r>
    </w:p>
    <w:p w14:paraId="256D7F73" w14:textId="77777777" w:rsidR="005C2C0E" w:rsidRDefault="005C2C0E">
      <w:pPr>
        <w:spacing w:line="360" w:lineRule="auto"/>
        <w:jc w:val="center"/>
        <w:rPr>
          <w:rFonts w:ascii="宋体" w:hAnsi="宋体" w:hint="eastAsia"/>
          <w:sz w:val="28"/>
          <w:szCs w:val="30"/>
        </w:rPr>
      </w:pPr>
      <w:r>
        <w:rPr>
          <w:rFonts w:ascii="宋体" w:hAnsi="宋体" w:hint="eastAsia"/>
          <w:sz w:val="28"/>
          <w:szCs w:val="30"/>
        </w:rPr>
        <w:t xml:space="preserve">　 </w:t>
      </w:r>
    </w:p>
    <w:p w14:paraId="74BF238F" w14:textId="77777777" w:rsidR="005C2C0E" w:rsidRDefault="005C2C0E">
      <w:pPr>
        <w:spacing w:line="360" w:lineRule="auto"/>
        <w:ind w:firstLineChars="800" w:firstLine="2249"/>
        <w:jc w:val="left"/>
      </w:pPr>
      <w:r>
        <w:rPr>
          <w:rFonts w:ascii="宋体" w:hAnsi="宋体" w:hint="eastAsia"/>
          <w:b/>
          <w:bCs/>
          <w:sz w:val="28"/>
          <w:szCs w:val="30"/>
        </w:rPr>
        <w:t>基金管理人：摩根基金管理（中国）有限公司</w:t>
      </w:r>
    </w:p>
    <w:p w14:paraId="63C41B69" w14:textId="77777777" w:rsidR="005C2C0E" w:rsidRDefault="005C2C0E">
      <w:pPr>
        <w:spacing w:line="360" w:lineRule="auto"/>
        <w:ind w:firstLineChars="800" w:firstLine="2249"/>
        <w:jc w:val="left"/>
      </w:pPr>
      <w:r>
        <w:rPr>
          <w:rFonts w:ascii="宋体" w:hAnsi="宋体" w:hint="eastAsia"/>
          <w:b/>
          <w:bCs/>
          <w:sz w:val="28"/>
          <w:szCs w:val="30"/>
        </w:rPr>
        <w:t>基金托管人：中国建设银行股份有限公司</w:t>
      </w:r>
    </w:p>
    <w:p w14:paraId="755C6BB9" w14:textId="77777777" w:rsidR="005C2C0E" w:rsidRDefault="005C2C0E">
      <w:pPr>
        <w:spacing w:line="360" w:lineRule="auto"/>
        <w:ind w:firstLineChars="800" w:firstLine="2249"/>
        <w:jc w:val="left"/>
      </w:pPr>
      <w:r>
        <w:rPr>
          <w:rFonts w:ascii="宋体" w:hAnsi="宋体" w:hint="eastAsia"/>
          <w:b/>
          <w:bCs/>
          <w:sz w:val="28"/>
          <w:szCs w:val="30"/>
        </w:rPr>
        <w:t>报告送出日期：2026年1月22日</w:t>
      </w:r>
    </w:p>
    <w:p w14:paraId="759D9D94" w14:textId="77777777" w:rsidR="005C2C0E" w:rsidRDefault="005C2C0E">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3AB31CE5" w14:textId="77777777" w:rsidR="005C2C0E" w:rsidRDefault="005C2C0E">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基金托管人中国建设银行股份有限公司根据本基金合同规定，于2026年1月21日复核了本报告中的财务指标、净值表现和投资组合报告等内容，保证复核内容不存在虚假记载、误导性陈述或者重大遗漏。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046846DA" w14:textId="77777777" w:rsidR="005C2C0E" w:rsidRDefault="005C2C0E">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920DE8" w14:paraId="436982F5" w14:textId="77777777">
        <w:trPr>
          <w:divId w:val="1017466751"/>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2F72BB84" w14:textId="77777777" w:rsidR="005C2C0E" w:rsidRDefault="005C2C0E">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F9071C5" w14:textId="77777777" w:rsidR="005C2C0E" w:rsidRDefault="005C2C0E">
            <w:pPr>
              <w:jc w:val="left"/>
            </w:pPr>
            <w:r>
              <w:rPr>
                <w:rFonts w:ascii="宋体" w:hAnsi="宋体" w:hint="eastAsia"/>
                <w:szCs w:val="24"/>
                <w:lang w:eastAsia="zh-Hans"/>
              </w:rPr>
              <w:t>摩根动态多因子混合</w:t>
            </w:r>
            <w:r>
              <w:rPr>
                <w:rFonts w:ascii="宋体" w:hAnsi="宋体" w:hint="eastAsia"/>
                <w:lang w:eastAsia="zh-Hans"/>
              </w:rPr>
              <w:t xml:space="preserve"> </w:t>
            </w:r>
          </w:p>
        </w:tc>
      </w:tr>
      <w:tr w:rsidR="00920DE8" w14:paraId="1E5FE6AB" w14:textId="77777777">
        <w:trPr>
          <w:divId w:val="101746675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1D1DC87" w14:textId="77777777" w:rsidR="005C2C0E" w:rsidRDefault="005C2C0E">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B05F39F" w14:textId="77777777" w:rsidR="005C2C0E" w:rsidRDefault="005C2C0E">
            <w:pPr>
              <w:jc w:val="left"/>
            </w:pPr>
            <w:r>
              <w:rPr>
                <w:rFonts w:ascii="宋体" w:hAnsi="宋体" w:hint="eastAsia"/>
                <w:lang w:eastAsia="zh-Hans"/>
              </w:rPr>
              <w:t>001219</w:t>
            </w:r>
          </w:p>
        </w:tc>
      </w:tr>
      <w:tr w:rsidR="00920DE8" w14:paraId="52A10CE5" w14:textId="77777777">
        <w:trPr>
          <w:divId w:val="101746675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020E1AC" w14:textId="77777777" w:rsidR="005C2C0E" w:rsidRDefault="005C2C0E">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87E5C1F" w14:textId="77777777" w:rsidR="005C2C0E" w:rsidRDefault="005C2C0E">
            <w:pPr>
              <w:jc w:val="left"/>
            </w:pPr>
            <w:r>
              <w:rPr>
                <w:rFonts w:ascii="宋体" w:hAnsi="宋体" w:hint="eastAsia"/>
                <w:lang w:eastAsia="zh-Hans"/>
              </w:rPr>
              <w:t>契约型开放式</w:t>
            </w:r>
          </w:p>
        </w:tc>
      </w:tr>
      <w:tr w:rsidR="00920DE8" w14:paraId="78DD6E8D" w14:textId="77777777">
        <w:trPr>
          <w:divId w:val="101746675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7787BCC" w14:textId="77777777" w:rsidR="005C2C0E" w:rsidRDefault="005C2C0E">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431E2FA" w14:textId="77777777" w:rsidR="005C2C0E" w:rsidRDefault="005C2C0E">
            <w:pPr>
              <w:jc w:val="left"/>
            </w:pPr>
            <w:r>
              <w:rPr>
                <w:rFonts w:ascii="宋体" w:hAnsi="宋体" w:hint="eastAsia"/>
                <w:lang w:eastAsia="zh-Hans"/>
              </w:rPr>
              <w:t>2015年6月2日</w:t>
            </w:r>
          </w:p>
        </w:tc>
      </w:tr>
      <w:tr w:rsidR="00920DE8" w14:paraId="2EA56330" w14:textId="77777777">
        <w:trPr>
          <w:divId w:val="101746675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1E72057" w14:textId="77777777" w:rsidR="005C2C0E" w:rsidRDefault="005C2C0E">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AD09307" w14:textId="77777777" w:rsidR="005C2C0E" w:rsidRDefault="005C2C0E">
            <w:pPr>
              <w:jc w:val="left"/>
            </w:pPr>
            <w:r>
              <w:rPr>
                <w:rFonts w:ascii="宋体" w:hAnsi="宋体" w:hint="eastAsia"/>
                <w:lang w:eastAsia="zh-Hans"/>
              </w:rPr>
              <w:t>75,106,152.49</w:t>
            </w:r>
            <w:r>
              <w:rPr>
                <w:rFonts w:hint="eastAsia"/>
              </w:rPr>
              <w:t>份</w:t>
            </w:r>
            <w:r>
              <w:rPr>
                <w:rFonts w:ascii="宋体" w:hAnsi="宋体" w:hint="eastAsia"/>
                <w:lang w:eastAsia="zh-Hans"/>
              </w:rPr>
              <w:t xml:space="preserve"> </w:t>
            </w:r>
          </w:p>
        </w:tc>
      </w:tr>
      <w:tr w:rsidR="00920DE8" w14:paraId="5FEE4D4D" w14:textId="77777777">
        <w:trPr>
          <w:divId w:val="101746675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9DAF4CB" w14:textId="77777777" w:rsidR="005C2C0E" w:rsidRDefault="005C2C0E">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FEDC6BD" w14:textId="77777777" w:rsidR="005C2C0E" w:rsidRDefault="005C2C0E">
            <w:pPr>
              <w:jc w:val="left"/>
            </w:pPr>
            <w:r>
              <w:rPr>
                <w:rFonts w:ascii="宋体" w:hAnsi="宋体" w:hint="eastAsia"/>
                <w:lang w:eastAsia="zh-Hans"/>
              </w:rPr>
              <w:t>在严格控制风险的基础上，采用量化投资对基金资产进行积极管理，力争获取超越业绩基准的投资收益。</w:t>
            </w:r>
          </w:p>
        </w:tc>
      </w:tr>
      <w:tr w:rsidR="00920DE8" w14:paraId="3C6A9378" w14:textId="77777777">
        <w:trPr>
          <w:divId w:val="101746675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4185A90" w14:textId="77777777" w:rsidR="005C2C0E" w:rsidRDefault="005C2C0E">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5572D1D" w14:textId="77777777" w:rsidR="005C2C0E" w:rsidRDefault="005C2C0E">
            <w:pPr>
              <w:jc w:val="left"/>
            </w:pPr>
            <w:r>
              <w:rPr>
                <w:rFonts w:ascii="宋体" w:hAnsi="宋体" w:hint="eastAsia"/>
                <w:lang w:eastAsia="zh-Hans"/>
              </w:rPr>
              <w:t>本基金采用数量化选股模型驱动的选股策略进行个股选择，并结合适当的资产配置策略搭建基金投资组合。</w:t>
            </w:r>
            <w:r>
              <w:rPr>
                <w:rFonts w:ascii="宋体" w:hAnsi="宋体" w:hint="eastAsia"/>
                <w:lang w:eastAsia="zh-Hans"/>
              </w:rPr>
              <w:br/>
              <w:t>在资产配置过程中，本基金将从多角度综合评估各个行业的投资价值，对基金资产在行业间分配进行安排，同时将采用多种数量化的投资方法控制净值大幅回撤风险，改善投资组合的风险收益特征。</w:t>
            </w:r>
            <w:r>
              <w:rPr>
                <w:rFonts w:ascii="宋体" w:hAnsi="宋体" w:hint="eastAsia"/>
                <w:lang w:eastAsia="zh-Hans"/>
              </w:rPr>
              <w:br/>
              <w:t>在股票投资过程中，本基金将保持通过动态多因子模型选股构建股票投资组合的投资策略，强调投资纪律、降低随意性投资带来的风险，力争实现基金资产的长期稳定增值。</w:t>
            </w:r>
            <w:r>
              <w:rPr>
                <w:rFonts w:ascii="宋体" w:hAnsi="宋体" w:hint="eastAsia"/>
                <w:lang w:eastAsia="zh-Hans"/>
              </w:rPr>
              <w:br/>
              <w:t>1、资产配置策略</w:t>
            </w:r>
            <w:r>
              <w:rPr>
                <w:rFonts w:ascii="宋体" w:hAnsi="宋体" w:hint="eastAsia"/>
                <w:lang w:eastAsia="zh-Hans"/>
              </w:rPr>
              <w:br/>
              <w:t>本基金将综合分析和持续跟踪基本面、政策面、市场面等多方面因素，对宏观经济、国家政策、资金面和市场情绪等影响证券市场的重要因素进行深入分析，重点关注包括GDP增速、固定资产投资增速、净出口增速、通胀率、货币供应、利率等宏观指标的变化趋</w:t>
            </w:r>
            <w:r>
              <w:rPr>
                <w:rFonts w:ascii="宋体" w:hAnsi="宋体" w:hint="eastAsia"/>
                <w:lang w:eastAsia="zh-Hans"/>
              </w:rPr>
              <w:lastRenderedPageBreak/>
              <w:t>势，结合股票、债券等各类资产风险收益特征，确定合适的资产配置比例，动态优化投资组合。在资产配置过程中，本基金将采用多种数量化的投资方法控制净值大幅回撤的风险，改善投资组合的风险收益特性。</w:t>
            </w:r>
            <w:r>
              <w:rPr>
                <w:rFonts w:ascii="宋体" w:hAnsi="宋体" w:hint="eastAsia"/>
                <w:lang w:eastAsia="zh-Hans"/>
              </w:rPr>
              <w:br/>
              <w:t>2、股票投资策略</w:t>
            </w:r>
            <w:r>
              <w:rPr>
                <w:rFonts w:ascii="宋体" w:hAnsi="宋体" w:hint="eastAsia"/>
                <w:lang w:eastAsia="zh-Hans"/>
              </w:rPr>
              <w:br/>
              <w:t>通过基金管理人开发的动态多因子模型进行股票选择并据此构建股票投资组合。动态多因子模型在实际运行过程中将定期或不定期地进行修正，优化股票投资组合。</w:t>
            </w:r>
            <w:r>
              <w:rPr>
                <w:rFonts w:ascii="宋体" w:hAnsi="宋体" w:hint="eastAsia"/>
                <w:lang w:eastAsia="zh-Hans"/>
              </w:rPr>
              <w:br/>
              <w:t>3、固定收益类投资策略</w:t>
            </w:r>
            <w:r>
              <w:rPr>
                <w:rFonts w:ascii="宋体" w:hAnsi="宋体" w:hint="eastAsia"/>
                <w:lang w:eastAsia="zh-Hans"/>
              </w:rPr>
              <w:br/>
              <w:t>对于固定收益类资产的选择，本基金将以价值分析为主线，在综合研究的基础上实施积极主动的组合管理，并主要通过类属配置与债券选择两个层次进行投资管理。</w:t>
            </w:r>
            <w:r>
              <w:rPr>
                <w:rFonts w:ascii="宋体" w:hAnsi="宋体" w:hint="eastAsia"/>
                <w:lang w:eastAsia="zh-Hans"/>
              </w:rPr>
              <w:br/>
              <w:t>在类属配置层次，结合对宏观经济、市场利率、债券供求等因素的综合分析，根据交易所市场与银行间市场类属资产的风险收益特征，定期对投资组合类属资产进行优化配置和调整，确定类属资产的最优权重。</w:t>
            </w:r>
            <w:r>
              <w:rPr>
                <w:rFonts w:ascii="宋体" w:hAnsi="宋体" w:hint="eastAsia"/>
                <w:lang w:eastAsia="zh-Hans"/>
              </w:rPr>
              <w:br/>
              <w:t>在券种选择上，本基金以中长期利率趋势分析为基础，结合经济趋势、货币政策及不同债券品种的收益率水平、流动性和信用风险等因素，重点选择那些流动性较好、风险水平合理、到期收益率与信用质量相对较高的债券品种。</w:t>
            </w:r>
            <w:r>
              <w:rPr>
                <w:rFonts w:ascii="宋体" w:hAnsi="宋体" w:hint="eastAsia"/>
                <w:lang w:eastAsia="zh-Hans"/>
              </w:rPr>
              <w:br/>
              <w:t>4、其他投资策略：包括可转换债券投资策略、中小企业私募债投资策略、股指期货投资策略、资产支持证券投资策略、股票期权投资策略、存托凭证投资策略。</w:t>
            </w:r>
          </w:p>
        </w:tc>
      </w:tr>
      <w:tr w:rsidR="00920DE8" w14:paraId="0576CA61" w14:textId="77777777">
        <w:trPr>
          <w:divId w:val="101746675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FA82594" w14:textId="77777777" w:rsidR="005C2C0E" w:rsidRDefault="005C2C0E">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0B68771" w14:textId="77777777" w:rsidR="005C2C0E" w:rsidRDefault="005C2C0E">
            <w:pPr>
              <w:jc w:val="left"/>
            </w:pPr>
            <w:r>
              <w:rPr>
                <w:rFonts w:ascii="宋体" w:hAnsi="宋体" w:hint="eastAsia"/>
                <w:lang w:eastAsia="zh-Hans"/>
              </w:rPr>
              <w:t>中证1000指数收益率*90%+银行活期存款利率（税后）*10%</w:t>
            </w:r>
          </w:p>
        </w:tc>
      </w:tr>
      <w:tr w:rsidR="00920DE8" w14:paraId="7919B54C" w14:textId="77777777">
        <w:trPr>
          <w:divId w:val="101746675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93E93ED" w14:textId="77777777" w:rsidR="005C2C0E" w:rsidRDefault="005C2C0E">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0BDB6C7" w14:textId="77777777" w:rsidR="005C2C0E" w:rsidRDefault="005C2C0E">
            <w:pPr>
              <w:jc w:val="left"/>
            </w:pPr>
            <w:r>
              <w:rPr>
                <w:rFonts w:ascii="宋体" w:hAnsi="宋体" w:hint="eastAsia"/>
                <w:lang w:eastAsia="zh-Hans"/>
              </w:rPr>
              <w:t>本基金属于混合型基金产品，预期风险和收益水平高于债券型基金和货币市场基金，低于股票型基金，属于较高风险收益水平的基金产品。</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920DE8" w14:paraId="76BFA5E4" w14:textId="77777777">
        <w:trPr>
          <w:divId w:val="101746675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A4D2FF9" w14:textId="77777777" w:rsidR="005C2C0E" w:rsidRDefault="005C2C0E">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E365DF7" w14:textId="77777777" w:rsidR="005C2C0E" w:rsidRDefault="005C2C0E">
            <w:pPr>
              <w:jc w:val="left"/>
            </w:pPr>
            <w:r>
              <w:rPr>
                <w:rFonts w:ascii="宋体" w:hAnsi="宋体" w:hint="eastAsia"/>
                <w:lang w:eastAsia="zh-Hans"/>
              </w:rPr>
              <w:t>摩根基金管理（中国）有限公司</w:t>
            </w:r>
          </w:p>
        </w:tc>
      </w:tr>
      <w:tr w:rsidR="00920DE8" w14:paraId="66B79A7F" w14:textId="77777777">
        <w:trPr>
          <w:divId w:val="101746675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14C21E0" w14:textId="77777777" w:rsidR="005C2C0E" w:rsidRDefault="005C2C0E">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0BC6691" w14:textId="77777777" w:rsidR="005C2C0E" w:rsidRDefault="005C2C0E">
            <w:pPr>
              <w:jc w:val="left"/>
            </w:pPr>
            <w:r>
              <w:rPr>
                <w:rFonts w:ascii="宋体" w:hAnsi="宋体" w:hint="eastAsia"/>
                <w:lang w:eastAsia="zh-Hans"/>
              </w:rPr>
              <w:t>中国建设银行股份有限公司</w:t>
            </w:r>
          </w:p>
        </w:tc>
      </w:tr>
      <w:tr w:rsidR="00920DE8" w14:paraId="0BE913FC" w14:textId="77777777">
        <w:trPr>
          <w:divId w:val="1017466751"/>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CAEE177" w14:textId="77777777" w:rsidR="005C2C0E" w:rsidRDefault="005C2C0E">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C0C5837" w14:textId="77777777" w:rsidR="005C2C0E" w:rsidRDefault="005C2C0E">
            <w:pPr>
              <w:jc w:val="center"/>
            </w:pPr>
            <w:r>
              <w:rPr>
                <w:rFonts w:ascii="宋体" w:hAnsi="宋体" w:hint="eastAsia"/>
                <w:lang w:eastAsia="zh-Hans"/>
              </w:rPr>
              <w:t>摩根动态多因子混合A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0A1027C" w14:textId="77777777" w:rsidR="005C2C0E" w:rsidRDefault="005C2C0E">
            <w:pPr>
              <w:jc w:val="center"/>
            </w:pPr>
            <w:r>
              <w:rPr>
                <w:rFonts w:ascii="宋体" w:hAnsi="宋体" w:hint="eastAsia"/>
                <w:lang w:eastAsia="zh-Hans"/>
              </w:rPr>
              <w:t>摩根动态多因子混合C</w:t>
            </w:r>
            <w:r>
              <w:rPr>
                <w:rFonts w:ascii="宋体" w:hAnsi="宋体" w:hint="eastAsia"/>
                <w:kern w:val="0"/>
                <w:sz w:val="20"/>
                <w:lang w:eastAsia="zh-Hans"/>
              </w:rPr>
              <w:t xml:space="preserve"> </w:t>
            </w:r>
          </w:p>
        </w:tc>
      </w:tr>
      <w:tr w:rsidR="00920DE8" w14:paraId="45B74D12" w14:textId="77777777">
        <w:trPr>
          <w:divId w:val="1017466751"/>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7B06239" w14:textId="77777777" w:rsidR="005C2C0E" w:rsidRDefault="005C2C0E">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4B4D69D" w14:textId="77777777" w:rsidR="005C2C0E" w:rsidRDefault="005C2C0E">
            <w:pPr>
              <w:jc w:val="center"/>
            </w:pPr>
            <w:r>
              <w:rPr>
                <w:rFonts w:ascii="宋体" w:hAnsi="宋体" w:hint="eastAsia"/>
                <w:lang w:eastAsia="zh-Hans"/>
              </w:rPr>
              <w:t>001219</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899F775" w14:textId="77777777" w:rsidR="005C2C0E" w:rsidRDefault="005C2C0E">
            <w:pPr>
              <w:jc w:val="center"/>
            </w:pPr>
            <w:r>
              <w:rPr>
                <w:rFonts w:ascii="宋体" w:hAnsi="宋体" w:hint="eastAsia"/>
                <w:lang w:eastAsia="zh-Hans"/>
              </w:rPr>
              <w:t>017176</w:t>
            </w:r>
            <w:r>
              <w:rPr>
                <w:rFonts w:ascii="宋体" w:hAnsi="宋体" w:hint="eastAsia"/>
                <w:kern w:val="0"/>
                <w:sz w:val="20"/>
                <w:lang w:eastAsia="zh-Hans"/>
              </w:rPr>
              <w:t xml:space="preserve"> </w:t>
            </w:r>
          </w:p>
        </w:tc>
      </w:tr>
      <w:bookmarkEnd w:id="33"/>
      <w:bookmarkEnd w:id="32"/>
      <w:tr w:rsidR="00920DE8" w14:paraId="4CD99197" w14:textId="77777777">
        <w:trPr>
          <w:divId w:val="1017466751"/>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4149843" w14:textId="77777777" w:rsidR="005C2C0E" w:rsidRDefault="005C2C0E">
            <w:pPr>
              <w:jc w:val="left"/>
            </w:pPr>
            <w:r>
              <w:rPr>
                <w:rFonts w:ascii="宋体" w:hAnsi="宋体" w:hint="eastAsia"/>
              </w:rPr>
              <w:lastRenderedPageBreak/>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220B52" w14:textId="77777777" w:rsidR="005C2C0E" w:rsidRDefault="005C2C0E">
            <w:pPr>
              <w:jc w:val="center"/>
            </w:pPr>
            <w:r>
              <w:rPr>
                <w:rFonts w:ascii="宋体" w:hAnsi="宋体" w:hint="eastAsia"/>
                <w:lang w:eastAsia="zh-Hans"/>
              </w:rPr>
              <w:t>74,330,913.89</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191F7B" w14:textId="77777777" w:rsidR="005C2C0E" w:rsidRDefault="005C2C0E">
            <w:pPr>
              <w:jc w:val="center"/>
            </w:pPr>
            <w:r>
              <w:rPr>
                <w:rFonts w:ascii="宋体" w:hAnsi="宋体" w:hint="eastAsia"/>
                <w:lang w:eastAsia="zh-Hans"/>
              </w:rPr>
              <w:t>775,238.60</w:t>
            </w:r>
            <w:r>
              <w:rPr>
                <w:rFonts w:hint="eastAsia"/>
              </w:rPr>
              <w:t>份</w:t>
            </w:r>
            <w:r>
              <w:rPr>
                <w:rFonts w:ascii="宋体" w:hAnsi="宋体" w:hint="eastAsia"/>
                <w:lang w:eastAsia="zh-Hans"/>
              </w:rPr>
              <w:t xml:space="preserve"> </w:t>
            </w:r>
          </w:p>
        </w:tc>
      </w:tr>
    </w:tbl>
    <w:p w14:paraId="51B33AE0" w14:textId="77777777" w:rsidR="005C2C0E" w:rsidRDefault="005C2C0E">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63E6883A" w14:textId="77777777" w:rsidR="005C2C0E" w:rsidRDefault="005C2C0E">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1E0505A5" w14:textId="77777777" w:rsidR="005C2C0E" w:rsidRDefault="005C2C0E">
      <w:pPr>
        <w:jc w:val="right"/>
        <w:divId w:val="1463841162"/>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39"/>
        <w:gridCol w:w="2798"/>
        <w:gridCol w:w="2798"/>
      </w:tblGrid>
      <w:tr w:rsidR="00920DE8" w14:paraId="249D54D8" w14:textId="77777777">
        <w:trPr>
          <w:divId w:val="1463841162"/>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41B645FC" w14:textId="77777777" w:rsidR="005C2C0E" w:rsidRDefault="005C2C0E">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08A7B37C" w14:textId="77777777" w:rsidR="005C2C0E" w:rsidRDefault="005C2C0E">
            <w:pPr>
              <w:pStyle w:val="a5"/>
              <w:jc w:val="center"/>
              <w:rPr>
                <w:rFonts w:hint="eastAsia"/>
              </w:rPr>
            </w:pPr>
            <w:r>
              <w:rPr>
                <w:rFonts w:hint="eastAsia"/>
                <w:kern w:val="2"/>
                <w:sz w:val="21"/>
                <w:szCs w:val="24"/>
                <w:lang w:eastAsia="zh-Hans"/>
              </w:rPr>
              <w:t xml:space="preserve">报告期（2025年10月1日 - 2025年12月31日） </w:t>
            </w:r>
          </w:p>
        </w:tc>
      </w:tr>
      <w:tr w:rsidR="00920DE8" w14:paraId="6A1CE04B" w14:textId="77777777">
        <w:trPr>
          <w:divId w:val="1463841162"/>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CCB02B" w14:textId="77777777" w:rsidR="005C2C0E" w:rsidRDefault="005C2C0E">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418F4952" w14:textId="77777777" w:rsidR="005C2C0E" w:rsidRDefault="005C2C0E">
            <w:pPr>
              <w:jc w:val="center"/>
            </w:pPr>
            <w:r>
              <w:rPr>
                <w:rFonts w:ascii="宋体" w:hAnsi="宋体" w:hint="eastAsia"/>
                <w:szCs w:val="24"/>
                <w:lang w:eastAsia="zh-Hans"/>
              </w:rPr>
              <w:t>摩根动态多因子混合A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30FCB79D" w14:textId="77777777" w:rsidR="005C2C0E" w:rsidRDefault="005C2C0E">
            <w:pPr>
              <w:jc w:val="center"/>
            </w:pPr>
            <w:r>
              <w:rPr>
                <w:rFonts w:ascii="宋体" w:hAnsi="宋体" w:hint="eastAsia"/>
                <w:szCs w:val="24"/>
                <w:lang w:eastAsia="zh-Hans"/>
              </w:rPr>
              <w:t>摩根动态多因子混合C</w:t>
            </w:r>
          </w:p>
        </w:tc>
      </w:tr>
      <w:tr w:rsidR="00920DE8" w14:paraId="516C9358" w14:textId="77777777">
        <w:trPr>
          <w:divId w:val="146384116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0D58A6A" w14:textId="77777777" w:rsidR="005C2C0E" w:rsidRDefault="005C2C0E">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B2BF74C" w14:textId="77777777" w:rsidR="005C2C0E" w:rsidRDefault="005C2C0E">
            <w:pPr>
              <w:jc w:val="right"/>
            </w:pPr>
            <w:r>
              <w:rPr>
                <w:rFonts w:ascii="宋体" w:hAnsi="宋体" w:hint="eastAsia"/>
                <w:szCs w:val="24"/>
                <w:lang w:eastAsia="zh-Hans"/>
              </w:rPr>
              <w:t>69,265.92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0BB02F0" w14:textId="77777777" w:rsidR="005C2C0E" w:rsidRDefault="005C2C0E">
            <w:pPr>
              <w:jc w:val="right"/>
            </w:pPr>
            <w:r>
              <w:rPr>
                <w:rFonts w:ascii="宋体" w:hAnsi="宋体" w:hint="eastAsia"/>
                <w:szCs w:val="24"/>
                <w:lang w:eastAsia="zh-Hans"/>
              </w:rPr>
              <w:t>-531.69</w:t>
            </w:r>
          </w:p>
        </w:tc>
      </w:tr>
      <w:tr w:rsidR="00920DE8" w14:paraId="3897A2C7" w14:textId="77777777">
        <w:trPr>
          <w:divId w:val="146384116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D5D6F02" w14:textId="77777777" w:rsidR="005C2C0E" w:rsidRDefault="005C2C0E">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47889FA" w14:textId="77777777" w:rsidR="005C2C0E" w:rsidRDefault="005C2C0E">
            <w:pPr>
              <w:jc w:val="right"/>
            </w:pPr>
            <w:r>
              <w:rPr>
                <w:rFonts w:ascii="宋体" w:hAnsi="宋体" w:hint="eastAsia"/>
                <w:szCs w:val="24"/>
                <w:lang w:eastAsia="zh-Hans"/>
              </w:rPr>
              <w:t>-1,391,037.91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F520506" w14:textId="77777777" w:rsidR="005C2C0E" w:rsidRDefault="005C2C0E">
            <w:pPr>
              <w:jc w:val="right"/>
            </w:pPr>
            <w:r>
              <w:rPr>
                <w:rFonts w:ascii="宋体" w:hAnsi="宋体" w:hint="eastAsia"/>
                <w:szCs w:val="24"/>
                <w:lang w:eastAsia="zh-Hans"/>
              </w:rPr>
              <w:t>-17,842.81</w:t>
            </w:r>
          </w:p>
        </w:tc>
      </w:tr>
      <w:tr w:rsidR="00920DE8" w14:paraId="0D72193C" w14:textId="77777777">
        <w:trPr>
          <w:divId w:val="146384116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C4C7FD7" w14:textId="77777777" w:rsidR="005C2C0E" w:rsidRDefault="005C2C0E">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DD122E4" w14:textId="77777777" w:rsidR="005C2C0E" w:rsidRDefault="005C2C0E">
            <w:pPr>
              <w:jc w:val="right"/>
            </w:pPr>
            <w:r>
              <w:rPr>
                <w:rFonts w:ascii="宋体" w:hAnsi="宋体" w:hint="eastAsia"/>
                <w:szCs w:val="24"/>
                <w:lang w:eastAsia="zh-Hans"/>
              </w:rPr>
              <w:t>-0.0176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B3438C1" w14:textId="77777777" w:rsidR="005C2C0E" w:rsidRDefault="005C2C0E">
            <w:pPr>
              <w:jc w:val="right"/>
            </w:pPr>
            <w:r>
              <w:rPr>
                <w:rFonts w:ascii="宋体" w:hAnsi="宋体" w:hint="eastAsia"/>
                <w:szCs w:val="24"/>
                <w:lang w:eastAsia="zh-Hans"/>
              </w:rPr>
              <w:t>-0.0224</w:t>
            </w:r>
          </w:p>
        </w:tc>
      </w:tr>
      <w:tr w:rsidR="00920DE8" w14:paraId="7B7CAE64" w14:textId="77777777">
        <w:trPr>
          <w:divId w:val="146384116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D3ED375" w14:textId="77777777" w:rsidR="005C2C0E" w:rsidRDefault="005C2C0E">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E432658" w14:textId="77777777" w:rsidR="005C2C0E" w:rsidRDefault="005C2C0E">
            <w:pPr>
              <w:jc w:val="right"/>
            </w:pPr>
            <w:r>
              <w:rPr>
                <w:rFonts w:ascii="宋体" w:hAnsi="宋体" w:hint="eastAsia"/>
                <w:szCs w:val="24"/>
                <w:lang w:eastAsia="zh-Hans"/>
              </w:rPr>
              <w:t>88,895,909.47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122B4BF" w14:textId="77777777" w:rsidR="005C2C0E" w:rsidRDefault="005C2C0E">
            <w:pPr>
              <w:jc w:val="right"/>
            </w:pPr>
            <w:r>
              <w:rPr>
                <w:rFonts w:ascii="宋体" w:hAnsi="宋体" w:hint="eastAsia"/>
                <w:szCs w:val="24"/>
                <w:lang w:eastAsia="zh-Hans"/>
              </w:rPr>
              <w:t>909,125.52</w:t>
            </w:r>
          </w:p>
        </w:tc>
      </w:tr>
      <w:tr w:rsidR="00920DE8" w14:paraId="2222BD44" w14:textId="77777777">
        <w:trPr>
          <w:divId w:val="146384116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93B3C91" w14:textId="77777777" w:rsidR="005C2C0E" w:rsidRDefault="005C2C0E">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08F8BD2" w14:textId="77777777" w:rsidR="005C2C0E" w:rsidRDefault="005C2C0E">
            <w:pPr>
              <w:jc w:val="right"/>
            </w:pPr>
            <w:r>
              <w:rPr>
                <w:rFonts w:ascii="宋体" w:hAnsi="宋体" w:hint="eastAsia"/>
                <w:szCs w:val="24"/>
                <w:lang w:eastAsia="zh-Hans"/>
              </w:rPr>
              <w:t>1.1959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DF3EEF3" w14:textId="77777777" w:rsidR="005C2C0E" w:rsidRDefault="005C2C0E">
            <w:pPr>
              <w:jc w:val="right"/>
            </w:pPr>
            <w:r>
              <w:rPr>
                <w:rFonts w:ascii="宋体" w:hAnsi="宋体" w:hint="eastAsia"/>
                <w:szCs w:val="24"/>
                <w:lang w:eastAsia="zh-Hans"/>
              </w:rPr>
              <w:t>1.1727</w:t>
            </w:r>
          </w:p>
        </w:tc>
      </w:tr>
    </w:tbl>
    <w:p w14:paraId="29C39D24" w14:textId="77777777" w:rsidR="005C2C0E" w:rsidRDefault="005C2C0E">
      <w:pPr>
        <w:wordWrap w:val="0"/>
        <w:spacing w:line="360" w:lineRule="auto"/>
        <w:jc w:val="left"/>
        <w:divId w:val="1987121769"/>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507033D6" w14:textId="77777777" w:rsidR="005C2C0E" w:rsidRDefault="005C2C0E">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7B8176B3" w14:textId="77777777" w:rsidR="005C2C0E" w:rsidRDefault="005C2C0E">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30B3A8B0" w14:textId="77777777" w:rsidR="005C2C0E" w:rsidRDefault="005C2C0E">
      <w:pPr>
        <w:spacing w:line="360" w:lineRule="auto"/>
        <w:jc w:val="center"/>
        <w:divId w:val="172846074"/>
      </w:pPr>
      <w:r>
        <w:rPr>
          <w:rFonts w:ascii="宋体" w:hAnsi="宋体" w:hint="eastAsia"/>
        </w:rPr>
        <w:t>摩根动态多因子混合A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920DE8" w14:paraId="6763FAFB" w14:textId="77777777">
        <w:trPr>
          <w:divId w:val="172846074"/>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75B44EC" w14:textId="77777777" w:rsidR="005C2C0E" w:rsidRDefault="005C2C0E">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36FFB8A" w14:textId="77777777" w:rsidR="005C2C0E" w:rsidRDefault="005C2C0E">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A117C86" w14:textId="77777777" w:rsidR="005C2C0E" w:rsidRDefault="005C2C0E">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BE32502" w14:textId="77777777" w:rsidR="005C2C0E" w:rsidRDefault="005C2C0E">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40F68D0" w14:textId="77777777" w:rsidR="005C2C0E" w:rsidRDefault="005C2C0E">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34B80B" w14:textId="77777777" w:rsidR="005C2C0E" w:rsidRDefault="005C2C0E">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7857EF3" w14:textId="77777777" w:rsidR="005C2C0E" w:rsidRDefault="005C2C0E">
            <w:pPr>
              <w:spacing w:line="360" w:lineRule="auto"/>
              <w:jc w:val="center"/>
            </w:pPr>
            <w:r>
              <w:rPr>
                <w:rFonts w:ascii="宋体" w:hAnsi="宋体" w:hint="eastAsia"/>
              </w:rPr>
              <w:t xml:space="preserve">②－④ </w:t>
            </w:r>
          </w:p>
        </w:tc>
      </w:tr>
      <w:tr w:rsidR="00920DE8" w14:paraId="46638CE7" w14:textId="77777777">
        <w:trPr>
          <w:divId w:val="17284607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A04CB3" w14:textId="77777777" w:rsidR="005C2C0E" w:rsidRDefault="005C2C0E">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AB1683" w14:textId="77777777" w:rsidR="005C2C0E" w:rsidRDefault="005C2C0E">
            <w:pPr>
              <w:spacing w:line="360" w:lineRule="auto"/>
              <w:jc w:val="right"/>
            </w:pPr>
            <w:r>
              <w:rPr>
                <w:rFonts w:ascii="宋体" w:hAnsi="宋体" w:hint="eastAsia"/>
              </w:rPr>
              <w:t xml:space="preserve">-1.33%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8B953B" w14:textId="77777777" w:rsidR="005C2C0E" w:rsidRDefault="005C2C0E">
            <w:pPr>
              <w:spacing w:line="360" w:lineRule="auto"/>
              <w:jc w:val="right"/>
            </w:pPr>
            <w:r>
              <w:rPr>
                <w:rFonts w:ascii="宋体" w:hAnsi="宋体" w:hint="eastAsia"/>
              </w:rPr>
              <w:t xml:space="preserve">1.05%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E8BE31" w14:textId="77777777" w:rsidR="005C2C0E" w:rsidRDefault="005C2C0E">
            <w:pPr>
              <w:spacing w:line="360" w:lineRule="auto"/>
              <w:jc w:val="right"/>
            </w:pPr>
            <w:r>
              <w:rPr>
                <w:rFonts w:ascii="宋体" w:hAnsi="宋体" w:hint="eastAsia"/>
              </w:rPr>
              <w:t xml:space="preserve">0.25%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D53BC2" w14:textId="77777777" w:rsidR="005C2C0E" w:rsidRDefault="005C2C0E">
            <w:pPr>
              <w:spacing w:line="360" w:lineRule="auto"/>
              <w:jc w:val="right"/>
            </w:pPr>
            <w:r>
              <w:rPr>
                <w:rFonts w:ascii="宋体" w:hAnsi="宋体" w:hint="eastAsia"/>
              </w:rPr>
              <w:t xml:space="preserve">1.02%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E627922" w14:textId="77777777" w:rsidR="005C2C0E" w:rsidRDefault="005C2C0E">
            <w:pPr>
              <w:spacing w:line="360" w:lineRule="auto"/>
              <w:jc w:val="right"/>
            </w:pPr>
            <w:r>
              <w:rPr>
                <w:rFonts w:ascii="宋体" w:hAnsi="宋体" w:hint="eastAsia"/>
              </w:rPr>
              <w:t xml:space="preserve">-1.58%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CE10B3" w14:textId="77777777" w:rsidR="005C2C0E" w:rsidRDefault="005C2C0E">
            <w:pPr>
              <w:spacing w:line="360" w:lineRule="auto"/>
              <w:jc w:val="right"/>
            </w:pPr>
            <w:r>
              <w:rPr>
                <w:rFonts w:ascii="宋体" w:hAnsi="宋体" w:hint="eastAsia"/>
              </w:rPr>
              <w:t xml:space="preserve">0.03% </w:t>
            </w:r>
          </w:p>
        </w:tc>
      </w:tr>
      <w:tr w:rsidR="00920DE8" w14:paraId="1533F7B0" w14:textId="77777777">
        <w:trPr>
          <w:divId w:val="17284607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2146A4" w14:textId="77777777" w:rsidR="005C2C0E" w:rsidRDefault="005C2C0E">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A001C8" w14:textId="77777777" w:rsidR="005C2C0E" w:rsidRDefault="005C2C0E">
            <w:pPr>
              <w:spacing w:line="360" w:lineRule="auto"/>
              <w:jc w:val="right"/>
            </w:pPr>
            <w:r>
              <w:rPr>
                <w:rFonts w:ascii="宋体" w:hAnsi="宋体" w:hint="eastAsia"/>
              </w:rPr>
              <w:t xml:space="preserve">14.21%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712768" w14:textId="77777777" w:rsidR="005C2C0E" w:rsidRDefault="005C2C0E">
            <w:pPr>
              <w:spacing w:line="360" w:lineRule="auto"/>
              <w:jc w:val="right"/>
            </w:pPr>
            <w:r>
              <w:rPr>
                <w:rFonts w:ascii="宋体" w:hAnsi="宋体" w:hint="eastAsia"/>
              </w:rPr>
              <w:t xml:space="preserve">1.00%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017AC8" w14:textId="77777777" w:rsidR="005C2C0E" w:rsidRDefault="005C2C0E">
            <w:pPr>
              <w:spacing w:line="360" w:lineRule="auto"/>
              <w:jc w:val="right"/>
            </w:pPr>
            <w:r>
              <w:rPr>
                <w:rFonts w:ascii="宋体" w:hAnsi="宋体" w:hint="eastAsia"/>
              </w:rPr>
              <w:t xml:space="preserve">17.56%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CFEE66" w14:textId="77777777" w:rsidR="005C2C0E" w:rsidRDefault="005C2C0E">
            <w:pPr>
              <w:spacing w:line="360" w:lineRule="auto"/>
              <w:jc w:val="right"/>
            </w:pPr>
            <w:r>
              <w:rPr>
                <w:rFonts w:ascii="宋体" w:hAnsi="宋体" w:hint="eastAsia"/>
              </w:rPr>
              <w:t xml:space="preserve">1.00%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EF98B2F" w14:textId="77777777" w:rsidR="005C2C0E" w:rsidRDefault="005C2C0E">
            <w:pPr>
              <w:spacing w:line="360" w:lineRule="auto"/>
              <w:jc w:val="right"/>
            </w:pPr>
            <w:r>
              <w:rPr>
                <w:rFonts w:ascii="宋体" w:hAnsi="宋体" w:hint="eastAsia"/>
              </w:rPr>
              <w:t xml:space="preserve">-3.35%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5D5288" w14:textId="77777777" w:rsidR="005C2C0E" w:rsidRDefault="005C2C0E">
            <w:pPr>
              <w:spacing w:line="360" w:lineRule="auto"/>
              <w:jc w:val="right"/>
            </w:pPr>
            <w:r>
              <w:rPr>
                <w:rFonts w:ascii="宋体" w:hAnsi="宋体" w:hint="eastAsia"/>
              </w:rPr>
              <w:t xml:space="preserve">0.00% </w:t>
            </w:r>
          </w:p>
        </w:tc>
      </w:tr>
      <w:tr w:rsidR="00920DE8" w14:paraId="6267BFA3" w14:textId="77777777">
        <w:trPr>
          <w:divId w:val="17284607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B1CAF8" w14:textId="77777777" w:rsidR="005C2C0E" w:rsidRDefault="005C2C0E">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C45022" w14:textId="77777777" w:rsidR="005C2C0E" w:rsidRDefault="005C2C0E">
            <w:pPr>
              <w:spacing w:line="360" w:lineRule="auto"/>
              <w:jc w:val="right"/>
            </w:pPr>
            <w:r>
              <w:rPr>
                <w:rFonts w:ascii="宋体" w:hAnsi="宋体" w:hint="eastAsia"/>
              </w:rPr>
              <w:t xml:space="preserve">28.12%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42D921" w14:textId="77777777" w:rsidR="005C2C0E" w:rsidRDefault="005C2C0E">
            <w:pPr>
              <w:spacing w:line="360" w:lineRule="auto"/>
              <w:jc w:val="right"/>
            </w:pPr>
            <w:r>
              <w:rPr>
                <w:rFonts w:ascii="宋体" w:hAnsi="宋体" w:hint="eastAsia"/>
              </w:rPr>
              <w:t xml:space="preserve">1.26%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90AA57" w14:textId="77777777" w:rsidR="005C2C0E" w:rsidRDefault="005C2C0E">
            <w:pPr>
              <w:spacing w:line="360" w:lineRule="auto"/>
              <w:jc w:val="right"/>
            </w:pPr>
            <w:r>
              <w:rPr>
                <w:rFonts w:ascii="宋体" w:hAnsi="宋体" w:hint="eastAsia"/>
              </w:rPr>
              <w:t xml:space="preserve">24.77%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E3C644" w14:textId="77777777" w:rsidR="005C2C0E" w:rsidRDefault="005C2C0E">
            <w:pPr>
              <w:spacing w:line="360" w:lineRule="auto"/>
              <w:jc w:val="right"/>
            </w:pPr>
            <w:r>
              <w:rPr>
                <w:rFonts w:ascii="宋体" w:hAnsi="宋体" w:hint="eastAsia"/>
              </w:rPr>
              <w:t xml:space="preserve">1.25%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A39DF70" w14:textId="77777777" w:rsidR="005C2C0E" w:rsidRDefault="005C2C0E">
            <w:pPr>
              <w:spacing w:line="360" w:lineRule="auto"/>
              <w:jc w:val="right"/>
            </w:pPr>
            <w:r>
              <w:rPr>
                <w:rFonts w:ascii="宋体" w:hAnsi="宋体" w:hint="eastAsia"/>
              </w:rPr>
              <w:t xml:space="preserve">3.35%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3DC97E" w14:textId="77777777" w:rsidR="005C2C0E" w:rsidRDefault="005C2C0E">
            <w:pPr>
              <w:spacing w:line="360" w:lineRule="auto"/>
              <w:jc w:val="right"/>
            </w:pPr>
            <w:r>
              <w:rPr>
                <w:rFonts w:ascii="宋体" w:hAnsi="宋体" w:hint="eastAsia"/>
              </w:rPr>
              <w:t xml:space="preserve">0.01% </w:t>
            </w:r>
          </w:p>
        </w:tc>
      </w:tr>
      <w:tr w:rsidR="00920DE8" w14:paraId="06F31DB0" w14:textId="77777777">
        <w:trPr>
          <w:divId w:val="17284607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2FBA63" w14:textId="77777777" w:rsidR="005C2C0E" w:rsidRDefault="005C2C0E">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0E5090" w14:textId="77777777" w:rsidR="005C2C0E" w:rsidRDefault="005C2C0E">
            <w:pPr>
              <w:spacing w:line="360" w:lineRule="auto"/>
              <w:jc w:val="right"/>
            </w:pPr>
            <w:r>
              <w:rPr>
                <w:rFonts w:ascii="宋体" w:hAnsi="宋体" w:hint="eastAsia"/>
              </w:rPr>
              <w:t xml:space="preserve">36.13%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359408" w14:textId="77777777" w:rsidR="005C2C0E" w:rsidRDefault="005C2C0E">
            <w:pPr>
              <w:spacing w:line="360" w:lineRule="auto"/>
              <w:jc w:val="right"/>
            </w:pPr>
            <w:r>
              <w:rPr>
                <w:rFonts w:ascii="宋体" w:hAnsi="宋体" w:hint="eastAsia"/>
              </w:rPr>
              <w:t xml:space="preserve">1.25%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7CCA13" w14:textId="77777777" w:rsidR="005C2C0E" w:rsidRDefault="005C2C0E">
            <w:pPr>
              <w:spacing w:line="360" w:lineRule="auto"/>
              <w:jc w:val="right"/>
            </w:pPr>
            <w:r>
              <w:rPr>
                <w:rFonts w:ascii="宋体" w:hAnsi="宋体" w:hint="eastAsia"/>
              </w:rPr>
              <w:t xml:space="preserve">24.85%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612C92" w14:textId="77777777" w:rsidR="005C2C0E" w:rsidRDefault="005C2C0E">
            <w:pPr>
              <w:spacing w:line="360" w:lineRule="auto"/>
              <w:jc w:val="right"/>
            </w:pPr>
            <w:r>
              <w:rPr>
                <w:rFonts w:ascii="宋体" w:hAnsi="宋体" w:hint="eastAsia"/>
              </w:rPr>
              <w:t xml:space="preserve">0.93%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1F7A5A6" w14:textId="77777777" w:rsidR="005C2C0E" w:rsidRDefault="005C2C0E">
            <w:pPr>
              <w:spacing w:line="360" w:lineRule="auto"/>
              <w:jc w:val="right"/>
            </w:pPr>
            <w:r>
              <w:rPr>
                <w:rFonts w:ascii="宋体" w:hAnsi="宋体" w:hint="eastAsia"/>
              </w:rPr>
              <w:t xml:space="preserve">11.28%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9A8528" w14:textId="77777777" w:rsidR="005C2C0E" w:rsidRDefault="005C2C0E">
            <w:pPr>
              <w:spacing w:line="360" w:lineRule="auto"/>
              <w:jc w:val="right"/>
            </w:pPr>
            <w:r>
              <w:rPr>
                <w:rFonts w:ascii="宋体" w:hAnsi="宋体" w:hint="eastAsia"/>
              </w:rPr>
              <w:t xml:space="preserve">0.32% </w:t>
            </w:r>
          </w:p>
        </w:tc>
      </w:tr>
      <w:tr w:rsidR="00920DE8" w14:paraId="0617482E" w14:textId="77777777">
        <w:trPr>
          <w:divId w:val="17284607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C69E5D" w14:textId="77777777" w:rsidR="005C2C0E" w:rsidRDefault="005C2C0E">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B61CD1" w14:textId="77777777" w:rsidR="005C2C0E" w:rsidRDefault="005C2C0E">
            <w:pPr>
              <w:spacing w:line="360" w:lineRule="auto"/>
              <w:jc w:val="right"/>
            </w:pPr>
            <w:r>
              <w:rPr>
                <w:rFonts w:ascii="宋体" w:hAnsi="宋体" w:hint="eastAsia"/>
              </w:rPr>
              <w:t xml:space="preserve">6.15%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7C5F42" w14:textId="77777777" w:rsidR="005C2C0E" w:rsidRDefault="005C2C0E">
            <w:pPr>
              <w:spacing w:line="360" w:lineRule="auto"/>
              <w:jc w:val="right"/>
            </w:pPr>
            <w:r>
              <w:rPr>
                <w:rFonts w:ascii="宋体" w:hAnsi="宋体" w:hint="eastAsia"/>
              </w:rPr>
              <w:t xml:space="preserve">1.23%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5F3EF1" w14:textId="77777777" w:rsidR="005C2C0E" w:rsidRDefault="005C2C0E">
            <w:pPr>
              <w:spacing w:line="360" w:lineRule="auto"/>
              <w:jc w:val="right"/>
            </w:pPr>
            <w:r>
              <w:rPr>
                <w:rFonts w:ascii="宋体" w:hAnsi="宋体" w:hint="eastAsia"/>
              </w:rPr>
              <w:t xml:space="preserve">7.17%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FE86D4" w14:textId="77777777" w:rsidR="005C2C0E" w:rsidRDefault="005C2C0E">
            <w:pPr>
              <w:spacing w:line="360" w:lineRule="auto"/>
              <w:jc w:val="right"/>
            </w:pPr>
            <w:r>
              <w:rPr>
                <w:rFonts w:ascii="宋体" w:hAnsi="宋体" w:hint="eastAsia"/>
              </w:rPr>
              <w:t xml:space="preserve">0.86%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F8766B4" w14:textId="77777777" w:rsidR="005C2C0E" w:rsidRDefault="005C2C0E">
            <w:pPr>
              <w:spacing w:line="360" w:lineRule="auto"/>
              <w:jc w:val="right"/>
            </w:pPr>
            <w:r>
              <w:rPr>
                <w:rFonts w:ascii="宋体" w:hAnsi="宋体" w:hint="eastAsia"/>
              </w:rPr>
              <w:t xml:space="preserve">-1.02%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7BF29D" w14:textId="77777777" w:rsidR="005C2C0E" w:rsidRDefault="005C2C0E">
            <w:pPr>
              <w:spacing w:line="360" w:lineRule="auto"/>
              <w:jc w:val="right"/>
            </w:pPr>
            <w:r>
              <w:rPr>
                <w:rFonts w:ascii="宋体" w:hAnsi="宋体" w:hint="eastAsia"/>
              </w:rPr>
              <w:t xml:space="preserve">0.37% </w:t>
            </w:r>
          </w:p>
        </w:tc>
      </w:tr>
      <w:tr w:rsidR="00920DE8" w14:paraId="24AD8A94" w14:textId="77777777">
        <w:trPr>
          <w:divId w:val="17284607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38C9B4" w14:textId="77777777" w:rsidR="005C2C0E" w:rsidRDefault="005C2C0E">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9ED2B0" w14:textId="77777777" w:rsidR="005C2C0E" w:rsidRDefault="005C2C0E">
            <w:pPr>
              <w:spacing w:line="360" w:lineRule="auto"/>
              <w:jc w:val="right"/>
            </w:pPr>
            <w:r>
              <w:rPr>
                <w:rFonts w:ascii="宋体" w:hAnsi="宋体" w:hint="eastAsia"/>
              </w:rPr>
              <w:t xml:space="preserve">19.59%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056AAC" w14:textId="77777777" w:rsidR="005C2C0E" w:rsidRDefault="005C2C0E">
            <w:pPr>
              <w:spacing w:line="360" w:lineRule="auto"/>
              <w:jc w:val="right"/>
            </w:pPr>
            <w:r>
              <w:rPr>
                <w:rFonts w:ascii="宋体" w:hAnsi="宋体" w:hint="eastAsia"/>
              </w:rPr>
              <w:t xml:space="preserve">1.37%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DA464A" w14:textId="77777777" w:rsidR="005C2C0E" w:rsidRDefault="005C2C0E">
            <w:pPr>
              <w:spacing w:line="360" w:lineRule="auto"/>
              <w:jc w:val="right"/>
            </w:pPr>
            <w:r>
              <w:rPr>
                <w:rFonts w:ascii="宋体" w:hAnsi="宋体" w:hint="eastAsia"/>
              </w:rPr>
              <w:t xml:space="preserve">11.03%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C75DC0" w14:textId="77777777" w:rsidR="005C2C0E" w:rsidRDefault="005C2C0E">
            <w:pPr>
              <w:spacing w:line="360" w:lineRule="auto"/>
              <w:jc w:val="right"/>
            </w:pPr>
            <w:r>
              <w:rPr>
                <w:rFonts w:ascii="宋体" w:hAnsi="宋体" w:hint="eastAsia"/>
              </w:rPr>
              <w:t xml:space="preserve">0.87%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864528F" w14:textId="77777777" w:rsidR="005C2C0E" w:rsidRDefault="005C2C0E">
            <w:pPr>
              <w:spacing w:line="360" w:lineRule="auto"/>
              <w:jc w:val="right"/>
            </w:pPr>
            <w:r>
              <w:rPr>
                <w:rFonts w:ascii="宋体" w:hAnsi="宋体" w:hint="eastAsia"/>
              </w:rPr>
              <w:t xml:space="preserve">8.56%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C0208C" w14:textId="77777777" w:rsidR="005C2C0E" w:rsidRDefault="005C2C0E">
            <w:pPr>
              <w:spacing w:line="360" w:lineRule="auto"/>
              <w:jc w:val="right"/>
            </w:pPr>
            <w:r>
              <w:rPr>
                <w:rFonts w:ascii="宋体" w:hAnsi="宋体" w:hint="eastAsia"/>
              </w:rPr>
              <w:t xml:space="preserve">0.50% </w:t>
            </w:r>
          </w:p>
        </w:tc>
      </w:tr>
    </w:tbl>
    <w:p w14:paraId="30AA22F0" w14:textId="77777777" w:rsidR="005C2C0E" w:rsidRDefault="005C2C0E">
      <w:pPr>
        <w:spacing w:line="360" w:lineRule="auto"/>
        <w:jc w:val="center"/>
        <w:divId w:val="1188836198"/>
      </w:pPr>
      <w:r>
        <w:rPr>
          <w:rFonts w:ascii="宋体" w:hAnsi="宋体" w:hint="eastAsia"/>
        </w:rPr>
        <w:t>摩根动态多因子混合C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920DE8" w14:paraId="5FC0D2E5" w14:textId="77777777">
        <w:trPr>
          <w:divId w:val="1188836198"/>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A0B1C7E" w14:textId="77777777" w:rsidR="005C2C0E" w:rsidRDefault="005C2C0E">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750D64D" w14:textId="77777777" w:rsidR="005C2C0E" w:rsidRDefault="005C2C0E">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33A4195" w14:textId="77777777" w:rsidR="005C2C0E" w:rsidRDefault="005C2C0E">
            <w:pPr>
              <w:spacing w:line="360" w:lineRule="auto"/>
              <w:jc w:val="center"/>
            </w:pPr>
            <w:r>
              <w:rPr>
                <w:rFonts w:ascii="宋体" w:hAnsi="宋体" w:hint="eastAsia"/>
              </w:rPr>
              <w:t>净值增长率</w:t>
            </w:r>
            <w:r>
              <w:rPr>
                <w:rFonts w:ascii="宋体" w:hAnsi="宋体" w:hint="eastAsia"/>
              </w:rPr>
              <w:lastRenderedPageBreak/>
              <w:t xml:space="preserve">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CF2C367" w14:textId="77777777" w:rsidR="005C2C0E" w:rsidRDefault="005C2C0E">
            <w:pPr>
              <w:spacing w:line="360" w:lineRule="auto"/>
              <w:jc w:val="center"/>
            </w:pPr>
            <w:r>
              <w:rPr>
                <w:rFonts w:ascii="宋体" w:hAnsi="宋体" w:hint="eastAsia"/>
              </w:rPr>
              <w:lastRenderedPageBreak/>
              <w:t>业绩比较基</w:t>
            </w:r>
            <w:r>
              <w:rPr>
                <w:rFonts w:ascii="宋体" w:hAnsi="宋体" w:hint="eastAsia"/>
              </w:rPr>
              <w:lastRenderedPageBreak/>
              <w:t xml:space="preserve">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83F0AD4" w14:textId="77777777" w:rsidR="005C2C0E" w:rsidRDefault="005C2C0E">
            <w:pPr>
              <w:spacing w:line="360" w:lineRule="auto"/>
              <w:jc w:val="center"/>
            </w:pPr>
            <w:r>
              <w:rPr>
                <w:rFonts w:ascii="宋体" w:hAnsi="宋体" w:hint="eastAsia"/>
              </w:rPr>
              <w:lastRenderedPageBreak/>
              <w:t>业绩比较基</w:t>
            </w:r>
            <w:r>
              <w:rPr>
                <w:rFonts w:ascii="宋体" w:hAnsi="宋体" w:hint="eastAsia"/>
              </w:rPr>
              <w:lastRenderedPageBreak/>
              <w:t xml:space="preserve">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8F3AA4" w14:textId="77777777" w:rsidR="005C2C0E" w:rsidRDefault="005C2C0E">
            <w:pPr>
              <w:spacing w:line="360" w:lineRule="auto"/>
              <w:jc w:val="center"/>
            </w:pPr>
            <w:r>
              <w:rPr>
                <w:rFonts w:ascii="宋体" w:hAnsi="宋体" w:hint="eastAsia"/>
              </w:rPr>
              <w:lastRenderedPageBreak/>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2C94DF6" w14:textId="77777777" w:rsidR="005C2C0E" w:rsidRDefault="005C2C0E">
            <w:pPr>
              <w:spacing w:line="360" w:lineRule="auto"/>
              <w:jc w:val="center"/>
            </w:pPr>
            <w:r>
              <w:rPr>
                <w:rFonts w:ascii="宋体" w:hAnsi="宋体" w:hint="eastAsia"/>
              </w:rPr>
              <w:t xml:space="preserve">②－④ </w:t>
            </w:r>
          </w:p>
        </w:tc>
      </w:tr>
      <w:tr w:rsidR="00920DE8" w14:paraId="7EEF8AA1" w14:textId="77777777">
        <w:trPr>
          <w:divId w:val="118883619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67970D" w14:textId="77777777" w:rsidR="005C2C0E" w:rsidRDefault="005C2C0E">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1A8ADD" w14:textId="77777777" w:rsidR="005C2C0E" w:rsidRDefault="005C2C0E">
            <w:pPr>
              <w:spacing w:line="360" w:lineRule="auto"/>
              <w:jc w:val="right"/>
            </w:pPr>
            <w:r>
              <w:rPr>
                <w:rFonts w:ascii="宋体" w:hAnsi="宋体" w:hint="eastAsia"/>
              </w:rPr>
              <w:t xml:space="preserve">-1.48%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4E2284" w14:textId="77777777" w:rsidR="005C2C0E" w:rsidRDefault="005C2C0E">
            <w:pPr>
              <w:spacing w:line="360" w:lineRule="auto"/>
              <w:jc w:val="right"/>
            </w:pPr>
            <w:r>
              <w:rPr>
                <w:rFonts w:ascii="宋体" w:hAnsi="宋体" w:hint="eastAsia"/>
              </w:rPr>
              <w:t xml:space="preserve">1.05%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8F00CF" w14:textId="77777777" w:rsidR="005C2C0E" w:rsidRDefault="005C2C0E">
            <w:pPr>
              <w:spacing w:line="360" w:lineRule="auto"/>
              <w:jc w:val="right"/>
            </w:pPr>
            <w:r>
              <w:rPr>
                <w:rFonts w:ascii="宋体" w:hAnsi="宋体" w:hint="eastAsia"/>
              </w:rPr>
              <w:t xml:space="preserve">0.25%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1F03E8" w14:textId="77777777" w:rsidR="005C2C0E" w:rsidRDefault="005C2C0E">
            <w:pPr>
              <w:spacing w:line="360" w:lineRule="auto"/>
              <w:jc w:val="right"/>
            </w:pPr>
            <w:r>
              <w:rPr>
                <w:rFonts w:ascii="宋体" w:hAnsi="宋体" w:hint="eastAsia"/>
              </w:rPr>
              <w:t xml:space="preserve">1.02%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6E594AC" w14:textId="77777777" w:rsidR="005C2C0E" w:rsidRDefault="005C2C0E">
            <w:pPr>
              <w:spacing w:line="360" w:lineRule="auto"/>
              <w:jc w:val="right"/>
            </w:pPr>
            <w:r>
              <w:rPr>
                <w:rFonts w:ascii="宋体" w:hAnsi="宋体" w:hint="eastAsia"/>
              </w:rPr>
              <w:t xml:space="preserve">-1.73%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858FEE" w14:textId="77777777" w:rsidR="005C2C0E" w:rsidRDefault="005C2C0E">
            <w:pPr>
              <w:spacing w:line="360" w:lineRule="auto"/>
              <w:jc w:val="right"/>
            </w:pPr>
            <w:r>
              <w:rPr>
                <w:rFonts w:ascii="宋体" w:hAnsi="宋体" w:hint="eastAsia"/>
              </w:rPr>
              <w:t xml:space="preserve">0.03% </w:t>
            </w:r>
          </w:p>
        </w:tc>
      </w:tr>
      <w:tr w:rsidR="00920DE8" w14:paraId="36F40A6E" w14:textId="77777777">
        <w:trPr>
          <w:divId w:val="118883619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A63547" w14:textId="77777777" w:rsidR="005C2C0E" w:rsidRDefault="005C2C0E">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56C91F" w14:textId="77777777" w:rsidR="005C2C0E" w:rsidRDefault="005C2C0E">
            <w:pPr>
              <w:spacing w:line="360" w:lineRule="auto"/>
              <w:jc w:val="right"/>
            </w:pPr>
            <w:r>
              <w:rPr>
                <w:rFonts w:ascii="宋体" w:hAnsi="宋体" w:hint="eastAsia"/>
              </w:rPr>
              <w:t xml:space="preserve">13.84%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6E8C6B" w14:textId="77777777" w:rsidR="005C2C0E" w:rsidRDefault="005C2C0E">
            <w:pPr>
              <w:spacing w:line="360" w:lineRule="auto"/>
              <w:jc w:val="right"/>
            </w:pPr>
            <w:r>
              <w:rPr>
                <w:rFonts w:ascii="宋体" w:hAnsi="宋体" w:hint="eastAsia"/>
              </w:rPr>
              <w:t xml:space="preserve">1.00%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0DBCEA" w14:textId="77777777" w:rsidR="005C2C0E" w:rsidRDefault="005C2C0E">
            <w:pPr>
              <w:spacing w:line="360" w:lineRule="auto"/>
              <w:jc w:val="right"/>
            </w:pPr>
            <w:r>
              <w:rPr>
                <w:rFonts w:ascii="宋体" w:hAnsi="宋体" w:hint="eastAsia"/>
              </w:rPr>
              <w:t xml:space="preserve">17.56%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1520E4" w14:textId="77777777" w:rsidR="005C2C0E" w:rsidRDefault="005C2C0E">
            <w:pPr>
              <w:spacing w:line="360" w:lineRule="auto"/>
              <w:jc w:val="right"/>
            </w:pPr>
            <w:r>
              <w:rPr>
                <w:rFonts w:ascii="宋体" w:hAnsi="宋体" w:hint="eastAsia"/>
              </w:rPr>
              <w:t xml:space="preserve">1.00%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09BBA65" w14:textId="77777777" w:rsidR="005C2C0E" w:rsidRDefault="005C2C0E">
            <w:pPr>
              <w:spacing w:line="360" w:lineRule="auto"/>
              <w:jc w:val="right"/>
            </w:pPr>
            <w:r>
              <w:rPr>
                <w:rFonts w:ascii="宋体" w:hAnsi="宋体" w:hint="eastAsia"/>
              </w:rPr>
              <w:t xml:space="preserve">-3.72%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4AA04A" w14:textId="77777777" w:rsidR="005C2C0E" w:rsidRDefault="005C2C0E">
            <w:pPr>
              <w:spacing w:line="360" w:lineRule="auto"/>
              <w:jc w:val="right"/>
            </w:pPr>
            <w:r>
              <w:rPr>
                <w:rFonts w:ascii="宋体" w:hAnsi="宋体" w:hint="eastAsia"/>
              </w:rPr>
              <w:t xml:space="preserve">0.00% </w:t>
            </w:r>
          </w:p>
        </w:tc>
      </w:tr>
      <w:tr w:rsidR="00920DE8" w14:paraId="27C749F5" w14:textId="77777777">
        <w:trPr>
          <w:divId w:val="118883619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40E5BE" w14:textId="77777777" w:rsidR="005C2C0E" w:rsidRDefault="005C2C0E">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BA8451" w14:textId="77777777" w:rsidR="005C2C0E" w:rsidRDefault="005C2C0E">
            <w:pPr>
              <w:spacing w:line="360" w:lineRule="auto"/>
              <w:jc w:val="right"/>
            </w:pPr>
            <w:r>
              <w:rPr>
                <w:rFonts w:ascii="宋体" w:hAnsi="宋体" w:hint="eastAsia"/>
              </w:rPr>
              <w:t xml:space="preserve">27.33%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72C62E" w14:textId="77777777" w:rsidR="005C2C0E" w:rsidRDefault="005C2C0E">
            <w:pPr>
              <w:spacing w:line="360" w:lineRule="auto"/>
              <w:jc w:val="right"/>
            </w:pPr>
            <w:r>
              <w:rPr>
                <w:rFonts w:ascii="宋体" w:hAnsi="宋体" w:hint="eastAsia"/>
              </w:rPr>
              <w:t xml:space="preserve">1.26%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29B9BD" w14:textId="77777777" w:rsidR="005C2C0E" w:rsidRDefault="005C2C0E">
            <w:pPr>
              <w:spacing w:line="360" w:lineRule="auto"/>
              <w:jc w:val="right"/>
            </w:pPr>
            <w:r>
              <w:rPr>
                <w:rFonts w:ascii="宋体" w:hAnsi="宋体" w:hint="eastAsia"/>
              </w:rPr>
              <w:t xml:space="preserve">24.77%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C75836" w14:textId="77777777" w:rsidR="005C2C0E" w:rsidRDefault="005C2C0E">
            <w:pPr>
              <w:spacing w:line="360" w:lineRule="auto"/>
              <w:jc w:val="right"/>
            </w:pPr>
            <w:r>
              <w:rPr>
                <w:rFonts w:ascii="宋体" w:hAnsi="宋体" w:hint="eastAsia"/>
              </w:rPr>
              <w:t xml:space="preserve">1.25%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08FCD36" w14:textId="77777777" w:rsidR="005C2C0E" w:rsidRDefault="005C2C0E">
            <w:pPr>
              <w:spacing w:line="360" w:lineRule="auto"/>
              <w:jc w:val="right"/>
            </w:pPr>
            <w:r>
              <w:rPr>
                <w:rFonts w:ascii="宋体" w:hAnsi="宋体" w:hint="eastAsia"/>
              </w:rPr>
              <w:t xml:space="preserve">2.56%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C04FEE" w14:textId="77777777" w:rsidR="005C2C0E" w:rsidRDefault="005C2C0E">
            <w:pPr>
              <w:spacing w:line="360" w:lineRule="auto"/>
              <w:jc w:val="right"/>
            </w:pPr>
            <w:r>
              <w:rPr>
                <w:rFonts w:ascii="宋体" w:hAnsi="宋体" w:hint="eastAsia"/>
              </w:rPr>
              <w:t xml:space="preserve">0.01% </w:t>
            </w:r>
          </w:p>
        </w:tc>
      </w:tr>
      <w:tr w:rsidR="00920DE8" w14:paraId="36647167" w14:textId="77777777">
        <w:trPr>
          <w:divId w:val="118883619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6D1672" w14:textId="77777777" w:rsidR="005C2C0E" w:rsidRDefault="005C2C0E">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02D01C" w14:textId="77777777" w:rsidR="005C2C0E" w:rsidRDefault="005C2C0E">
            <w:pPr>
              <w:spacing w:line="360" w:lineRule="auto"/>
              <w:jc w:val="right"/>
            </w:pPr>
            <w:r>
              <w:rPr>
                <w:rFonts w:ascii="宋体" w:hAnsi="宋体" w:hint="eastAsia"/>
              </w:rPr>
              <w:t xml:space="preserve">33.47%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F67A98" w14:textId="77777777" w:rsidR="005C2C0E" w:rsidRDefault="005C2C0E">
            <w:pPr>
              <w:spacing w:line="360" w:lineRule="auto"/>
              <w:jc w:val="right"/>
            </w:pPr>
            <w:r>
              <w:rPr>
                <w:rFonts w:ascii="宋体" w:hAnsi="宋体" w:hint="eastAsia"/>
              </w:rPr>
              <w:t xml:space="preserve">1.25%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C9EA70" w14:textId="77777777" w:rsidR="005C2C0E" w:rsidRDefault="005C2C0E">
            <w:pPr>
              <w:spacing w:line="360" w:lineRule="auto"/>
              <w:jc w:val="right"/>
            </w:pPr>
            <w:r>
              <w:rPr>
                <w:rFonts w:ascii="宋体" w:hAnsi="宋体" w:hint="eastAsia"/>
              </w:rPr>
              <w:t xml:space="preserve">24.85%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33C6FF" w14:textId="77777777" w:rsidR="005C2C0E" w:rsidRDefault="005C2C0E">
            <w:pPr>
              <w:spacing w:line="360" w:lineRule="auto"/>
              <w:jc w:val="right"/>
            </w:pPr>
            <w:r>
              <w:rPr>
                <w:rFonts w:ascii="宋体" w:hAnsi="宋体" w:hint="eastAsia"/>
              </w:rPr>
              <w:t xml:space="preserve">0.93%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965E54D" w14:textId="77777777" w:rsidR="005C2C0E" w:rsidRDefault="005C2C0E">
            <w:pPr>
              <w:spacing w:line="360" w:lineRule="auto"/>
              <w:jc w:val="right"/>
            </w:pPr>
            <w:r>
              <w:rPr>
                <w:rFonts w:ascii="宋体" w:hAnsi="宋体" w:hint="eastAsia"/>
              </w:rPr>
              <w:t xml:space="preserve">8.62%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1A8B73" w14:textId="77777777" w:rsidR="005C2C0E" w:rsidRDefault="005C2C0E">
            <w:pPr>
              <w:spacing w:line="360" w:lineRule="auto"/>
              <w:jc w:val="right"/>
            </w:pPr>
            <w:r>
              <w:rPr>
                <w:rFonts w:ascii="宋体" w:hAnsi="宋体" w:hint="eastAsia"/>
              </w:rPr>
              <w:t xml:space="preserve">0.32% </w:t>
            </w:r>
          </w:p>
        </w:tc>
      </w:tr>
      <w:tr w:rsidR="00920DE8" w14:paraId="1311A6D1" w14:textId="77777777">
        <w:trPr>
          <w:divId w:val="118883619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5F3FDA" w14:textId="77777777" w:rsidR="005C2C0E" w:rsidRDefault="005C2C0E">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217A51" w14:textId="77777777" w:rsidR="005C2C0E" w:rsidRDefault="005C2C0E">
            <w:pPr>
              <w:spacing w:line="360" w:lineRule="auto"/>
              <w:jc w:val="right"/>
            </w:pPr>
            <w:r>
              <w:rPr>
                <w:rFonts w:ascii="宋体" w:hAnsi="宋体" w:hint="eastAsia"/>
              </w:rPr>
              <w:t xml:space="preserve">25.48%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5E5363" w14:textId="77777777" w:rsidR="005C2C0E" w:rsidRDefault="005C2C0E">
            <w:pPr>
              <w:spacing w:line="360" w:lineRule="auto"/>
              <w:jc w:val="right"/>
            </w:pPr>
            <w:r>
              <w:rPr>
                <w:rFonts w:ascii="宋体" w:hAnsi="宋体" w:hint="eastAsia"/>
              </w:rPr>
              <w:t xml:space="preserve">1.25%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B1CE44" w14:textId="77777777" w:rsidR="005C2C0E" w:rsidRDefault="005C2C0E">
            <w:pPr>
              <w:spacing w:line="360" w:lineRule="auto"/>
              <w:jc w:val="right"/>
            </w:pPr>
            <w:r>
              <w:rPr>
                <w:rFonts w:ascii="宋体" w:hAnsi="宋体" w:hint="eastAsia"/>
              </w:rPr>
              <w:t xml:space="preserve">26.72%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42BD40" w14:textId="77777777" w:rsidR="005C2C0E" w:rsidRDefault="005C2C0E">
            <w:pPr>
              <w:spacing w:line="360" w:lineRule="auto"/>
              <w:jc w:val="right"/>
            </w:pPr>
            <w:r>
              <w:rPr>
                <w:rFonts w:ascii="宋体" w:hAnsi="宋体" w:hint="eastAsia"/>
              </w:rPr>
              <w:t xml:space="preserve">0.92%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A632314" w14:textId="77777777" w:rsidR="005C2C0E" w:rsidRDefault="005C2C0E">
            <w:pPr>
              <w:spacing w:line="360" w:lineRule="auto"/>
              <w:jc w:val="right"/>
            </w:pPr>
            <w:r>
              <w:rPr>
                <w:rFonts w:ascii="宋体" w:hAnsi="宋体" w:hint="eastAsia"/>
              </w:rPr>
              <w:t xml:space="preserve">-1.24%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45A683" w14:textId="77777777" w:rsidR="005C2C0E" w:rsidRDefault="005C2C0E">
            <w:pPr>
              <w:spacing w:line="360" w:lineRule="auto"/>
              <w:jc w:val="right"/>
            </w:pPr>
            <w:r>
              <w:rPr>
                <w:rFonts w:ascii="宋体" w:hAnsi="宋体" w:hint="eastAsia"/>
              </w:rPr>
              <w:t xml:space="preserve">0.33% </w:t>
            </w:r>
          </w:p>
        </w:tc>
      </w:tr>
    </w:tbl>
    <w:p w14:paraId="27394E62" w14:textId="77777777" w:rsidR="005C2C0E" w:rsidRDefault="005C2C0E">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5C80D0C1" w14:textId="77777777" w:rsidR="005C2C0E" w:rsidRDefault="005C2C0E">
      <w:pPr>
        <w:spacing w:line="360" w:lineRule="auto"/>
        <w:jc w:val="left"/>
        <w:divId w:val="930510263"/>
      </w:pPr>
      <w:bookmarkStart w:id="70" w:name="m07_04_07_09"/>
      <w:bookmarkStart w:id="71" w:name="m07_04_07_09_tab"/>
      <w:r>
        <w:rPr>
          <w:rFonts w:ascii="宋体" w:hAnsi="宋体" w:hint="eastAsia"/>
          <w:noProof/>
        </w:rPr>
        <w:drawing>
          <wp:inline distT="0" distB="0" distL="0" distR="0" wp14:anchorId="6B62DE1D" wp14:editId="4AEFF5AC">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54D55D12" w14:textId="77777777" w:rsidR="005C2C0E" w:rsidRDefault="005C2C0E">
      <w:pPr>
        <w:spacing w:line="360" w:lineRule="auto"/>
        <w:jc w:val="left"/>
        <w:divId w:val="249582453"/>
      </w:pPr>
      <w:r>
        <w:rPr>
          <w:rFonts w:ascii="宋体" w:hAnsi="宋体" w:hint="eastAsia"/>
          <w:noProof/>
        </w:rPr>
        <w:lastRenderedPageBreak/>
        <w:drawing>
          <wp:inline distT="0" distB="0" distL="0" distR="0" wp14:anchorId="72B09A21" wp14:editId="7C15CB3C">
            <wp:extent cx="5229860" cy="3006725"/>
            <wp:effectExtent l="0" t="0" r="889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18605707" w14:textId="77777777" w:rsidR="005C2C0E" w:rsidRDefault="005C2C0E">
      <w:pPr>
        <w:spacing w:line="360" w:lineRule="auto"/>
      </w:pPr>
      <w:r>
        <w:rPr>
          <w:rFonts w:ascii="宋体" w:hAnsi="宋体" w:hint="eastAsia"/>
        </w:rPr>
        <w:t>注：</w:t>
      </w:r>
      <w:r>
        <w:rPr>
          <w:rFonts w:ascii="宋体" w:hAnsi="宋体" w:hint="eastAsia"/>
          <w:lang w:eastAsia="zh-Hans"/>
        </w:rPr>
        <w:t>本基金合同生效日为2015年6月2日， 图示的时间段为合同生效日至本报告期末。</w:t>
      </w:r>
      <w:r>
        <w:rPr>
          <w:rFonts w:ascii="宋体" w:hAnsi="宋体" w:hint="eastAsia"/>
          <w:lang w:eastAsia="zh-Hans"/>
        </w:rPr>
        <w:br/>
        <w:t xml:space="preserve">　　本基金自 2022年11月25日起增加C类份额，相关数据按实际存续期计算。</w:t>
      </w:r>
      <w:r>
        <w:rPr>
          <w:rFonts w:ascii="宋体" w:hAnsi="宋体" w:hint="eastAsia"/>
          <w:lang w:eastAsia="zh-Hans"/>
        </w:rPr>
        <w:br/>
        <w:t xml:space="preserve">　　本基金建仓期为本基金合同生效日起6个月，建仓期结束时资产配置比例符合本基金基金合同规定。</w:t>
      </w:r>
      <w:r>
        <w:rPr>
          <w:rFonts w:ascii="宋体" w:hAnsi="宋体" w:hint="eastAsia"/>
          <w:kern w:val="0"/>
          <w:lang w:eastAsia="zh-Hans"/>
        </w:rPr>
        <w:t xml:space="preserve"> </w:t>
      </w:r>
    </w:p>
    <w:p w14:paraId="42F77911" w14:textId="77777777" w:rsidR="005C2C0E" w:rsidRDefault="005C2C0E">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2AEC4CA1" w14:textId="77777777" w:rsidR="005C2C0E" w:rsidRDefault="005C2C0E">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920DE8" w14:paraId="105F0DFC" w14:textId="77777777">
        <w:trPr>
          <w:divId w:val="2144037415"/>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4492F5" w14:textId="77777777" w:rsidR="005C2C0E" w:rsidRDefault="005C2C0E">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C68C02" w14:textId="77777777" w:rsidR="005C2C0E" w:rsidRDefault="005C2C0E">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F5FBC0" w14:textId="77777777" w:rsidR="005C2C0E" w:rsidRDefault="005C2C0E">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C7B21F" w14:textId="77777777" w:rsidR="005C2C0E" w:rsidRDefault="005C2C0E">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08F9AC" w14:textId="77777777" w:rsidR="005C2C0E" w:rsidRDefault="005C2C0E">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920DE8" w14:paraId="41D157C0" w14:textId="77777777">
        <w:trPr>
          <w:divId w:val="2144037415"/>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A82F80" w14:textId="77777777" w:rsidR="005C2C0E" w:rsidRDefault="005C2C0E">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3308C2" w14:textId="77777777" w:rsidR="005C2C0E" w:rsidRDefault="005C2C0E">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E3CA5A" w14:textId="77777777" w:rsidR="005C2C0E" w:rsidRDefault="005C2C0E">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D6AA4C" w14:textId="77777777" w:rsidR="005C2C0E" w:rsidRDefault="005C2C0E">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500A04" w14:textId="77777777" w:rsidR="005C2C0E" w:rsidRDefault="005C2C0E">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9CFE37" w14:textId="77777777" w:rsidR="005C2C0E" w:rsidRDefault="005C2C0E">
            <w:pPr>
              <w:widowControl/>
              <w:jc w:val="left"/>
            </w:pPr>
          </w:p>
        </w:tc>
      </w:tr>
      <w:tr w:rsidR="00920DE8" w14:paraId="271AF6DD" w14:textId="77777777">
        <w:trPr>
          <w:divId w:val="2144037415"/>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203D70" w14:textId="77777777" w:rsidR="005C2C0E" w:rsidRDefault="005C2C0E">
            <w:pPr>
              <w:jc w:val="center"/>
            </w:pPr>
            <w:r>
              <w:rPr>
                <w:rFonts w:ascii="宋体" w:hAnsi="宋体" w:hint="eastAsia"/>
                <w:szCs w:val="24"/>
                <w:lang w:eastAsia="zh-Hans"/>
              </w:rPr>
              <w:t>胡迪</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E1BF9D" w14:textId="77777777" w:rsidR="005C2C0E" w:rsidRDefault="005C2C0E">
            <w:pPr>
              <w:jc w:val="left"/>
            </w:pPr>
            <w:r>
              <w:rPr>
                <w:rFonts w:ascii="宋体" w:hAnsi="宋体" w:hint="eastAsia"/>
                <w:szCs w:val="24"/>
                <w:lang w:eastAsia="zh-Hans"/>
              </w:rPr>
              <w:t>本基金基金经理、指数及量化投资部总监</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80C047" w14:textId="77777777" w:rsidR="005C2C0E" w:rsidRDefault="005C2C0E">
            <w:pPr>
              <w:jc w:val="center"/>
            </w:pPr>
            <w:r>
              <w:rPr>
                <w:rFonts w:ascii="宋体" w:hAnsi="宋体" w:hint="eastAsia"/>
                <w:szCs w:val="24"/>
                <w:lang w:eastAsia="zh-Hans"/>
              </w:rPr>
              <w:t>2021年1月7日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5D4041" w14:textId="77777777" w:rsidR="005C2C0E" w:rsidRDefault="005C2C0E">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76DCFF" w14:textId="77777777" w:rsidR="005C2C0E" w:rsidRDefault="005C2C0E">
            <w:pPr>
              <w:jc w:val="center"/>
            </w:pPr>
            <w:r>
              <w:rPr>
                <w:rFonts w:ascii="宋体" w:hAnsi="宋体" w:hint="eastAsia"/>
                <w:szCs w:val="24"/>
                <w:lang w:eastAsia="zh-Hans"/>
              </w:rPr>
              <w:t>18年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09053E" w14:textId="77777777" w:rsidR="005C2C0E" w:rsidRDefault="005C2C0E">
            <w:pPr>
              <w:jc w:val="left"/>
            </w:pPr>
            <w:r>
              <w:rPr>
                <w:rFonts w:ascii="宋体" w:hAnsi="宋体" w:hint="eastAsia"/>
                <w:szCs w:val="24"/>
                <w:lang w:eastAsia="zh-Hans"/>
              </w:rPr>
              <w:t>胡迪女士曾任纽约美林证券全球资产管理部高级经理，纽约标准普尔量化投资主管，中国国际金融股份有限公司资产管理部执行总经理。2020年5月加入摩根基金管理(中国)有限公司(原上投摩根基金管理有限公司)，现任指数及量化投资部总监兼基金经理。</w:t>
            </w:r>
          </w:p>
        </w:tc>
      </w:tr>
    </w:tbl>
    <w:p w14:paraId="507D3FDF" w14:textId="77777777" w:rsidR="005C2C0E" w:rsidRDefault="005C2C0E">
      <w:pPr>
        <w:wordWrap w:val="0"/>
        <w:spacing w:line="360" w:lineRule="auto"/>
        <w:jc w:val="left"/>
        <w:divId w:val="71896933"/>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700821B4" w14:textId="77777777" w:rsidR="005C2C0E" w:rsidRDefault="005C2C0E">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0301F27A" w14:textId="77777777" w:rsidR="005C2C0E" w:rsidRDefault="005C2C0E">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w:t>
      </w:r>
      <w:r>
        <w:rPr>
          <w:rFonts w:ascii="宋体" w:hAnsi="宋体" w:hint="eastAsia"/>
        </w:rPr>
        <w:lastRenderedPageBreak/>
        <w:t>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7CBFDE00" w14:textId="77777777" w:rsidR="005C2C0E" w:rsidRDefault="005C2C0E">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67B4A23B" w14:textId="77777777" w:rsidR="005C2C0E" w:rsidRDefault="005C2C0E">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17C0A87F" w14:textId="77777777" w:rsidR="005C2C0E" w:rsidRDefault="005C2C0E">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550CDBAA" w14:textId="77777777" w:rsidR="005C2C0E" w:rsidRDefault="005C2C0E">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6953E631" w14:textId="77777777" w:rsidR="005C2C0E" w:rsidRDefault="005C2C0E">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报告期内，本基金管理人旗下所有投资组合参与的交易所公开竞价交易中，同日反向交易成交较少的单边交易量超过该证券当日成交量的5%的交易共有4次，均为指数投资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52B2D30C" w14:textId="77777777" w:rsidR="005C2C0E" w:rsidRDefault="005C2C0E">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315746C1" w14:textId="77777777" w:rsidR="005C2C0E" w:rsidRDefault="005C2C0E">
      <w:pPr>
        <w:spacing w:line="360" w:lineRule="auto"/>
        <w:ind w:firstLineChars="200" w:firstLine="420"/>
        <w:jc w:val="left"/>
      </w:pPr>
      <w:r>
        <w:rPr>
          <w:rFonts w:ascii="宋体" w:hAnsi="宋体" w:cs="宋体" w:hint="eastAsia"/>
          <w:color w:val="000000"/>
          <w:kern w:val="0"/>
        </w:rPr>
        <w:t>2025年四季度，A股市场震荡，市场结构调整明显，中证A500指数</w:t>
      </w:r>
      <w:proofErr w:type="gramStart"/>
      <w:r>
        <w:rPr>
          <w:rFonts w:ascii="宋体" w:hAnsi="宋体" w:cs="宋体" w:hint="eastAsia"/>
          <w:color w:val="000000"/>
          <w:kern w:val="0"/>
        </w:rPr>
        <w:t>季度涨幅</w:t>
      </w:r>
      <w:proofErr w:type="gramEnd"/>
      <w:r>
        <w:rPr>
          <w:rFonts w:ascii="宋体" w:hAnsi="宋体" w:cs="宋体" w:hint="eastAsia"/>
          <w:color w:val="000000"/>
          <w:kern w:val="0"/>
        </w:rPr>
        <w:t>0.43%，创业板指跌1.08%，中证红利指数涨0.79%，中证1000指数，中证2000指数分别上涨0.27%，3.55%。可以看出市场风格上，各板块间分化有所减小，大小盘之间的差异，以及成长和红利间差异均不大。同时由于避险情绪提升，以及年末大资金求稳需求，市场波动也显著下行。12月，由于私募量化机房限制和高频市场行情方面政策调整的消息，以及年末市场上部分量化产品的集中赎回，量化策略超额收益受到一定影响。这一影响同时也反应在小微盘股的下跌上。</w:t>
      </w:r>
      <w:r>
        <w:rPr>
          <w:rFonts w:ascii="宋体" w:hAnsi="宋体" w:cs="宋体" w:hint="eastAsia"/>
          <w:color w:val="000000"/>
          <w:kern w:val="0"/>
        </w:rPr>
        <w:br/>
        <w:t xml:space="preserve">　　往后看，随着公私</w:t>
      </w:r>
      <w:proofErr w:type="gramStart"/>
      <w:r>
        <w:rPr>
          <w:rFonts w:ascii="宋体" w:hAnsi="宋体" w:cs="宋体" w:hint="eastAsia"/>
          <w:color w:val="000000"/>
          <w:kern w:val="0"/>
        </w:rPr>
        <w:t>募</w:t>
      </w:r>
      <w:proofErr w:type="gramEnd"/>
      <w:r>
        <w:rPr>
          <w:rFonts w:ascii="宋体" w:hAnsi="宋体" w:cs="宋体" w:hint="eastAsia"/>
          <w:color w:val="000000"/>
          <w:kern w:val="0"/>
        </w:rPr>
        <w:t>产品布局再起，以及年末部分收拢资金的回流，市场波动和风格切换有</w:t>
      </w:r>
      <w:r>
        <w:rPr>
          <w:rFonts w:ascii="宋体" w:hAnsi="宋体" w:cs="宋体" w:hint="eastAsia"/>
          <w:color w:val="000000"/>
          <w:kern w:val="0"/>
        </w:rPr>
        <w:lastRenderedPageBreak/>
        <w:t>望再度显现。策略运行方面，量化选股策略不做择时类的判断，我们仍然保持较高</w:t>
      </w:r>
      <w:proofErr w:type="gramStart"/>
      <w:r>
        <w:rPr>
          <w:rFonts w:ascii="宋体" w:hAnsi="宋体" w:cs="宋体" w:hint="eastAsia"/>
          <w:color w:val="000000"/>
          <w:kern w:val="0"/>
        </w:rPr>
        <w:t>仓位</w:t>
      </w:r>
      <w:proofErr w:type="gramEnd"/>
      <w:r>
        <w:rPr>
          <w:rFonts w:ascii="宋体" w:hAnsi="宋体" w:cs="宋体" w:hint="eastAsia"/>
          <w:color w:val="000000"/>
          <w:kern w:val="0"/>
        </w:rPr>
        <w:t>运作。策略研究方面，传统全域因子面临挑战的当下，我们将进行： 1.引入新的数据源，上季度我们计划有针对性采购部分新数据新工具，如专利、供应链、预期、优化器、风险模型数据等，目前优化器、风险模型已经完整升级，针对组合优化的研究效率显著提升，我们将进一步扩充另类数据。2.将因子研究高维化，分类化，局部化，如上季报中所述，试图将传统alpha从一句话扩展成一个故事，对基本面研究而言，我们关注使机器学习更具针对性地表达先验知识，相对更加注重自上而下，对价</w:t>
      </w:r>
      <w:proofErr w:type="gramStart"/>
      <w:r>
        <w:rPr>
          <w:rFonts w:ascii="宋体" w:hAnsi="宋体" w:cs="宋体" w:hint="eastAsia"/>
          <w:color w:val="000000"/>
          <w:kern w:val="0"/>
        </w:rPr>
        <w:t>量信息</w:t>
      </w:r>
      <w:proofErr w:type="gramEnd"/>
      <w:r>
        <w:rPr>
          <w:rFonts w:ascii="宋体" w:hAnsi="宋体" w:cs="宋体" w:hint="eastAsia"/>
          <w:color w:val="000000"/>
          <w:kern w:val="0"/>
        </w:rPr>
        <w:t>而言，我们关注更有效率有针对性地挖掘未知市场规律，相对更加强调利用特征工程和模型结构。同时由于传统中低频数据的数据量相对于机器学习模型而言存在欠拟合，我们试图构造不同结构的</w:t>
      </w:r>
      <w:proofErr w:type="gramStart"/>
      <w:r>
        <w:rPr>
          <w:rFonts w:ascii="宋体" w:hAnsi="宋体" w:cs="宋体" w:hint="eastAsia"/>
          <w:color w:val="000000"/>
          <w:kern w:val="0"/>
        </w:rPr>
        <w:t>低相关</w:t>
      </w:r>
      <w:proofErr w:type="gramEnd"/>
      <w:r>
        <w:rPr>
          <w:rFonts w:ascii="宋体" w:hAnsi="宋体" w:cs="宋体" w:hint="eastAsia"/>
          <w:color w:val="000000"/>
          <w:kern w:val="0"/>
        </w:rPr>
        <w:t>模型来尝试挖掘数据中蕴含信息的不同侧面。总体来说，在具体投资策略上，我们在坚持基本面和价</w:t>
      </w:r>
      <w:proofErr w:type="gramStart"/>
      <w:r>
        <w:rPr>
          <w:rFonts w:ascii="宋体" w:hAnsi="宋体" w:cs="宋体" w:hint="eastAsia"/>
          <w:color w:val="000000"/>
          <w:kern w:val="0"/>
        </w:rPr>
        <w:t>量结合</w:t>
      </w:r>
      <w:proofErr w:type="gramEnd"/>
      <w:r>
        <w:rPr>
          <w:rFonts w:ascii="宋体" w:hAnsi="宋体" w:cs="宋体" w:hint="eastAsia"/>
          <w:color w:val="000000"/>
          <w:kern w:val="0"/>
        </w:rPr>
        <w:t>的量化多因子选股策略的同时，自上而下的传统研究和自下而上的机器学习启发式研究并重，两相结合，力争构造风险收益特征优于市场基准的投资组合。</w:t>
      </w:r>
    </w:p>
    <w:p w14:paraId="7C423A51" w14:textId="77777777" w:rsidR="005C2C0E" w:rsidRDefault="005C2C0E">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13C43E53" w14:textId="77777777" w:rsidR="005C2C0E" w:rsidRDefault="005C2C0E">
      <w:pPr>
        <w:spacing w:line="360" w:lineRule="auto"/>
        <w:ind w:firstLineChars="200" w:firstLine="420"/>
      </w:pPr>
      <w:r>
        <w:rPr>
          <w:rFonts w:ascii="宋体" w:hAnsi="宋体" w:hint="eastAsia"/>
        </w:rPr>
        <w:t>本报告期摩根动态多因子混合A份额净值增长率为：-1.33%，同期业绩比较基准收益率为：0.25%；</w:t>
      </w:r>
      <w:r>
        <w:rPr>
          <w:rFonts w:ascii="宋体" w:hAnsi="宋体" w:hint="eastAsia"/>
        </w:rPr>
        <w:br/>
        <w:t xml:space="preserve">　　摩根动态多因子混合C份额净值增长率为：-1.48%，同期业绩比较基准收益率为：0.25%。</w:t>
      </w:r>
    </w:p>
    <w:p w14:paraId="6A97A43B" w14:textId="77777777" w:rsidR="005C2C0E" w:rsidRDefault="005C2C0E">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56846078" w14:textId="77777777" w:rsidR="005C2C0E" w:rsidRDefault="005C2C0E">
      <w:pPr>
        <w:spacing w:line="360" w:lineRule="auto"/>
        <w:ind w:firstLineChars="200" w:firstLine="420"/>
        <w:jc w:val="left"/>
      </w:pPr>
      <w:r>
        <w:rPr>
          <w:rFonts w:ascii="宋体" w:hAnsi="宋体" w:hint="eastAsia"/>
        </w:rPr>
        <w:t>无。</w:t>
      </w:r>
    </w:p>
    <w:p w14:paraId="2F75D128" w14:textId="77777777" w:rsidR="005C2C0E" w:rsidRDefault="005C2C0E">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55E5C525" w14:textId="77777777" w:rsidR="005C2C0E" w:rsidRDefault="005C2C0E">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920DE8" w14:paraId="68F17D04" w14:textId="77777777">
        <w:trPr>
          <w:divId w:val="329990534"/>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AC8FF92" w14:textId="77777777" w:rsidR="005C2C0E" w:rsidRDefault="005C2C0E">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3C0169CB" w14:textId="77777777" w:rsidR="005C2C0E" w:rsidRDefault="005C2C0E">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1D445E00" w14:textId="77777777" w:rsidR="005C2C0E" w:rsidRDefault="005C2C0E">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62D6E3E4" w14:textId="77777777" w:rsidR="005C2C0E" w:rsidRDefault="005C2C0E">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920DE8" w14:paraId="6C27BAA0" w14:textId="77777777">
        <w:trPr>
          <w:divId w:val="3299905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355DE78" w14:textId="77777777" w:rsidR="005C2C0E" w:rsidRDefault="005C2C0E">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6044572A" w14:textId="77777777" w:rsidR="005C2C0E" w:rsidRDefault="005C2C0E">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8D0E197" w14:textId="77777777" w:rsidR="005C2C0E" w:rsidRDefault="005C2C0E">
            <w:pPr>
              <w:jc w:val="right"/>
            </w:pPr>
            <w:r>
              <w:rPr>
                <w:rFonts w:ascii="宋体" w:hAnsi="宋体" w:hint="eastAsia"/>
                <w:szCs w:val="24"/>
                <w:lang w:eastAsia="zh-Hans"/>
              </w:rPr>
              <w:t>83,820,707.17</w:t>
            </w:r>
          </w:p>
        </w:tc>
        <w:tc>
          <w:tcPr>
            <w:tcW w:w="1333" w:type="pct"/>
            <w:tcBorders>
              <w:top w:val="single" w:sz="4" w:space="0" w:color="auto"/>
              <w:left w:val="nil"/>
              <w:bottom w:val="single" w:sz="4" w:space="0" w:color="auto"/>
              <w:right w:val="single" w:sz="4" w:space="0" w:color="auto"/>
            </w:tcBorders>
            <w:vAlign w:val="center"/>
            <w:hideMark/>
          </w:tcPr>
          <w:p w14:paraId="406B36F2" w14:textId="77777777" w:rsidR="005C2C0E" w:rsidRDefault="005C2C0E">
            <w:pPr>
              <w:jc w:val="right"/>
            </w:pPr>
            <w:r>
              <w:rPr>
                <w:rFonts w:ascii="宋体" w:hAnsi="宋体" w:hint="eastAsia"/>
                <w:szCs w:val="24"/>
                <w:lang w:eastAsia="zh-Hans"/>
              </w:rPr>
              <w:t>92.26</w:t>
            </w:r>
          </w:p>
        </w:tc>
      </w:tr>
      <w:tr w:rsidR="00920DE8" w14:paraId="0F88A708" w14:textId="77777777">
        <w:trPr>
          <w:divId w:val="3299905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B2F8EBA" w14:textId="77777777" w:rsidR="005C2C0E" w:rsidRDefault="005C2C0E">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A83401F" w14:textId="77777777" w:rsidR="005C2C0E" w:rsidRDefault="005C2C0E">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83FDB34" w14:textId="77777777" w:rsidR="005C2C0E" w:rsidRDefault="005C2C0E">
            <w:pPr>
              <w:jc w:val="right"/>
            </w:pPr>
            <w:r>
              <w:rPr>
                <w:rFonts w:ascii="宋体" w:hAnsi="宋体" w:hint="eastAsia"/>
                <w:szCs w:val="24"/>
                <w:lang w:eastAsia="zh-Hans"/>
              </w:rPr>
              <w:t>83,820,707.17</w:t>
            </w:r>
          </w:p>
        </w:tc>
        <w:tc>
          <w:tcPr>
            <w:tcW w:w="1333" w:type="pct"/>
            <w:tcBorders>
              <w:top w:val="single" w:sz="4" w:space="0" w:color="auto"/>
              <w:left w:val="nil"/>
              <w:bottom w:val="single" w:sz="4" w:space="0" w:color="auto"/>
              <w:right w:val="single" w:sz="4" w:space="0" w:color="auto"/>
            </w:tcBorders>
            <w:vAlign w:val="center"/>
            <w:hideMark/>
          </w:tcPr>
          <w:p w14:paraId="64C909C5" w14:textId="77777777" w:rsidR="005C2C0E" w:rsidRDefault="005C2C0E">
            <w:pPr>
              <w:jc w:val="right"/>
            </w:pPr>
            <w:r>
              <w:rPr>
                <w:rFonts w:ascii="宋体" w:hAnsi="宋体" w:hint="eastAsia"/>
                <w:szCs w:val="24"/>
                <w:lang w:eastAsia="zh-Hans"/>
              </w:rPr>
              <w:t>92.26</w:t>
            </w:r>
          </w:p>
        </w:tc>
      </w:tr>
      <w:tr w:rsidR="00920DE8" w14:paraId="2443AF03" w14:textId="77777777">
        <w:trPr>
          <w:divId w:val="3299905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87C96EE" w14:textId="77777777" w:rsidR="005C2C0E" w:rsidRDefault="005C2C0E">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2EB6E4B4" w14:textId="77777777" w:rsidR="005C2C0E" w:rsidRDefault="005C2C0E">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970A8BB" w14:textId="77777777" w:rsidR="005C2C0E" w:rsidRDefault="005C2C0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205D185" w14:textId="77777777" w:rsidR="005C2C0E" w:rsidRDefault="005C2C0E">
            <w:pPr>
              <w:jc w:val="right"/>
            </w:pPr>
            <w:r>
              <w:rPr>
                <w:rFonts w:ascii="宋体" w:hAnsi="宋体" w:hint="eastAsia"/>
                <w:szCs w:val="24"/>
                <w:lang w:eastAsia="zh-Hans"/>
              </w:rPr>
              <w:t>-</w:t>
            </w:r>
          </w:p>
        </w:tc>
      </w:tr>
      <w:tr w:rsidR="00920DE8" w14:paraId="41829CB5" w14:textId="77777777">
        <w:trPr>
          <w:divId w:val="3299905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39DDBCF" w14:textId="77777777" w:rsidR="005C2C0E" w:rsidRDefault="005C2C0E">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6A06663E" w14:textId="77777777" w:rsidR="005C2C0E" w:rsidRDefault="005C2C0E">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28D54C2" w14:textId="77777777" w:rsidR="005C2C0E" w:rsidRDefault="005C2C0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2F95018" w14:textId="77777777" w:rsidR="005C2C0E" w:rsidRDefault="005C2C0E">
            <w:pPr>
              <w:jc w:val="right"/>
            </w:pPr>
            <w:r>
              <w:rPr>
                <w:rFonts w:ascii="宋体" w:hAnsi="宋体" w:hint="eastAsia"/>
                <w:szCs w:val="24"/>
                <w:lang w:eastAsia="zh-Hans"/>
              </w:rPr>
              <w:t>-</w:t>
            </w:r>
          </w:p>
        </w:tc>
      </w:tr>
      <w:tr w:rsidR="00920DE8" w14:paraId="1AAB0DBE" w14:textId="77777777">
        <w:trPr>
          <w:divId w:val="3299905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AC2AC7C" w14:textId="77777777" w:rsidR="005C2C0E" w:rsidRDefault="005C2C0E">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95FFDFF" w14:textId="77777777" w:rsidR="005C2C0E" w:rsidRDefault="005C2C0E">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29FD728" w14:textId="77777777" w:rsidR="005C2C0E" w:rsidRDefault="005C2C0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90E0A3A" w14:textId="77777777" w:rsidR="005C2C0E" w:rsidRDefault="005C2C0E">
            <w:pPr>
              <w:jc w:val="right"/>
            </w:pPr>
            <w:r>
              <w:rPr>
                <w:rFonts w:ascii="宋体" w:hAnsi="宋体" w:hint="eastAsia"/>
                <w:szCs w:val="24"/>
                <w:lang w:eastAsia="zh-Hans"/>
              </w:rPr>
              <w:t>-</w:t>
            </w:r>
          </w:p>
        </w:tc>
      </w:tr>
      <w:tr w:rsidR="00920DE8" w14:paraId="4C0102A3" w14:textId="77777777">
        <w:trPr>
          <w:divId w:val="3299905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F3AEE1E" w14:textId="77777777" w:rsidR="005C2C0E" w:rsidRDefault="005C2C0E">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2CDC24E" w14:textId="77777777" w:rsidR="005C2C0E" w:rsidRDefault="005C2C0E">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AA3CFCD" w14:textId="77777777" w:rsidR="005C2C0E" w:rsidRDefault="005C2C0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967BE6B" w14:textId="77777777" w:rsidR="005C2C0E" w:rsidRDefault="005C2C0E">
            <w:pPr>
              <w:jc w:val="right"/>
            </w:pPr>
            <w:r>
              <w:rPr>
                <w:rFonts w:ascii="宋体" w:hAnsi="宋体" w:hint="eastAsia"/>
                <w:szCs w:val="24"/>
                <w:lang w:eastAsia="zh-Hans"/>
              </w:rPr>
              <w:t>-</w:t>
            </w:r>
          </w:p>
        </w:tc>
      </w:tr>
      <w:tr w:rsidR="00920DE8" w14:paraId="21037B21" w14:textId="77777777">
        <w:trPr>
          <w:divId w:val="3299905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DCEF30A" w14:textId="77777777" w:rsidR="005C2C0E" w:rsidRDefault="005C2C0E">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674EBFF1" w14:textId="77777777" w:rsidR="005C2C0E" w:rsidRDefault="005C2C0E">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3265D50" w14:textId="77777777" w:rsidR="005C2C0E" w:rsidRDefault="005C2C0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1D69AF6" w14:textId="77777777" w:rsidR="005C2C0E" w:rsidRDefault="005C2C0E">
            <w:pPr>
              <w:jc w:val="right"/>
            </w:pPr>
            <w:r>
              <w:rPr>
                <w:rFonts w:ascii="宋体" w:hAnsi="宋体" w:hint="eastAsia"/>
                <w:szCs w:val="24"/>
                <w:lang w:eastAsia="zh-Hans"/>
              </w:rPr>
              <w:t>-</w:t>
            </w:r>
          </w:p>
        </w:tc>
      </w:tr>
      <w:tr w:rsidR="00920DE8" w14:paraId="1BE1F9DD" w14:textId="77777777">
        <w:trPr>
          <w:divId w:val="3299905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D975777" w14:textId="77777777" w:rsidR="005C2C0E" w:rsidRDefault="005C2C0E">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52033CBB" w14:textId="77777777" w:rsidR="005C2C0E" w:rsidRDefault="005C2C0E">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13DBD3B" w14:textId="77777777" w:rsidR="005C2C0E" w:rsidRDefault="005C2C0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8915E79" w14:textId="77777777" w:rsidR="005C2C0E" w:rsidRDefault="005C2C0E">
            <w:pPr>
              <w:jc w:val="right"/>
            </w:pPr>
            <w:r>
              <w:rPr>
                <w:rFonts w:ascii="宋体" w:hAnsi="宋体" w:hint="eastAsia"/>
                <w:szCs w:val="24"/>
                <w:lang w:eastAsia="zh-Hans"/>
              </w:rPr>
              <w:t>-</w:t>
            </w:r>
          </w:p>
        </w:tc>
      </w:tr>
      <w:tr w:rsidR="00920DE8" w14:paraId="4645C1BB" w14:textId="77777777">
        <w:trPr>
          <w:divId w:val="3299905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73B45B6" w14:textId="77777777" w:rsidR="005C2C0E" w:rsidRDefault="005C2C0E">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47EE3A52" w14:textId="77777777" w:rsidR="005C2C0E" w:rsidRDefault="005C2C0E">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9404883" w14:textId="77777777" w:rsidR="005C2C0E" w:rsidRDefault="005C2C0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22A9292" w14:textId="77777777" w:rsidR="005C2C0E" w:rsidRDefault="005C2C0E">
            <w:pPr>
              <w:jc w:val="right"/>
            </w:pPr>
            <w:r>
              <w:rPr>
                <w:rFonts w:ascii="宋体" w:hAnsi="宋体" w:hint="eastAsia"/>
                <w:szCs w:val="24"/>
                <w:lang w:eastAsia="zh-Hans"/>
              </w:rPr>
              <w:t>-</w:t>
            </w:r>
          </w:p>
        </w:tc>
      </w:tr>
      <w:tr w:rsidR="00920DE8" w14:paraId="27F5E547" w14:textId="77777777">
        <w:trPr>
          <w:divId w:val="3299905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D2602D7" w14:textId="77777777" w:rsidR="005C2C0E" w:rsidRDefault="005C2C0E">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647DF21" w14:textId="77777777" w:rsidR="005C2C0E" w:rsidRDefault="005C2C0E">
            <w:pPr>
              <w:ind w:leftChars="50" w:left="105"/>
            </w:pPr>
            <w:r>
              <w:rPr>
                <w:rFonts w:ascii="宋体" w:hAnsi="宋体" w:hint="eastAsia"/>
                <w:color w:val="000000"/>
              </w:rPr>
              <w:t>其中：买断式回购的买入返售金融资</w:t>
            </w:r>
            <w:r>
              <w:rPr>
                <w:rFonts w:ascii="宋体" w:hAnsi="宋体" w:hint="eastAsia"/>
                <w:color w:val="000000"/>
              </w:rPr>
              <w:lastRenderedPageBreak/>
              <w:t>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E47B38D" w14:textId="77777777" w:rsidR="005C2C0E" w:rsidRDefault="005C2C0E">
            <w:pPr>
              <w:jc w:val="right"/>
            </w:pPr>
            <w:r>
              <w:rPr>
                <w:rFonts w:ascii="宋体" w:hAnsi="宋体" w:hint="eastAsia"/>
                <w:szCs w:val="24"/>
                <w:lang w:eastAsia="zh-Hans"/>
              </w:rPr>
              <w:lastRenderedPageBreak/>
              <w:t>-</w:t>
            </w:r>
          </w:p>
        </w:tc>
        <w:tc>
          <w:tcPr>
            <w:tcW w:w="1333" w:type="pct"/>
            <w:tcBorders>
              <w:top w:val="single" w:sz="4" w:space="0" w:color="auto"/>
              <w:left w:val="nil"/>
              <w:bottom w:val="single" w:sz="4" w:space="0" w:color="auto"/>
              <w:right w:val="single" w:sz="4" w:space="0" w:color="auto"/>
            </w:tcBorders>
            <w:vAlign w:val="center"/>
            <w:hideMark/>
          </w:tcPr>
          <w:p w14:paraId="1FC01BC4" w14:textId="77777777" w:rsidR="005C2C0E" w:rsidRDefault="005C2C0E">
            <w:pPr>
              <w:jc w:val="right"/>
            </w:pPr>
            <w:r>
              <w:rPr>
                <w:rFonts w:ascii="宋体" w:hAnsi="宋体" w:hint="eastAsia"/>
                <w:szCs w:val="24"/>
                <w:lang w:eastAsia="zh-Hans"/>
              </w:rPr>
              <w:t>-</w:t>
            </w:r>
          </w:p>
        </w:tc>
      </w:tr>
      <w:tr w:rsidR="00920DE8" w14:paraId="132A36AD" w14:textId="77777777">
        <w:trPr>
          <w:divId w:val="3299905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F699BAD" w14:textId="77777777" w:rsidR="005C2C0E" w:rsidRDefault="005C2C0E">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31860F3E" w14:textId="77777777" w:rsidR="005C2C0E" w:rsidRDefault="005C2C0E">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F039DBA" w14:textId="77777777" w:rsidR="005C2C0E" w:rsidRDefault="005C2C0E">
            <w:pPr>
              <w:jc w:val="right"/>
            </w:pPr>
            <w:r>
              <w:rPr>
                <w:rFonts w:ascii="宋体" w:hAnsi="宋体" w:hint="eastAsia"/>
                <w:szCs w:val="24"/>
                <w:lang w:eastAsia="zh-Hans"/>
              </w:rPr>
              <w:t>6,991,565.49</w:t>
            </w:r>
          </w:p>
        </w:tc>
        <w:tc>
          <w:tcPr>
            <w:tcW w:w="1333" w:type="pct"/>
            <w:tcBorders>
              <w:top w:val="single" w:sz="4" w:space="0" w:color="auto"/>
              <w:left w:val="nil"/>
              <w:bottom w:val="single" w:sz="4" w:space="0" w:color="auto"/>
              <w:right w:val="single" w:sz="4" w:space="0" w:color="auto"/>
            </w:tcBorders>
            <w:vAlign w:val="center"/>
            <w:hideMark/>
          </w:tcPr>
          <w:p w14:paraId="48C6F177" w14:textId="77777777" w:rsidR="005C2C0E" w:rsidRDefault="005C2C0E">
            <w:pPr>
              <w:jc w:val="right"/>
            </w:pPr>
            <w:r>
              <w:rPr>
                <w:rFonts w:ascii="宋体" w:hAnsi="宋体" w:hint="eastAsia"/>
                <w:szCs w:val="24"/>
                <w:lang w:eastAsia="zh-Hans"/>
              </w:rPr>
              <w:t>7.70</w:t>
            </w:r>
          </w:p>
        </w:tc>
      </w:tr>
      <w:tr w:rsidR="00920DE8" w14:paraId="290BF868" w14:textId="77777777">
        <w:trPr>
          <w:divId w:val="3299905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5805985" w14:textId="77777777" w:rsidR="005C2C0E" w:rsidRDefault="005C2C0E">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37F738E1" w14:textId="77777777" w:rsidR="005C2C0E" w:rsidRDefault="005C2C0E">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24DE95B" w14:textId="77777777" w:rsidR="005C2C0E" w:rsidRDefault="005C2C0E">
            <w:pPr>
              <w:jc w:val="right"/>
            </w:pPr>
            <w:r>
              <w:rPr>
                <w:rFonts w:ascii="宋体" w:hAnsi="宋体" w:hint="eastAsia"/>
                <w:szCs w:val="24"/>
                <w:lang w:eastAsia="zh-Hans"/>
              </w:rPr>
              <w:t>40,467.28</w:t>
            </w:r>
          </w:p>
        </w:tc>
        <w:tc>
          <w:tcPr>
            <w:tcW w:w="1333" w:type="pct"/>
            <w:tcBorders>
              <w:top w:val="single" w:sz="4" w:space="0" w:color="auto"/>
              <w:left w:val="nil"/>
              <w:bottom w:val="single" w:sz="4" w:space="0" w:color="auto"/>
              <w:right w:val="single" w:sz="4" w:space="0" w:color="auto"/>
            </w:tcBorders>
            <w:vAlign w:val="center"/>
            <w:hideMark/>
          </w:tcPr>
          <w:p w14:paraId="21FE04D4" w14:textId="77777777" w:rsidR="005C2C0E" w:rsidRDefault="005C2C0E">
            <w:pPr>
              <w:jc w:val="right"/>
            </w:pPr>
            <w:r>
              <w:rPr>
                <w:rFonts w:ascii="宋体" w:hAnsi="宋体" w:hint="eastAsia"/>
                <w:szCs w:val="24"/>
                <w:lang w:eastAsia="zh-Hans"/>
              </w:rPr>
              <w:t>0.04</w:t>
            </w:r>
          </w:p>
        </w:tc>
      </w:tr>
      <w:tr w:rsidR="00920DE8" w14:paraId="5239FBC7" w14:textId="77777777">
        <w:trPr>
          <w:divId w:val="32999053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B457AE2" w14:textId="77777777" w:rsidR="005C2C0E" w:rsidRDefault="005C2C0E">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4388066B" w14:textId="77777777" w:rsidR="005C2C0E" w:rsidRDefault="005C2C0E">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46B1A4D" w14:textId="77777777" w:rsidR="005C2C0E" w:rsidRDefault="005C2C0E">
            <w:pPr>
              <w:jc w:val="right"/>
            </w:pPr>
            <w:r>
              <w:rPr>
                <w:rFonts w:ascii="宋体" w:hAnsi="宋体" w:hint="eastAsia"/>
                <w:szCs w:val="24"/>
                <w:lang w:eastAsia="zh-Hans"/>
              </w:rPr>
              <w:t>90,852,739.94</w:t>
            </w:r>
          </w:p>
        </w:tc>
        <w:tc>
          <w:tcPr>
            <w:tcW w:w="1333" w:type="pct"/>
            <w:tcBorders>
              <w:top w:val="single" w:sz="4" w:space="0" w:color="auto"/>
              <w:left w:val="nil"/>
              <w:bottom w:val="single" w:sz="4" w:space="0" w:color="auto"/>
              <w:right w:val="single" w:sz="4" w:space="0" w:color="auto"/>
            </w:tcBorders>
            <w:vAlign w:val="center"/>
            <w:hideMark/>
          </w:tcPr>
          <w:p w14:paraId="2BDCD73D" w14:textId="77777777" w:rsidR="005C2C0E" w:rsidRDefault="005C2C0E">
            <w:pPr>
              <w:jc w:val="right"/>
            </w:pPr>
            <w:r>
              <w:rPr>
                <w:rFonts w:ascii="宋体" w:hAnsi="宋体" w:hint="eastAsia"/>
                <w:szCs w:val="24"/>
                <w:lang w:eastAsia="zh-Hans"/>
              </w:rPr>
              <w:t>100.00</w:t>
            </w:r>
          </w:p>
        </w:tc>
      </w:tr>
    </w:tbl>
    <w:p w14:paraId="157CD91D" w14:textId="77777777" w:rsidR="005C2C0E" w:rsidRDefault="005C2C0E">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71A1DC83" w14:textId="77777777" w:rsidR="005C2C0E" w:rsidRDefault="005C2C0E">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920DE8" w14:paraId="33226ACD" w14:textId="77777777">
        <w:trPr>
          <w:divId w:val="208735195"/>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9958985" w14:textId="77777777" w:rsidR="005C2C0E" w:rsidRDefault="005C2C0E">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28C99DF1" w14:textId="77777777" w:rsidR="005C2C0E" w:rsidRDefault="005C2C0E">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59BCEC3C" w14:textId="77777777" w:rsidR="005C2C0E" w:rsidRDefault="005C2C0E">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3FBF90CA" w14:textId="77777777" w:rsidR="005C2C0E" w:rsidRDefault="005C2C0E">
            <w:pPr>
              <w:jc w:val="center"/>
            </w:pPr>
            <w:r>
              <w:rPr>
                <w:rFonts w:ascii="宋体" w:hAnsi="宋体" w:hint="eastAsia"/>
                <w:color w:val="000000"/>
              </w:rPr>
              <w:t xml:space="preserve">占基金资产净值比例（%） </w:t>
            </w:r>
          </w:p>
        </w:tc>
      </w:tr>
      <w:tr w:rsidR="00920DE8" w14:paraId="60175D4B" w14:textId="77777777">
        <w:trPr>
          <w:divId w:val="20873519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A681702" w14:textId="77777777" w:rsidR="005C2C0E" w:rsidRDefault="005C2C0E">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6478E15" w14:textId="77777777" w:rsidR="005C2C0E" w:rsidRDefault="005C2C0E">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22273C0" w14:textId="77777777" w:rsidR="005C2C0E" w:rsidRDefault="005C2C0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EBF6877" w14:textId="77777777" w:rsidR="005C2C0E" w:rsidRDefault="005C2C0E">
            <w:pPr>
              <w:jc w:val="right"/>
            </w:pPr>
            <w:r>
              <w:rPr>
                <w:rFonts w:ascii="宋体" w:hAnsi="宋体" w:hint="eastAsia"/>
                <w:szCs w:val="24"/>
                <w:lang w:eastAsia="zh-Hans"/>
              </w:rPr>
              <w:t>-</w:t>
            </w:r>
          </w:p>
        </w:tc>
      </w:tr>
      <w:tr w:rsidR="00920DE8" w14:paraId="339EEABF" w14:textId="77777777">
        <w:trPr>
          <w:divId w:val="20873519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B62EBB2" w14:textId="77777777" w:rsidR="005C2C0E" w:rsidRDefault="005C2C0E">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CF9099F" w14:textId="77777777" w:rsidR="005C2C0E" w:rsidRDefault="005C2C0E">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8F2D947" w14:textId="77777777" w:rsidR="005C2C0E" w:rsidRDefault="005C2C0E">
            <w:pPr>
              <w:jc w:val="right"/>
            </w:pPr>
            <w:r>
              <w:rPr>
                <w:rFonts w:ascii="宋体" w:hAnsi="宋体" w:hint="eastAsia"/>
                <w:szCs w:val="24"/>
                <w:lang w:eastAsia="zh-Hans"/>
              </w:rPr>
              <w:t>3,585,246.00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7863B55" w14:textId="77777777" w:rsidR="005C2C0E" w:rsidRDefault="005C2C0E">
            <w:pPr>
              <w:jc w:val="right"/>
            </w:pPr>
            <w:r>
              <w:rPr>
                <w:rFonts w:ascii="宋体" w:hAnsi="宋体" w:hint="eastAsia"/>
                <w:szCs w:val="24"/>
                <w:lang w:eastAsia="zh-Hans"/>
              </w:rPr>
              <w:t>3.99</w:t>
            </w:r>
          </w:p>
        </w:tc>
      </w:tr>
      <w:tr w:rsidR="00920DE8" w14:paraId="294FB3EC" w14:textId="77777777">
        <w:trPr>
          <w:divId w:val="20873519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2A06412" w14:textId="77777777" w:rsidR="005C2C0E" w:rsidRDefault="005C2C0E">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E2BF9B5" w14:textId="77777777" w:rsidR="005C2C0E" w:rsidRDefault="005C2C0E">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8174F46" w14:textId="77777777" w:rsidR="005C2C0E" w:rsidRDefault="005C2C0E">
            <w:pPr>
              <w:jc w:val="right"/>
            </w:pPr>
            <w:r>
              <w:rPr>
                <w:rFonts w:ascii="宋体" w:hAnsi="宋体" w:hint="eastAsia"/>
                <w:szCs w:val="24"/>
                <w:lang w:eastAsia="zh-Hans"/>
              </w:rPr>
              <w:t>61,290,814.80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14904F3" w14:textId="77777777" w:rsidR="005C2C0E" w:rsidRDefault="005C2C0E">
            <w:pPr>
              <w:jc w:val="right"/>
            </w:pPr>
            <w:r>
              <w:rPr>
                <w:rFonts w:ascii="宋体" w:hAnsi="宋体" w:hint="eastAsia"/>
                <w:szCs w:val="24"/>
                <w:lang w:eastAsia="zh-Hans"/>
              </w:rPr>
              <w:t>68.25</w:t>
            </w:r>
          </w:p>
        </w:tc>
      </w:tr>
      <w:tr w:rsidR="00920DE8" w14:paraId="01AE17C8" w14:textId="77777777">
        <w:trPr>
          <w:divId w:val="20873519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1B62FCF" w14:textId="77777777" w:rsidR="005C2C0E" w:rsidRDefault="005C2C0E">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555188C" w14:textId="77777777" w:rsidR="005C2C0E" w:rsidRDefault="005C2C0E">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C9BB8E8" w14:textId="77777777" w:rsidR="005C2C0E" w:rsidRDefault="005C2C0E">
            <w:pPr>
              <w:jc w:val="right"/>
            </w:pPr>
            <w:r>
              <w:rPr>
                <w:rFonts w:ascii="宋体" w:hAnsi="宋体" w:hint="eastAsia"/>
                <w:szCs w:val="24"/>
                <w:lang w:eastAsia="zh-Hans"/>
              </w:rPr>
              <w:t>516,871.00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D117478" w14:textId="77777777" w:rsidR="005C2C0E" w:rsidRDefault="005C2C0E">
            <w:pPr>
              <w:jc w:val="right"/>
            </w:pPr>
            <w:r>
              <w:rPr>
                <w:rFonts w:ascii="宋体" w:hAnsi="宋体" w:hint="eastAsia"/>
                <w:szCs w:val="24"/>
                <w:lang w:eastAsia="zh-Hans"/>
              </w:rPr>
              <w:t>0.58</w:t>
            </w:r>
          </w:p>
        </w:tc>
      </w:tr>
      <w:tr w:rsidR="00920DE8" w14:paraId="2F443A4F" w14:textId="77777777">
        <w:trPr>
          <w:divId w:val="20873519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ED3149F" w14:textId="77777777" w:rsidR="005C2C0E" w:rsidRDefault="005C2C0E">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2CADDBF" w14:textId="77777777" w:rsidR="005C2C0E" w:rsidRDefault="005C2C0E">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BA9CBE4" w14:textId="77777777" w:rsidR="005C2C0E" w:rsidRDefault="005C2C0E">
            <w:pPr>
              <w:jc w:val="right"/>
            </w:pPr>
            <w:r>
              <w:rPr>
                <w:rFonts w:ascii="宋体" w:hAnsi="宋体" w:hint="eastAsia"/>
                <w:szCs w:val="24"/>
                <w:lang w:eastAsia="zh-Hans"/>
              </w:rPr>
              <w:t>1,321,059.00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BFFCC0F" w14:textId="77777777" w:rsidR="005C2C0E" w:rsidRDefault="005C2C0E">
            <w:pPr>
              <w:jc w:val="right"/>
            </w:pPr>
            <w:r>
              <w:rPr>
                <w:rFonts w:ascii="宋体" w:hAnsi="宋体" w:hint="eastAsia"/>
                <w:szCs w:val="24"/>
                <w:lang w:eastAsia="zh-Hans"/>
              </w:rPr>
              <w:t>1.47</w:t>
            </w:r>
          </w:p>
        </w:tc>
      </w:tr>
      <w:tr w:rsidR="00920DE8" w14:paraId="2BB3253F" w14:textId="77777777">
        <w:trPr>
          <w:divId w:val="20873519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77DC0E3" w14:textId="77777777" w:rsidR="005C2C0E" w:rsidRDefault="005C2C0E">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E5DBCA6" w14:textId="77777777" w:rsidR="005C2C0E" w:rsidRDefault="005C2C0E">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D1B13A1" w14:textId="77777777" w:rsidR="005C2C0E" w:rsidRDefault="005C2C0E">
            <w:pPr>
              <w:jc w:val="right"/>
            </w:pPr>
            <w:r>
              <w:rPr>
                <w:rFonts w:ascii="宋体" w:hAnsi="宋体" w:hint="eastAsia"/>
                <w:szCs w:val="24"/>
                <w:lang w:eastAsia="zh-Hans"/>
              </w:rPr>
              <w:t>213,064.00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2CCF3D6" w14:textId="77777777" w:rsidR="005C2C0E" w:rsidRDefault="005C2C0E">
            <w:pPr>
              <w:jc w:val="right"/>
            </w:pPr>
            <w:r>
              <w:rPr>
                <w:rFonts w:ascii="宋体" w:hAnsi="宋体" w:hint="eastAsia"/>
                <w:szCs w:val="24"/>
                <w:lang w:eastAsia="zh-Hans"/>
              </w:rPr>
              <w:t>0.24</w:t>
            </w:r>
          </w:p>
        </w:tc>
      </w:tr>
      <w:tr w:rsidR="00920DE8" w14:paraId="4A986F57" w14:textId="77777777">
        <w:trPr>
          <w:divId w:val="20873519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2A8A6D3" w14:textId="77777777" w:rsidR="005C2C0E" w:rsidRDefault="005C2C0E">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B14A452" w14:textId="77777777" w:rsidR="005C2C0E" w:rsidRDefault="005C2C0E">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1F0DC6C" w14:textId="77777777" w:rsidR="005C2C0E" w:rsidRDefault="005C2C0E">
            <w:pPr>
              <w:jc w:val="right"/>
            </w:pPr>
            <w:r>
              <w:rPr>
                <w:rFonts w:ascii="宋体" w:hAnsi="宋体" w:hint="eastAsia"/>
                <w:szCs w:val="24"/>
                <w:lang w:eastAsia="zh-Hans"/>
              </w:rPr>
              <w:t>413,109.00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044CDCF" w14:textId="77777777" w:rsidR="005C2C0E" w:rsidRDefault="005C2C0E">
            <w:pPr>
              <w:jc w:val="right"/>
            </w:pPr>
            <w:r>
              <w:rPr>
                <w:rFonts w:ascii="宋体" w:hAnsi="宋体" w:hint="eastAsia"/>
                <w:szCs w:val="24"/>
                <w:lang w:eastAsia="zh-Hans"/>
              </w:rPr>
              <w:t>0.46</w:t>
            </w:r>
          </w:p>
        </w:tc>
      </w:tr>
      <w:tr w:rsidR="00920DE8" w14:paraId="2214162B" w14:textId="77777777">
        <w:trPr>
          <w:divId w:val="20873519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4F44115" w14:textId="77777777" w:rsidR="005C2C0E" w:rsidRDefault="005C2C0E">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971B2B9" w14:textId="77777777" w:rsidR="005C2C0E" w:rsidRDefault="005C2C0E">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9E232DB" w14:textId="77777777" w:rsidR="005C2C0E" w:rsidRDefault="005C2C0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5C5D89E" w14:textId="77777777" w:rsidR="005C2C0E" w:rsidRDefault="005C2C0E">
            <w:pPr>
              <w:jc w:val="right"/>
            </w:pPr>
            <w:r>
              <w:rPr>
                <w:rFonts w:ascii="宋体" w:hAnsi="宋体" w:hint="eastAsia"/>
                <w:szCs w:val="24"/>
                <w:lang w:eastAsia="zh-Hans"/>
              </w:rPr>
              <w:t>-</w:t>
            </w:r>
          </w:p>
        </w:tc>
      </w:tr>
      <w:tr w:rsidR="00920DE8" w14:paraId="0A486FBE" w14:textId="77777777">
        <w:trPr>
          <w:divId w:val="20873519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7A33141" w14:textId="77777777" w:rsidR="005C2C0E" w:rsidRDefault="005C2C0E">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AA58F50" w14:textId="77777777" w:rsidR="005C2C0E" w:rsidRDefault="005C2C0E">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C77BDEA" w14:textId="77777777" w:rsidR="005C2C0E" w:rsidRDefault="005C2C0E">
            <w:pPr>
              <w:jc w:val="right"/>
            </w:pPr>
            <w:r>
              <w:rPr>
                <w:rFonts w:ascii="宋体" w:hAnsi="宋体" w:hint="eastAsia"/>
                <w:szCs w:val="24"/>
                <w:lang w:eastAsia="zh-Hans"/>
              </w:rPr>
              <w:t>10,767,187.37</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8BD8949" w14:textId="77777777" w:rsidR="005C2C0E" w:rsidRDefault="005C2C0E">
            <w:pPr>
              <w:jc w:val="right"/>
            </w:pPr>
            <w:r>
              <w:rPr>
                <w:rFonts w:ascii="宋体" w:hAnsi="宋体" w:hint="eastAsia"/>
                <w:szCs w:val="24"/>
                <w:lang w:eastAsia="zh-Hans"/>
              </w:rPr>
              <w:t>11.99</w:t>
            </w:r>
          </w:p>
        </w:tc>
      </w:tr>
      <w:tr w:rsidR="00920DE8" w14:paraId="1FCBB267" w14:textId="77777777">
        <w:trPr>
          <w:divId w:val="20873519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7F384AC" w14:textId="77777777" w:rsidR="005C2C0E" w:rsidRDefault="005C2C0E">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4357A3F" w14:textId="77777777" w:rsidR="005C2C0E" w:rsidRDefault="005C2C0E">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29FB2D4" w14:textId="77777777" w:rsidR="005C2C0E" w:rsidRDefault="005C2C0E">
            <w:pPr>
              <w:jc w:val="right"/>
            </w:pPr>
            <w:r>
              <w:rPr>
                <w:rFonts w:ascii="宋体" w:hAnsi="宋体" w:hint="eastAsia"/>
                <w:szCs w:val="24"/>
                <w:lang w:eastAsia="zh-Hans"/>
              </w:rPr>
              <w:t>2,044,380.00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39C573F" w14:textId="77777777" w:rsidR="005C2C0E" w:rsidRDefault="005C2C0E">
            <w:pPr>
              <w:jc w:val="right"/>
            </w:pPr>
            <w:r>
              <w:rPr>
                <w:rFonts w:ascii="宋体" w:hAnsi="宋体" w:hint="eastAsia"/>
                <w:szCs w:val="24"/>
                <w:lang w:eastAsia="zh-Hans"/>
              </w:rPr>
              <w:t>2.28</w:t>
            </w:r>
          </w:p>
        </w:tc>
      </w:tr>
      <w:tr w:rsidR="00920DE8" w14:paraId="2E9F3370" w14:textId="77777777">
        <w:trPr>
          <w:divId w:val="20873519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487DAD4" w14:textId="77777777" w:rsidR="005C2C0E" w:rsidRDefault="005C2C0E">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AE2E6CF" w14:textId="77777777" w:rsidR="005C2C0E" w:rsidRDefault="005C2C0E">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DBD6D56" w14:textId="77777777" w:rsidR="005C2C0E" w:rsidRDefault="005C2C0E">
            <w:pPr>
              <w:jc w:val="right"/>
            </w:pPr>
            <w:r>
              <w:rPr>
                <w:rFonts w:ascii="宋体" w:hAnsi="宋体" w:hint="eastAsia"/>
                <w:szCs w:val="24"/>
                <w:lang w:eastAsia="zh-Hans"/>
              </w:rPr>
              <w:t>1,014,917.00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71869C9" w14:textId="77777777" w:rsidR="005C2C0E" w:rsidRDefault="005C2C0E">
            <w:pPr>
              <w:jc w:val="right"/>
            </w:pPr>
            <w:r>
              <w:rPr>
                <w:rFonts w:ascii="宋体" w:hAnsi="宋体" w:hint="eastAsia"/>
                <w:szCs w:val="24"/>
                <w:lang w:eastAsia="zh-Hans"/>
              </w:rPr>
              <w:t>1.13</w:t>
            </w:r>
          </w:p>
        </w:tc>
      </w:tr>
      <w:tr w:rsidR="00920DE8" w14:paraId="7B2B6EBA" w14:textId="77777777">
        <w:trPr>
          <w:divId w:val="20873519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C852D59" w14:textId="77777777" w:rsidR="005C2C0E" w:rsidRDefault="005C2C0E">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C298B1F" w14:textId="77777777" w:rsidR="005C2C0E" w:rsidRDefault="005C2C0E">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0CAEB4C" w14:textId="77777777" w:rsidR="005C2C0E" w:rsidRDefault="005C2C0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3B17D93" w14:textId="77777777" w:rsidR="005C2C0E" w:rsidRDefault="005C2C0E">
            <w:pPr>
              <w:jc w:val="right"/>
            </w:pPr>
            <w:r>
              <w:rPr>
                <w:rFonts w:ascii="宋体" w:hAnsi="宋体" w:hint="eastAsia"/>
                <w:szCs w:val="24"/>
                <w:lang w:eastAsia="zh-Hans"/>
              </w:rPr>
              <w:t>-</w:t>
            </w:r>
          </w:p>
        </w:tc>
      </w:tr>
      <w:tr w:rsidR="00920DE8" w14:paraId="2E307EC8" w14:textId="77777777">
        <w:trPr>
          <w:divId w:val="20873519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C43DF5D" w14:textId="77777777" w:rsidR="005C2C0E" w:rsidRDefault="005C2C0E">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2DCCE1F" w14:textId="77777777" w:rsidR="005C2C0E" w:rsidRDefault="005C2C0E">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BDC6536" w14:textId="77777777" w:rsidR="005C2C0E" w:rsidRDefault="005C2C0E">
            <w:pPr>
              <w:jc w:val="right"/>
            </w:pPr>
            <w:r>
              <w:rPr>
                <w:rFonts w:ascii="宋体" w:hAnsi="宋体" w:hint="eastAsia"/>
                <w:szCs w:val="24"/>
                <w:lang w:eastAsia="zh-Hans"/>
              </w:rPr>
              <w:t>1,400,156.00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1239C4F" w14:textId="77777777" w:rsidR="005C2C0E" w:rsidRDefault="005C2C0E">
            <w:pPr>
              <w:jc w:val="right"/>
            </w:pPr>
            <w:r>
              <w:rPr>
                <w:rFonts w:ascii="宋体" w:hAnsi="宋体" w:hint="eastAsia"/>
                <w:szCs w:val="24"/>
                <w:lang w:eastAsia="zh-Hans"/>
              </w:rPr>
              <w:t>1.56</w:t>
            </w:r>
          </w:p>
        </w:tc>
      </w:tr>
      <w:tr w:rsidR="00920DE8" w14:paraId="52706901" w14:textId="77777777">
        <w:trPr>
          <w:divId w:val="20873519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57C90B5" w14:textId="77777777" w:rsidR="005C2C0E" w:rsidRDefault="005C2C0E">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6C81F42" w14:textId="77777777" w:rsidR="005C2C0E" w:rsidRDefault="005C2C0E">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66406F6" w14:textId="77777777" w:rsidR="005C2C0E" w:rsidRDefault="005C2C0E">
            <w:pPr>
              <w:jc w:val="right"/>
            </w:pPr>
            <w:r>
              <w:rPr>
                <w:rFonts w:ascii="宋体" w:hAnsi="宋体" w:hint="eastAsia"/>
                <w:szCs w:val="24"/>
                <w:lang w:eastAsia="zh-Hans"/>
              </w:rPr>
              <w:t>115,116.00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66BD8FE" w14:textId="77777777" w:rsidR="005C2C0E" w:rsidRDefault="005C2C0E">
            <w:pPr>
              <w:jc w:val="right"/>
            </w:pPr>
            <w:r>
              <w:rPr>
                <w:rFonts w:ascii="宋体" w:hAnsi="宋体" w:hint="eastAsia"/>
                <w:szCs w:val="24"/>
                <w:lang w:eastAsia="zh-Hans"/>
              </w:rPr>
              <w:t>0.13</w:t>
            </w:r>
          </w:p>
        </w:tc>
      </w:tr>
      <w:tr w:rsidR="00920DE8" w14:paraId="48EA213F" w14:textId="77777777">
        <w:trPr>
          <w:divId w:val="20873519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D79384F" w14:textId="77777777" w:rsidR="005C2C0E" w:rsidRDefault="005C2C0E">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E720C95" w14:textId="77777777" w:rsidR="005C2C0E" w:rsidRDefault="005C2C0E">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859A0D3" w14:textId="77777777" w:rsidR="005C2C0E" w:rsidRDefault="005C2C0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17B7953" w14:textId="77777777" w:rsidR="005C2C0E" w:rsidRDefault="005C2C0E">
            <w:pPr>
              <w:jc w:val="right"/>
            </w:pPr>
            <w:r>
              <w:rPr>
                <w:rFonts w:ascii="宋体" w:hAnsi="宋体" w:hint="eastAsia"/>
                <w:szCs w:val="24"/>
                <w:lang w:eastAsia="zh-Hans"/>
              </w:rPr>
              <w:t>-</w:t>
            </w:r>
          </w:p>
        </w:tc>
      </w:tr>
      <w:tr w:rsidR="00920DE8" w14:paraId="6C8BEC3D" w14:textId="77777777">
        <w:trPr>
          <w:divId w:val="20873519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90A3B49" w14:textId="77777777" w:rsidR="005C2C0E" w:rsidRDefault="005C2C0E">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89151B5" w14:textId="77777777" w:rsidR="005C2C0E" w:rsidRDefault="005C2C0E">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9F8860F" w14:textId="77777777" w:rsidR="005C2C0E" w:rsidRDefault="005C2C0E">
            <w:pPr>
              <w:jc w:val="right"/>
            </w:pPr>
            <w:r>
              <w:rPr>
                <w:rFonts w:ascii="宋体" w:hAnsi="宋体" w:hint="eastAsia"/>
                <w:szCs w:val="24"/>
                <w:lang w:eastAsia="zh-Hans"/>
              </w:rPr>
              <w:t>703,787.00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E3BF0A6" w14:textId="77777777" w:rsidR="005C2C0E" w:rsidRDefault="005C2C0E">
            <w:pPr>
              <w:jc w:val="right"/>
            </w:pPr>
            <w:r>
              <w:rPr>
                <w:rFonts w:ascii="宋体" w:hAnsi="宋体" w:hint="eastAsia"/>
                <w:szCs w:val="24"/>
                <w:lang w:eastAsia="zh-Hans"/>
              </w:rPr>
              <w:t>0.78</w:t>
            </w:r>
          </w:p>
        </w:tc>
      </w:tr>
      <w:tr w:rsidR="00920DE8" w14:paraId="16C4D70C" w14:textId="77777777">
        <w:trPr>
          <w:divId w:val="20873519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EF2DB7E" w14:textId="77777777" w:rsidR="005C2C0E" w:rsidRDefault="005C2C0E">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5DB4A03" w14:textId="77777777" w:rsidR="005C2C0E" w:rsidRDefault="005C2C0E">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8B33BBE" w14:textId="77777777" w:rsidR="005C2C0E" w:rsidRDefault="005C2C0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F07BC04" w14:textId="77777777" w:rsidR="005C2C0E" w:rsidRDefault="005C2C0E">
            <w:pPr>
              <w:jc w:val="right"/>
            </w:pPr>
            <w:r>
              <w:rPr>
                <w:rFonts w:ascii="宋体" w:hAnsi="宋体" w:hint="eastAsia"/>
                <w:szCs w:val="24"/>
                <w:lang w:eastAsia="zh-Hans"/>
              </w:rPr>
              <w:t>-</w:t>
            </w:r>
          </w:p>
        </w:tc>
      </w:tr>
      <w:tr w:rsidR="00920DE8" w14:paraId="2496FAC8" w14:textId="77777777">
        <w:trPr>
          <w:divId w:val="20873519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87AA8ED" w14:textId="77777777" w:rsidR="005C2C0E" w:rsidRDefault="005C2C0E">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4AF3D1A" w14:textId="77777777" w:rsidR="005C2C0E" w:rsidRDefault="005C2C0E">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1C7E058" w14:textId="77777777" w:rsidR="005C2C0E" w:rsidRDefault="005C2C0E">
            <w:pPr>
              <w:jc w:val="right"/>
            </w:pPr>
            <w:r>
              <w:rPr>
                <w:rFonts w:ascii="宋体" w:hAnsi="宋体" w:hint="eastAsia"/>
                <w:szCs w:val="24"/>
                <w:lang w:eastAsia="zh-Hans"/>
              </w:rPr>
              <w:t>435,000.00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BF657E7" w14:textId="77777777" w:rsidR="005C2C0E" w:rsidRDefault="005C2C0E">
            <w:pPr>
              <w:jc w:val="right"/>
            </w:pPr>
            <w:r>
              <w:rPr>
                <w:rFonts w:ascii="宋体" w:hAnsi="宋体" w:hint="eastAsia"/>
                <w:szCs w:val="24"/>
                <w:lang w:eastAsia="zh-Hans"/>
              </w:rPr>
              <w:t>0.48</w:t>
            </w:r>
          </w:p>
        </w:tc>
      </w:tr>
      <w:tr w:rsidR="00920DE8" w14:paraId="3107288C" w14:textId="77777777">
        <w:trPr>
          <w:divId w:val="20873519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F1F9788" w14:textId="77777777" w:rsidR="005C2C0E" w:rsidRDefault="005C2C0E">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A052430" w14:textId="77777777" w:rsidR="005C2C0E" w:rsidRDefault="005C2C0E">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249E882" w14:textId="77777777" w:rsidR="005C2C0E" w:rsidRDefault="005C2C0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8697700" w14:textId="77777777" w:rsidR="005C2C0E" w:rsidRDefault="005C2C0E">
            <w:pPr>
              <w:jc w:val="right"/>
            </w:pPr>
            <w:r>
              <w:rPr>
                <w:rFonts w:ascii="宋体" w:hAnsi="宋体" w:hint="eastAsia"/>
                <w:szCs w:val="24"/>
                <w:lang w:eastAsia="zh-Hans"/>
              </w:rPr>
              <w:t>-</w:t>
            </w:r>
          </w:p>
        </w:tc>
      </w:tr>
      <w:tr w:rsidR="00920DE8" w14:paraId="7791909C" w14:textId="77777777">
        <w:trPr>
          <w:divId w:val="20873519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AAB62C4" w14:textId="77777777" w:rsidR="005C2C0E" w:rsidRDefault="005C2C0E">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BF8E63A" w14:textId="77777777" w:rsidR="005C2C0E" w:rsidRDefault="005C2C0E">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6A4FDA3" w14:textId="77777777" w:rsidR="005C2C0E" w:rsidRDefault="005C2C0E">
            <w:pPr>
              <w:jc w:val="right"/>
            </w:pPr>
            <w:r>
              <w:rPr>
                <w:rFonts w:ascii="宋体" w:hAnsi="宋体" w:hint="eastAsia"/>
                <w:szCs w:val="24"/>
                <w:lang w:eastAsia="zh-Hans"/>
              </w:rPr>
              <w:t>83,820,707.17</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2A32363" w14:textId="77777777" w:rsidR="005C2C0E" w:rsidRDefault="005C2C0E">
            <w:pPr>
              <w:jc w:val="right"/>
            </w:pPr>
            <w:r>
              <w:rPr>
                <w:rFonts w:ascii="宋体" w:hAnsi="宋体" w:hint="eastAsia"/>
                <w:szCs w:val="24"/>
                <w:lang w:eastAsia="zh-Hans"/>
              </w:rPr>
              <w:t>93.34</w:t>
            </w:r>
          </w:p>
        </w:tc>
      </w:tr>
    </w:tbl>
    <w:p w14:paraId="2665B66C" w14:textId="77777777" w:rsidR="005C2C0E" w:rsidRDefault="005C2C0E">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2714098E" w14:textId="77777777" w:rsidR="005C2C0E" w:rsidRDefault="005C2C0E">
      <w:pPr>
        <w:spacing w:line="360" w:lineRule="auto"/>
        <w:ind w:firstLineChars="200" w:firstLine="420"/>
        <w:divId w:val="37902466"/>
      </w:pPr>
      <w:r>
        <w:rPr>
          <w:rFonts w:ascii="宋体" w:hAnsi="宋体" w:hint="eastAsia"/>
          <w:szCs w:val="21"/>
          <w:lang w:eastAsia="zh-Hans"/>
        </w:rPr>
        <w:t>本基金本报告期末未持有港股通股票　。</w:t>
      </w:r>
    </w:p>
    <w:p w14:paraId="46BF4887" w14:textId="77777777" w:rsidR="005C2C0E" w:rsidRDefault="005C2C0E">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334E48DF" w14:textId="77777777" w:rsidR="005C2C0E" w:rsidRDefault="005C2C0E">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920DE8" w14:paraId="40F0FDA4" w14:textId="77777777">
        <w:trPr>
          <w:divId w:val="213858337"/>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D4E6714" w14:textId="77777777" w:rsidR="005C2C0E" w:rsidRDefault="005C2C0E">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3D562D4" w14:textId="77777777" w:rsidR="005C2C0E" w:rsidRDefault="005C2C0E">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C3D1C75" w14:textId="77777777" w:rsidR="005C2C0E" w:rsidRDefault="005C2C0E">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F798C3E" w14:textId="77777777" w:rsidR="005C2C0E" w:rsidRDefault="005C2C0E">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5061B43" w14:textId="77777777" w:rsidR="005C2C0E" w:rsidRDefault="005C2C0E">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650B307" w14:textId="77777777" w:rsidR="005C2C0E" w:rsidRDefault="005C2C0E">
            <w:pPr>
              <w:jc w:val="center"/>
            </w:pPr>
            <w:r>
              <w:rPr>
                <w:rFonts w:ascii="宋体" w:hAnsi="宋体" w:hint="eastAsia"/>
                <w:color w:val="000000"/>
              </w:rPr>
              <w:t xml:space="preserve">占基金资产净值比例（%） </w:t>
            </w:r>
          </w:p>
        </w:tc>
      </w:tr>
      <w:tr w:rsidR="00920DE8" w14:paraId="17802780" w14:textId="77777777">
        <w:trPr>
          <w:divId w:val="21385833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3F5E35" w14:textId="77777777" w:rsidR="005C2C0E" w:rsidRDefault="005C2C0E">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0E0B18" w14:textId="77777777" w:rsidR="005C2C0E" w:rsidRDefault="005C2C0E">
            <w:pPr>
              <w:jc w:val="center"/>
            </w:pPr>
            <w:r>
              <w:rPr>
                <w:rFonts w:ascii="宋体" w:hAnsi="宋体" w:hint="eastAsia"/>
                <w:szCs w:val="24"/>
                <w:lang w:eastAsia="zh-Hans"/>
              </w:rPr>
              <w:t>600030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CC6AAA" w14:textId="77777777" w:rsidR="005C2C0E" w:rsidRDefault="005C2C0E">
            <w:pPr>
              <w:jc w:val="center"/>
            </w:pPr>
            <w:r>
              <w:rPr>
                <w:rFonts w:ascii="宋体" w:hAnsi="宋体" w:hint="eastAsia"/>
                <w:szCs w:val="24"/>
                <w:lang w:eastAsia="zh-Hans"/>
              </w:rPr>
              <w:t>中信证券</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24D885" w14:textId="77777777" w:rsidR="005C2C0E" w:rsidRDefault="005C2C0E">
            <w:pPr>
              <w:jc w:val="right"/>
            </w:pPr>
            <w:r>
              <w:rPr>
                <w:rFonts w:ascii="宋体" w:hAnsi="宋体" w:hint="eastAsia"/>
                <w:szCs w:val="24"/>
                <w:lang w:eastAsia="zh-Hans"/>
              </w:rPr>
              <w:t>52,400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933B35" w14:textId="77777777" w:rsidR="005C2C0E" w:rsidRDefault="005C2C0E">
            <w:pPr>
              <w:jc w:val="right"/>
            </w:pPr>
            <w:r>
              <w:rPr>
                <w:rFonts w:ascii="宋体" w:hAnsi="宋体" w:hint="eastAsia"/>
                <w:szCs w:val="24"/>
                <w:lang w:eastAsia="zh-Hans"/>
              </w:rPr>
              <w:t>1,504,404.00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5358BE" w14:textId="77777777" w:rsidR="005C2C0E" w:rsidRDefault="005C2C0E">
            <w:pPr>
              <w:jc w:val="right"/>
            </w:pPr>
            <w:r>
              <w:rPr>
                <w:rFonts w:ascii="宋体" w:hAnsi="宋体" w:hint="eastAsia"/>
                <w:szCs w:val="24"/>
                <w:lang w:eastAsia="zh-Hans"/>
              </w:rPr>
              <w:t>1.68</w:t>
            </w:r>
          </w:p>
        </w:tc>
      </w:tr>
      <w:tr w:rsidR="00920DE8" w14:paraId="4EE17D0B" w14:textId="77777777">
        <w:trPr>
          <w:divId w:val="21385833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780F00" w14:textId="77777777" w:rsidR="005C2C0E" w:rsidRDefault="005C2C0E">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E44100" w14:textId="77777777" w:rsidR="005C2C0E" w:rsidRDefault="005C2C0E">
            <w:pPr>
              <w:jc w:val="center"/>
            </w:pPr>
            <w:r>
              <w:rPr>
                <w:rFonts w:ascii="宋体" w:hAnsi="宋体" w:hint="eastAsia"/>
                <w:szCs w:val="24"/>
                <w:lang w:eastAsia="zh-Hans"/>
              </w:rPr>
              <w:t>301328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9E7A37" w14:textId="77777777" w:rsidR="005C2C0E" w:rsidRDefault="005C2C0E">
            <w:pPr>
              <w:jc w:val="center"/>
            </w:pPr>
            <w:r>
              <w:rPr>
                <w:rFonts w:ascii="宋体" w:hAnsi="宋体" w:hint="eastAsia"/>
                <w:szCs w:val="24"/>
                <w:lang w:eastAsia="zh-Hans"/>
              </w:rPr>
              <w:t>维峰电子</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C341F5" w14:textId="77777777" w:rsidR="005C2C0E" w:rsidRDefault="005C2C0E">
            <w:pPr>
              <w:jc w:val="right"/>
            </w:pPr>
            <w:r>
              <w:rPr>
                <w:rFonts w:ascii="宋体" w:hAnsi="宋体" w:hint="eastAsia"/>
                <w:szCs w:val="24"/>
                <w:lang w:eastAsia="zh-Hans"/>
              </w:rPr>
              <w:t>20,200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C633C3" w14:textId="77777777" w:rsidR="005C2C0E" w:rsidRDefault="005C2C0E">
            <w:pPr>
              <w:jc w:val="right"/>
            </w:pPr>
            <w:r>
              <w:rPr>
                <w:rFonts w:ascii="宋体" w:hAnsi="宋体" w:hint="eastAsia"/>
                <w:szCs w:val="24"/>
                <w:lang w:eastAsia="zh-Hans"/>
              </w:rPr>
              <w:t>960,914.00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BCAA63" w14:textId="77777777" w:rsidR="005C2C0E" w:rsidRDefault="005C2C0E">
            <w:pPr>
              <w:jc w:val="right"/>
            </w:pPr>
            <w:r>
              <w:rPr>
                <w:rFonts w:ascii="宋体" w:hAnsi="宋体" w:hint="eastAsia"/>
                <w:szCs w:val="24"/>
                <w:lang w:eastAsia="zh-Hans"/>
              </w:rPr>
              <w:t>1.07</w:t>
            </w:r>
          </w:p>
        </w:tc>
      </w:tr>
      <w:tr w:rsidR="00920DE8" w14:paraId="44BC67C5" w14:textId="77777777">
        <w:trPr>
          <w:divId w:val="21385833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86EA1C" w14:textId="77777777" w:rsidR="005C2C0E" w:rsidRDefault="005C2C0E">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D00937" w14:textId="77777777" w:rsidR="005C2C0E" w:rsidRDefault="005C2C0E">
            <w:pPr>
              <w:jc w:val="center"/>
            </w:pPr>
            <w:r>
              <w:rPr>
                <w:rFonts w:ascii="宋体" w:hAnsi="宋体" w:hint="eastAsia"/>
                <w:szCs w:val="24"/>
                <w:lang w:eastAsia="zh-Hans"/>
              </w:rPr>
              <w:t>603073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FE6309" w14:textId="77777777" w:rsidR="005C2C0E" w:rsidRDefault="005C2C0E">
            <w:pPr>
              <w:jc w:val="center"/>
            </w:pPr>
            <w:r>
              <w:rPr>
                <w:rFonts w:ascii="宋体" w:hAnsi="宋体" w:hint="eastAsia"/>
                <w:szCs w:val="24"/>
                <w:lang w:eastAsia="zh-Hans"/>
              </w:rPr>
              <w:t>彩蝶实业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2A4B3B" w14:textId="77777777" w:rsidR="005C2C0E" w:rsidRDefault="005C2C0E">
            <w:pPr>
              <w:jc w:val="right"/>
            </w:pPr>
            <w:r>
              <w:rPr>
                <w:rFonts w:ascii="宋体" w:hAnsi="宋体" w:hint="eastAsia"/>
                <w:szCs w:val="24"/>
                <w:lang w:eastAsia="zh-Hans"/>
              </w:rPr>
              <w:t>51,133</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94CCAF" w14:textId="77777777" w:rsidR="005C2C0E" w:rsidRDefault="005C2C0E">
            <w:pPr>
              <w:jc w:val="right"/>
            </w:pPr>
            <w:r>
              <w:rPr>
                <w:rFonts w:ascii="宋体" w:hAnsi="宋体" w:hint="eastAsia"/>
                <w:szCs w:val="24"/>
                <w:lang w:eastAsia="zh-Hans"/>
              </w:rPr>
              <w:t>960,789.07</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7D1C87" w14:textId="77777777" w:rsidR="005C2C0E" w:rsidRDefault="005C2C0E">
            <w:pPr>
              <w:jc w:val="right"/>
            </w:pPr>
            <w:r>
              <w:rPr>
                <w:rFonts w:ascii="宋体" w:hAnsi="宋体" w:hint="eastAsia"/>
                <w:szCs w:val="24"/>
                <w:lang w:eastAsia="zh-Hans"/>
              </w:rPr>
              <w:t>1.07</w:t>
            </w:r>
          </w:p>
        </w:tc>
      </w:tr>
      <w:tr w:rsidR="00920DE8" w14:paraId="5B585158" w14:textId="77777777">
        <w:trPr>
          <w:divId w:val="21385833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E5CCCF" w14:textId="77777777" w:rsidR="005C2C0E" w:rsidRDefault="005C2C0E">
            <w:pPr>
              <w:jc w:val="center"/>
            </w:pPr>
            <w:r>
              <w:rPr>
                <w:rFonts w:ascii="宋体" w:hAnsi="宋体" w:hint="eastAsia"/>
                <w:szCs w:val="24"/>
                <w:lang w:eastAsia="zh-Hans"/>
              </w:rPr>
              <w:lastRenderedPageBreak/>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EEC551" w14:textId="77777777" w:rsidR="005C2C0E" w:rsidRDefault="005C2C0E">
            <w:pPr>
              <w:jc w:val="center"/>
            </w:pPr>
            <w:r>
              <w:rPr>
                <w:rFonts w:ascii="宋体" w:hAnsi="宋体" w:hint="eastAsia"/>
                <w:szCs w:val="24"/>
                <w:lang w:eastAsia="zh-Hans"/>
              </w:rPr>
              <w:t>688355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147D08" w14:textId="77777777" w:rsidR="005C2C0E" w:rsidRDefault="005C2C0E">
            <w:pPr>
              <w:jc w:val="center"/>
            </w:pPr>
            <w:r>
              <w:rPr>
                <w:rFonts w:ascii="宋体" w:hAnsi="宋体" w:hint="eastAsia"/>
                <w:szCs w:val="24"/>
                <w:lang w:eastAsia="zh-Hans"/>
              </w:rPr>
              <w:t>明志科技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0D761F" w14:textId="77777777" w:rsidR="005C2C0E" w:rsidRDefault="005C2C0E">
            <w:pPr>
              <w:jc w:val="right"/>
            </w:pPr>
            <w:r>
              <w:rPr>
                <w:rFonts w:ascii="宋体" w:hAnsi="宋体" w:hint="eastAsia"/>
                <w:szCs w:val="24"/>
                <w:lang w:eastAsia="zh-Hans"/>
              </w:rPr>
              <w:t>53,800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79516A" w14:textId="77777777" w:rsidR="005C2C0E" w:rsidRDefault="005C2C0E">
            <w:pPr>
              <w:jc w:val="right"/>
            </w:pPr>
            <w:r>
              <w:rPr>
                <w:rFonts w:ascii="宋体" w:hAnsi="宋体" w:hint="eastAsia"/>
                <w:szCs w:val="24"/>
                <w:lang w:eastAsia="zh-Hans"/>
              </w:rPr>
              <w:t>957,640.00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35144B" w14:textId="77777777" w:rsidR="005C2C0E" w:rsidRDefault="005C2C0E">
            <w:pPr>
              <w:jc w:val="right"/>
            </w:pPr>
            <w:r>
              <w:rPr>
                <w:rFonts w:ascii="宋体" w:hAnsi="宋体" w:hint="eastAsia"/>
                <w:szCs w:val="24"/>
                <w:lang w:eastAsia="zh-Hans"/>
              </w:rPr>
              <w:t>1.07</w:t>
            </w:r>
          </w:p>
        </w:tc>
      </w:tr>
      <w:tr w:rsidR="00920DE8" w14:paraId="0F55A036" w14:textId="77777777">
        <w:trPr>
          <w:divId w:val="21385833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357D79" w14:textId="77777777" w:rsidR="005C2C0E" w:rsidRDefault="005C2C0E">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1B895D" w14:textId="77777777" w:rsidR="005C2C0E" w:rsidRDefault="005C2C0E">
            <w:pPr>
              <w:jc w:val="center"/>
            </w:pPr>
            <w:r>
              <w:rPr>
                <w:rFonts w:ascii="宋体" w:hAnsi="宋体" w:hint="eastAsia"/>
                <w:szCs w:val="24"/>
                <w:lang w:eastAsia="zh-Hans"/>
              </w:rPr>
              <w:t>688616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7178AC" w14:textId="77777777" w:rsidR="005C2C0E" w:rsidRDefault="005C2C0E">
            <w:pPr>
              <w:jc w:val="center"/>
            </w:pPr>
            <w:r>
              <w:rPr>
                <w:rFonts w:ascii="宋体" w:hAnsi="宋体" w:hint="eastAsia"/>
                <w:szCs w:val="24"/>
                <w:lang w:eastAsia="zh-Hans"/>
              </w:rPr>
              <w:t>西力科技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2F27B0" w14:textId="77777777" w:rsidR="005C2C0E" w:rsidRDefault="005C2C0E">
            <w:pPr>
              <w:jc w:val="right"/>
            </w:pPr>
            <w:r>
              <w:rPr>
                <w:rFonts w:ascii="宋体" w:hAnsi="宋体" w:hint="eastAsia"/>
                <w:szCs w:val="24"/>
                <w:lang w:eastAsia="zh-Hans"/>
              </w:rPr>
              <w:t>70,700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12768A" w14:textId="77777777" w:rsidR="005C2C0E" w:rsidRDefault="005C2C0E">
            <w:pPr>
              <w:jc w:val="right"/>
            </w:pPr>
            <w:r>
              <w:rPr>
                <w:rFonts w:ascii="宋体" w:hAnsi="宋体" w:hint="eastAsia"/>
                <w:szCs w:val="24"/>
                <w:lang w:eastAsia="zh-Hans"/>
              </w:rPr>
              <w:t>864,661.00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5A3951" w14:textId="77777777" w:rsidR="005C2C0E" w:rsidRDefault="005C2C0E">
            <w:pPr>
              <w:jc w:val="right"/>
            </w:pPr>
            <w:r>
              <w:rPr>
                <w:rFonts w:ascii="宋体" w:hAnsi="宋体" w:hint="eastAsia"/>
                <w:szCs w:val="24"/>
                <w:lang w:eastAsia="zh-Hans"/>
              </w:rPr>
              <w:t>0.96</w:t>
            </w:r>
          </w:p>
        </w:tc>
      </w:tr>
      <w:tr w:rsidR="00920DE8" w14:paraId="6A38FE84" w14:textId="77777777">
        <w:trPr>
          <w:divId w:val="21385833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EFEB8A" w14:textId="77777777" w:rsidR="005C2C0E" w:rsidRDefault="005C2C0E">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2C089E" w14:textId="77777777" w:rsidR="005C2C0E" w:rsidRDefault="005C2C0E">
            <w:pPr>
              <w:jc w:val="center"/>
            </w:pPr>
            <w:r>
              <w:rPr>
                <w:rFonts w:ascii="宋体" w:hAnsi="宋体" w:hint="eastAsia"/>
                <w:szCs w:val="24"/>
                <w:lang w:eastAsia="zh-Hans"/>
              </w:rPr>
              <w:t>600768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535610" w14:textId="77777777" w:rsidR="005C2C0E" w:rsidRDefault="005C2C0E">
            <w:pPr>
              <w:jc w:val="center"/>
            </w:pPr>
            <w:r>
              <w:rPr>
                <w:rFonts w:ascii="宋体" w:hAnsi="宋体" w:hint="eastAsia"/>
                <w:szCs w:val="24"/>
                <w:lang w:eastAsia="zh-Hans"/>
              </w:rPr>
              <w:t>宁波富邦</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197449" w14:textId="77777777" w:rsidR="005C2C0E" w:rsidRDefault="005C2C0E">
            <w:pPr>
              <w:jc w:val="right"/>
            </w:pPr>
            <w:r>
              <w:rPr>
                <w:rFonts w:ascii="宋体" w:hAnsi="宋体" w:hint="eastAsia"/>
                <w:szCs w:val="24"/>
                <w:lang w:eastAsia="zh-Hans"/>
              </w:rPr>
              <w:t>60,800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8EF181" w14:textId="77777777" w:rsidR="005C2C0E" w:rsidRDefault="005C2C0E">
            <w:pPr>
              <w:jc w:val="right"/>
            </w:pPr>
            <w:r>
              <w:rPr>
                <w:rFonts w:ascii="宋体" w:hAnsi="宋体" w:hint="eastAsia"/>
                <w:szCs w:val="24"/>
                <w:lang w:eastAsia="zh-Hans"/>
              </w:rPr>
              <w:t>851,200.00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D3CBAA" w14:textId="77777777" w:rsidR="005C2C0E" w:rsidRDefault="005C2C0E">
            <w:pPr>
              <w:jc w:val="right"/>
            </w:pPr>
            <w:r>
              <w:rPr>
                <w:rFonts w:ascii="宋体" w:hAnsi="宋体" w:hint="eastAsia"/>
                <w:szCs w:val="24"/>
                <w:lang w:eastAsia="zh-Hans"/>
              </w:rPr>
              <w:t>0.95</w:t>
            </w:r>
          </w:p>
        </w:tc>
      </w:tr>
      <w:tr w:rsidR="00920DE8" w14:paraId="6672E390" w14:textId="77777777">
        <w:trPr>
          <w:divId w:val="21385833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88EBEA" w14:textId="77777777" w:rsidR="005C2C0E" w:rsidRDefault="005C2C0E">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CF414E" w14:textId="77777777" w:rsidR="005C2C0E" w:rsidRDefault="005C2C0E">
            <w:pPr>
              <w:jc w:val="center"/>
            </w:pPr>
            <w:r>
              <w:rPr>
                <w:rFonts w:ascii="宋体" w:hAnsi="宋体" w:hint="eastAsia"/>
                <w:szCs w:val="24"/>
                <w:lang w:eastAsia="zh-Hans"/>
              </w:rPr>
              <w:t>688681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092A40" w14:textId="77777777" w:rsidR="005C2C0E" w:rsidRDefault="005C2C0E">
            <w:pPr>
              <w:jc w:val="center"/>
            </w:pPr>
            <w:r>
              <w:rPr>
                <w:rFonts w:ascii="宋体" w:hAnsi="宋体" w:hint="eastAsia"/>
                <w:szCs w:val="24"/>
                <w:lang w:eastAsia="zh-Hans"/>
              </w:rPr>
              <w:t>科汇股份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A695B7" w14:textId="77777777" w:rsidR="005C2C0E" w:rsidRDefault="005C2C0E">
            <w:pPr>
              <w:jc w:val="right"/>
            </w:pPr>
            <w:r>
              <w:rPr>
                <w:rFonts w:ascii="宋体" w:hAnsi="宋体" w:hint="eastAsia"/>
                <w:szCs w:val="24"/>
                <w:lang w:eastAsia="zh-Hans"/>
              </w:rPr>
              <w:t>48,200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CA7DB9" w14:textId="77777777" w:rsidR="005C2C0E" w:rsidRDefault="005C2C0E">
            <w:pPr>
              <w:jc w:val="right"/>
            </w:pPr>
            <w:r>
              <w:rPr>
                <w:rFonts w:ascii="宋体" w:hAnsi="宋体" w:hint="eastAsia"/>
                <w:szCs w:val="24"/>
                <w:lang w:eastAsia="zh-Hans"/>
              </w:rPr>
              <w:t>847,356.00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45FFCB" w14:textId="77777777" w:rsidR="005C2C0E" w:rsidRDefault="005C2C0E">
            <w:pPr>
              <w:jc w:val="right"/>
            </w:pPr>
            <w:r>
              <w:rPr>
                <w:rFonts w:ascii="宋体" w:hAnsi="宋体" w:hint="eastAsia"/>
                <w:szCs w:val="24"/>
                <w:lang w:eastAsia="zh-Hans"/>
              </w:rPr>
              <w:t>0.94</w:t>
            </w:r>
          </w:p>
        </w:tc>
      </w:tr>
      <w:tr w:rsidR="00920DE8" w14:paraId="630949DC" w14:textId="77777777">
        <w:trPr>
          <w:divId w:val="21385833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90FCD4" w14:textId="77777777" w:rsidR="005C2C0E" w:rsidRDefault="005C2C0E">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4031F9" w14:textId="77777777" w:rsidR="005C2C0E" w:rsidRDefault="005C2C0E">
            <w:pPr>
              <w:jc w:val="center"/>
            </w:pPr>
            <w:r>
              <w:rPr>
                <w:rFonts w:ascii="宋体" w:hAnsi="宋体" w:hint="eastAsia"/>
                <w:szCs w:val="24"/>
                <w:lang w:eastAsia="zh-Hans"/>
              </w:rPr>
              <w:t>300823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C9F8F1" w14:textId="77777777" w:rsidR="005C2C0E" w:rsidRDefault="005C2C0E">
            <w:pPr>
              <w:jc w:val="center"/>
            </w:pPr>
            <w:r>
              <w:rPr>
                <w:rFonts w:ascii="宋体" w:hAnsi="宋体" w:hint="eastAsia"/>
                <w:szCs w:val="24"/>
                <w:lang w:eastAsia="zh-Hans"/>
              </w:rPr>
              <w:t>建科智能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602D70" w14:textId="77777777" w:rsidR="005C2C0E" w:rsidRDefault="005C2C0E">
            <w:pPr>
              <w:jc w:val="right"/>
            </w:pPr>
            <w:r>
              <w:rPr>
                <w:rFonts w:ascii="宋体" w:hAnsi="宋体" w:hint="eastAsia"/>
                <w:szCs w:val="24"/>
                <w:lang w:eastAsia="zh-Hans"/>
              </w:rPr>
              <w:t>53,000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BBED24" w14:textId="77777777" w:rsidR="005C2C0E" w:rsidRDefault="005C2C0E">
            <w:pPr>
              <w:jc w:val="right"/>
            </w:pPr>
            <w:r>
              <w:rPr>
                <w:rFonts w:ascii="宋体" w:hAnsi="宋体" w:hint="eastAsia"/>
                <w:szCs w:val="24"/>
                <w:lang w:eastAsia="zh-Hans"/>
              </w:rPr>
              <w:t>827,860.00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85548C" w14:textId="77777777" w:rsidR="005C2C0E" w:rsidRDefault="005C2C0E">
            <w:pPr>
              <w:jc w:val="right"/>
            </w:pPr>
            <w:r>
              <w:rPr>
                <w:rFonts w:ascii="宋体" w:hAnsi="宋体" w:hint="eastAsia"/>
                <w:szCs w:val="24"/>
                <w:lang w:eastAsia="zh-Hans"/>
              </w:rPr>
              <w:t>0.92</w:t>
            </w:r>
          </w:p>
        </w:tc>
      </w:tr>
      <w:tr w:rsidR="00920DE8" w14:paraId="5914C9AF" w14:textId="77777777">
        <w:trPr>
          <w:divId w:val="21385833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63764D" w14:textId="77777777" w:rsidR="005C2C0E" w:rsidRDefault="005C2C0E">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BE7210" w14:textId="77777777" w:rsidR="005C2C0E" w:rsidRDefault="005C2C0E">
            <w:pPr>
              <w:jc w:val="center"/>
            </w:pPr>
            <w:r>
              <w:rPr>
                <w:rFonts w:ascii="宋体" w:hAnsi="宋体" w:hint="eastAsia"/>
                <w:szCs w:val="24"/>
                <w:lang w:eastAsia="zh-Hans"/>
              </w:rPr>
              <w:t>688328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2AC707" w14:textId="77777777" w:rsidR="005C2C0E" w:rsidRDefault="005C2C0E">
            <w:pPr>
              <w:jc w:val="center"/>
            </w:pPr>
            <w:r>
              <w:rPr>
                <w:rFonts w:ascii="宋体" w:hAnsi="宋体" w:hint="eastAsia"/>
                <w:szCs w:val="24"/>
                <w:lang w:eastAsia="zh-Hans"/>
              </w:rPr>
              <w:t>深科达</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220AA5" w14:textId="77777777" w:rsidR="005C2C0E" w:rsidRDefault="005C2C0E">
            <w:pPr>
              <w:jc w:val="right"/>
            </w:pPr>
            <w:r>
              <w:rPr>
                <w:rFonts w:ascii="宋体" w:hAnsi="宋体" w:hint="eastAsia"/>
                <w:szCs w:val="24"/>
                <w:lang w:eastAsia="zh-Hans"/>
              </w:rPr>
              <w:t>28,300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FF3123" w14:textId="77777777" w:rsidR="005C2C0E" w:rsidRDefault="005C2C0E">
            <w:pPr>
              <w:jc w:val="right"/>
            </w:pPr>
            <w:r>
              <w:rPr>
                <w:rFonts w:ascii="宋体" w:hAnsi="宋体" w:hint="eastAsia"/>
                <w:szCs w:val="24"/>
                <w:lang w:eastAsia="zh-Hans"/>
              </w:rPr>
              <w:t>825,794.00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0CD358" w14:textId="77777777" w:rsidR="005C2C0E" w:rsidRDefault="005C2C0E">
            <w:pPr>
              <w:jc w:val="right"/>
            </w:pPr>
            <w:r>
              <w:rPr>
                <w:rFonts w:ascii="宋体" w:hAnsi="宋体" w:hint="eastAsia"/>
                <w:szCs w:val="24"/>
                <w:lang w:eastAsia="zh-Hans"/>
              </w:rPr>
              <w:t>0.92</w:t>
            </w:r>
          </w:p>
        </w:tc>
      </w:tr>
      <w:tr w:rsidR="00920DE8" w14:paraId="6D1B9202" w14:textId="77777777">
        <w:trPr>
          <w:divId w:val="21385833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8A1C03" w14:textId="77777777" w:rsidR="005C2C0E" w:rsidRDefault="005C2C0E">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6165FA" w14:textId="77777777" w:rsidR="005C2C0E" w:rsidRDefault="005C2C0E">
            <w:pPr>
              <w:jc w:val="center"/>
            </w:pPr>
            <w:r>
              <w:rPr>
                <w:rFonts w:ascii="宋体" w:hAnsi="宋体" w:hint="eastAsia"/>
                <w:szCs w:val="24"/>
                <w:lang w:eastAsia="zh-Hans"/>
              </w:rPr>
              <w:t>688067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91D4DA" w14:textId="77777777" w:rsidR="005C2C0E" w:rsidRDefault="005C2C0E">
            <w:pPr>
              <w:jc w:val="center"/>
            </w:pPr>
            <w:r>
              <w:rPr>
                <w:rFonts w:ascii="宋体" w:hAnsi="宋体" w:hint="eastAsia"/>
                <w:szCs w:val="24"/>
                <w:lang w:eastAsia="zh-Hans"/>
              </w:rPr>
              <w:t>爱威科技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9F8F68" w14:textId="77777777" w:rsidR="005C2C0E" w:rsidRDefault="005C2C0E">
            <w:pPr>
              <w:jc w:val="right"/>
            </w:pPr>
            <w:r>
              <w:rPr>
                <w:rFonts w:ascii="宋体" w:hAnsi="宋体" w:hint="eastAsia"/>
                <w:szCs w:val="24"/>
                <w:lang w:eastAsia="zh-Hans"/>
              </w:rPr>
              <w:t>32,400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4D44F3" w14:textId="77777777" w:rsidR="005C2C0E" w:rsidRDefault="005C2C0E">
            <w:pPr>
              <w:jc w:val="right"/>
            </w:pPr>
            <w:r>
              <w:rPr>
                <w:rFonts w:ascii="宋体" w:hAnsi="宋体" w:hint="eastAsia"/>
                <w:szCs w:val="24"/>
                <w:lang w:eastAsia="zh-Hans"/>
              </w:rPr>
              <w:t>795,744.00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5AF2A5" w14:textId="77777777" w:rsidR="005C2C0E" w:rsidRDefault="005C2C0E">
            <w:pPr>
              <w:jc w:val="right"/>
            </w:pPr>
            <w:r>
              <w:rPr>
                <w:rFonts w:ascii="宋体" w:hAnsi="宋体" w:hint="eastAsia"/>
                <w:szCs w:val="24"/>
                <w:lang w:eastAsia="zh-Hans"/>
              </w:rPr>
              <w:t>0.89</w:t>
            </w:r>
          </w:p>
        </w:tc>
      </w:tr>
    </w:tbl>
    <w:p w14:paraId="55BD5069" w14:textId="77777777" w:rsidR="005C2C0E" w:rsidRDefault="005C2C0E">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p w14:paraId="5AC2A562" w14:textId="77777777" w:rsidR="005C2C0E" w:rsidRDefault="005C2C0E">
      <w:pPr>
        <w:spacing w:line="360" w:lineRule="auto"/>
        <w:ind w:firstLineChars="200" w:firstLine="420"/>
        <w:jc w:val="left"/>
      </w:pPr>
      <w:r>
        <w:rPr>
          <w:rFonts w:ascii="宋体" w:hAnsi="宋体" w:hint="eastAsia"/>
        </w:rPr>
        <w:t>本基金本报告期末未持有债券。</w:t>
      </w:r>
      <w:bookmarkStart w:id="205" w:name="m08QD_06"/>
      <w:bookmarkEnd w:id="205"/>
      <w:r>
        <w:rPr>
          <w:rFonts w:ascii="宋体" w:hAnsi="宋体" w:hint="eastAsia"/>
        </w:rPr>
        <w:t xml:space="preserve"> </w:t>
      </w:r>
    </w:p>
    <w:p w14:paraId="784F8740" w14:textId="77777777" w:rsidR="005C2C0E" w:rsidRDefault="005C2C0E">
      <w:pPr>
        <w:pStyle w:val="XBRLTitle2"/>
        <w:spacing w:before="156" w:line="360" w:lineRule="auto"/>
        <w:ind w:left="454"/>
      </w:pPr>
      <w:bookmarkStart w:id="206" w:name="_Toc17898202"/>
      <w:bookmarkStart w:id="207" w:name="_Toc17897954"/>
      <w:bookmarkStart w:id="208" w:name="_Toc481075071"/>
      <w:bookmarkStart w:id="209" w:name="_Toc438646472"/>
      <w:bookmarkStart w:id="210" w:name="_Toc490050024"/>
      <w:bookmarkStart w:id="211" w:name="_Toc512519503"/>
      <w:bookmarkStart w:id="212" w:name="_Toc513295863"/>
      <w:bookmarkStart w:id="213" w:name="_Toc513295915"/>
      <w:bookmarkStart w:id="214" w:name="m506"/>
      <w:bookmarkEnd w:id="204"/>
      <w:proofErr w:type="spellStart"/>
      <w:r>
        <w:rPr>
          <w:rFonts w:hAnsi="宋体" w:hint="eastAsia"/>
        </w:rPr>
        <w:t>报告期末按公允价值占基金资产净值比例大小排序的前五名债券投资明细</w:t>
      </w:r>
      <w:bookmarkEnd w:id="206"/>
      <w:bookmarkEnd w:id="207"/>
      <w:bookmarkEnd w:id="208"/>
      <w:bookmarkEnd w:id="209"/>
      <w:bookmarkEnd w:id="210"/>
      <w:bookmarkEnd w:id="211"/>
      <w:bookmarkEnd w:id="212"/>
      <w:bookmarkEnd w:id="213"/>
      <w:proofErr w:type="spellEnd"/>
      <w:r>
        <w:rPr>
          <w:rFonts w:hAnsi="宋体" w:hint="eastAsia"/>
        </w:rPr>
        <w:t xml:space="preserve"> </w:t>
      </w:r>
    </w:p>
    <w:p w14:paraId="1E049C9C" w14:textId="77777777" w:rsidR="005C2C0E" w:rsidRDefault="005C2C0E">
      <w:pPr>
        <w:spacing w:line="360" w:lineRule="auto"/>
        <w:ind w:firstLineChars="200" w:firstLine="420"/>
        <w:jc w:val="left"/>
      </w:pPr>
      <w:r>
        <w:rPr>
          <w:rFonts w:ascii="宋体" w:hAnsi="宋体" w:hint="eastAsia"/>
          <w:color w:val="000000"/>
          <w:szCs w:val="21"/>
          <w:lang w:eastAsia="zh-Hans"/>
        </w:rPr>
        <w:t>本基金本报告期末未持有债券。</w:t>
      </w:r>
    </w:p>
    <w:p w14:paraId="31F8D7FA" w14:textId="77777777" w:rsidR="005C2C0E" w:rsidRDefault="005C2C0E">
      <w:pPr>
        <w:pStyle w:val="XBRLTitle2"/>
        <w:spacing w:before="156" w:line="360" w:lineRule="auto"/>
        <w:ind w:left="454"/>
      </w:pPr>
      <w:bookmarkStart w:id="215" w:name="_Toc17898203"/>
      <w:bookmarkStart w:id="216" w:name="_Toc17897955"/>
      <w:bookmarkStart w:id="217" w:name="_Toc481075072"/>
      <w:bookmarkStart w:id="218" w:name="_Toc438646473"/>
      <w:bookmarkStart w:id="219" w:name="_Toc490050025"/>
      <w:bookmarkStart w:id="220" w:name="_Toc512519504"/>
      <w:bookmarkStart w:id="221" w:name="_Toc513295864"/>
      <w:bookmarkStart w:id="222" w:name="_Toc513295916"/>
      <w:bookmarkStart w:id="223" w:name="m507"/>
      <w:bookmarkEnd w:id="214"/>
      <w:proofErr w:type="spellStart"/>
      <w:r>
        <w:rPr>
          <w:rFonts w:hAnsi="宋体" w:hint="eastAsia"/>
        </w:rPr>
        <w:t>报告期末按公允价值占基金资产净值比例大小排序的前十名资产支持证券投资明细</w:t>
      </w:r>
      <w:bookmarkEnd w:id="215"/>
      <w:bookmarkEnd w:id="216"/>
      <w:bookmarkEnd w:id="217"/>
      <w:bookmarkEnd w:id="218"/>
      <w:bookmarkEnd w:id="219"/>
      <w:bookmarkEnd w:id="220"/>
      <w:bookmarkEnd w:id="221"/>
      <w:bookmarkEnd w:id="222"/>
      <w:proofErr w:type="spellEnd"/>
      <w:r>
        <w:rPr>
          <w:rFonts w:hAnsi="宋体" w:hint="eastAsia"/>
        </w:rPr>
        <w:t xml:space="preserve"> </w:t>
      </w:r>
    </w:p>
    <w:p w14:paraId="32825A5A" w14:textId="77777777" w:rsidR="005C2C0E" w:rsidRDefault="005C2C0E">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4DD101F1" w14:textId="77777777" w:rsidR="005C2C0E" w:rsidRDefault="005C2C0E">
      <w:pPr>
        <w:pStyle w:val="XBRLTitle2"/>
        <w:spacing w:before="156" w:line="360" w:lineRule="auto"/>
        <w:ind w:left="454"/>
      </w:pPr>
      <w:bookmarkStart w:id="224" w:name="_Toc17898204"/>
      <w:bookmarkStart w:id="225" w:name="_Toc17897956"/>
      <w:bookmarkStart w:id="226" w:name="_Toc481075073"/>
      <w:bookmarkStart w:id="227" w:name="_Toc438646474"/>
      <w:bookmarkStart w:id="228" w:name="_Toc490050026"/>
      <w:bookmarkStart w:id="229" w:name="_Toc512519505"/>
      <w:bookmarkStart w:id="230" w:name="_Toc513295865"/>
      <w:bookmarkStart w:id="231" w:name="_Toc513295917"/>
      <w:bookmarkStart w:id="232" w:name="m508"/>
      <w:bookmarkEnd w:id="223"/>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4"/>
      <w:bookmarkEnd w:id="225"/>
      <w:bookmarkEnd w:id="226"/>
      <w:bookmarkEnd w:id="227"/>
      <w:bookmarkEnd w:id="228"/>
      <w:bookmarkEnd w:id="229"/>
      <w:bookmarkEnd w:id="230"/>
      <w:bookmarkEnd w:id="231"/>
      <w:proofErr w:type="spellEnd"/>
      <w:r>
        <w:rPr>
          <w:rFonts w:hAnsi="宋体" w:hint="eastAsia"/>
        </w:rPr>
        <w:t xml:space="preserve"> </w:t>
      </w:r>
    </w:p>
    <w:p w14:paraId="66444CD2" w14:textId="77777777" w:rsidR="005C2C0E" w:rsidRDefault="005C2C0E">
      <w:pPr>
        <w:spacing w:line="360" w:lineRule="auto"/>
        <w:ind w:firstLineChars="200" w:firstLine="420"/>
        <w:divId w:val="1538661918"/>
      </w:pPr>
      <w:r>
        <w:rPr>
          <w:rFonts w:ascii="宋体" w:hAnsi="宋体" w:hint="eastAsia"/>
          <w:szCs w:val="21"/>
          <w:lang w:eastAsia="zh-Hans"/>
        </w:rPr>
        <w:t>本基金本报告期末未持有贵金属。</w:t>
      </w:r>
    </w:p>
    <w:p w14:paraId="6543FF0F" w14:textId="77777777" w:rsidR="005C2C0E" w:rsidRDefault="005C2C0E">
      <w:pPr>
        <w:pStyle w:val="XBRLTitle2"/>
        <w:spacing w:before="156" w:line="360" w:lineRule="auto"/>
        <w:ind w:left="454"/>
      </w:pPr>
      <w:bookmarkStart w:id="233" w:name="_Toc17898205"/>
      <w:bookmarkStart w:id="234" w:name="_Toc17897957"/>
      <w:bookmarkStart w:id="235" w:name="_Toc481075074"/>
      <w:bookmarkStart w:id="236" w:name="_Toc438646475"/>
      <w:bookmarkStart w:id="237" w:name="_Toc490050027"/>
      <w:bookmarkStart w:id="238" w:name="_Toc512519506"/>
      <w:bookmarkStart w:id="239" w:name="_Toc513295866"/>
      <w:bookmarkStart w:id="240" w:name="_Toc513295918"/>
      <w:bookmarkStart w:id="241" w:name="m509"/>
      <w:bookmarkEnd w:id="232"/>
      <w:proofErr w:type="spellStart"/>
      <w:r>
        <w:rPr>
          <w:rFonts w:hAnsi="宋体" w:hint="eastAsia"/>
        </w:rPr>
        <w:t>报告期末按公允价值占基金资产净值比例大小排序的前五名权证投资明细</w:t>
      </w:r>
      <w:bookmarkEnd w:id="233"/>
      <w:bookmarkEnd w:id="234"/>
      <w:bookmarkEnd w:id="235"/>
      <w:bookmarkEnd w:id="236"/>
      <w:bookmarkEnd w:id="237"/>
      <w:bookmarkEnd w:id="238"/>
      <w:bookmarkEnd w:id="239"/>
      <w:bookmarkEnd w:id="240"/>
      <w:proofErr w:type="spellEnd"/>
      <w:r>
        <w:rPr>
          <w:rFonts w:hAnsi="宋体" w:hint="eastAsia"/>
        </w:rPr>
        <w:t xml:space="preserve"> </w:t>
      </w:r>
      <w:bookmarkEnd w:id="241"/>
    </w:p>
    <w:p w14:paraId="7C9CDC6E" w14:textId="77777777" w:rsidR="005C2C0E" w:rsidRDefault="005C2C0E">
      <w:pPr>
        <w:spacing w:line="360" w:lineRule="auto"/>
        <w:ind w:firstLineChars="200" w:firstLine="420"/>
        <w:divId w:val="142241952"/>
      </w:pPr>
      <w:r>
        <w:rPr>
          <w:rFonts w:ascii="宋体" w:hAnsi="宋体" w:hint="eastAsia"/>
          <w:szCs w:val="21"/>
          <w:lang w:eastAsia="zh-Hans"/>
        </w:rPr>
        <w:t>本基金本报告期末未持有权证。</w:t>
      </w:r>
    </w:p>
    <w:p w14:paraId="28C15D13" w14:textId="77777777" w:rsidR="005C2C0E" w:rsidRDefault="005C2C0E">
      <w:pPr>
        <w:pStyle w:val="XBRLTitle2"/>
        <w:spacing w:before="156"/>
        <w:ind w:left="454"/>
      </w:pPr>
      <w:bookmarkStart w:id="242" w:name="_Toc17898206"/>
      <w:proofErr w:type="spellStart"/>
      <w:r>
        <w:rPr>
          <w:rFonts w:hint="eastAsia"/>
        </w:rPr>
        <w:t>报告期末本基金投资的股指期货交易情况说明</w:t>
      </w:r>
      <w:bookmarkEnd w:id="242"/>
      <w:bookmarkEnd w:id="183"/>
      <w:bookmarkEnd w:id="184"/>
      <w:bookmarkEnd w:id="185"/>
      <w:bookmarkEnd w:id="186"/>
      <w:bookmarkEnd w:id="187"/>
      <w:bookmarkEnd w:id="188"/>
      <w:bookmarkEnd w:id="189"/>
      <w:proofErr w:type="spellEnd"/>
    </w:p>
    <w:p w14:paraId="1D1C7826" w14:textId="77777777" w:rsidR="005C2C0E" w:rsidRDefault="005C2C0E">
      <w:pPr>
        <w:pStyle w:val="XBRLTitle3"/>
        <w:spacing w:before="156"/>
        <w:ind w:left="0"/>
      </w:pPr>
      <w:bookmarkStart w:id="243" w:name="_Toc17898207"/>
      <w:proofErr w:type="spellStart"/>
      <w:r>
        <w:rPr>
          <w:rFonts w:hAnsi="宋体" w:hint="eastAsia"/>
        </w:rPr>
        <w:t>报告期末本基金投资的股指期货持仓和损益明细</w:t>
      </w:r>
      <w:bookmarkEnd w:id="243"/>
      <w:bookmarkEnd w:id="192"/>
      <w:bookmarkEnd w:id="193"/>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28"/>
        <w:gridCol w:w="1090"/>
        <w:gridCol w:w="1504"/>
        <w:gridCol w:w="1504"/>
        <w:gridCol w:w="1650"/>
        <w:gridCol w:w="2059"/>
      </w:tblGrid>
      <w:tr w:rsidR="00920DE8" w14:paraId="2FCBF393" w14:textId="77777777">
        <w:trPr>
          <w:divId w:val="2075933921"/>
          <w:trHeight w:val="315"/>
        </w:trPr>
        <w:tc>
          <w:tcPr>
            <w:tcW w:w="58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839FFE7" w14:textId="77777777" w:rsidR="005C2C0E" w:rsidRDefault="005C2C0E">
            <w:pPr>
              <w:jc w:val="center"/>
            </w:pPr>
            <w:r>
              <w:rPr>
                <w:rFonts w:ascii="宋体" w:hAnsi="宋体" w:hint="eastAsia"/>
              </w:rPr>
              <w:t xml:space="preserve">代码 </w:t>
            </w:r>
          </w:p>
        </w:tc>
        <w:tc>
          <w:tcPr>
            <w:tcW w:w="61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41B204E" w14:textId="77777777" w:rsidR="005C2C0E" w:rsidRDefault="005C2C0E">
            <w:pPr>
              <w:jc w:val="center"/>
            </w:pPr>
            <w:r>
              <w:rPr>
                <w:rFonts w:ascii="宋体" w:hAnsi="宋体" w:hint="eastAsia"/>
              </w:rPr>
              <w:t xml:space="preserve">名称 </w:t>
            </w:r>
          </w:p>
        </w:tc>
        <w:tc>
          <w:tcPr>
            <w:tcW w:w="85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FB30C93" w14:textId="77777777" w:rsidR="005C2C0E" w:rsidRDefault="005C2C0E">
            <w:pPr>
              <w:jc w:val="center"/>
            </w:pPr>
            <w:r>
              <w:rPr>
                <w:rFonts w:ascii="宋体" w:hAnsi="宋体" w:hint="eastAsia"/>
              </w:rPr>
              <w:t xml:space="preserve">持仓量（买/卖） </w:t>
            </w:r>
          </w:p>
        </w:tc>
        <w:tc>
          <w:tcPr>
            <w:tcW w:w="85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2F6651A" w14:textId="77777777" w:rsidR="005C2C0E" w:rsidRDefault="005C2C0E">
            <w:pPr>
              <w:jc w:val="center"/>
            </w:pPr>
            <w:r>
              <w:rPr>
                <w:rFonts w:ascii="宋体" w:hAnsi="宋体" w:hint="eastAsia"/>
              </w:rPr>
              <w:t xml:space="preserve">合约市值(元) </w:t>
            </w:r>
          </w:p>
        </w:tc>
        <w:tc>
          <w:tcPr>
            <w:tcW w:w="9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1918079" w14:textId="77777777" w:rsidR="005C2C0E" w:rsidRDefault="005C2C0E">
            <w:pPr>
              <w:jc w:val="center"/>
            </w:pPr>
            <w:r>
              <w:rPr>
                <w:rFonts w:ascii="宋体" w:hAnsi="宋体" w:hint="eastAsia"/>
              </w:rPr>
              <w:t xml:space="preserve">公允价值变动（元） </w:t>
            </w:r>
          </w:p>
        </w:tc>
        <w:tc>
          <w:tcPr>
            <w:tcW w:w="116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5FA5642" w14:textId="77777777" w:rsidR="005C2C0E" w:rsidRDefault="005C2C0E">
            <w:pPr>
              <w:jc w:val="center"/>
            </w:pPr>
            <w:r>
              <w:rPr>
                <w:rFonts w:ascii="宋体" w:hAnsi="宋体" w:hint="eastAsia"/>
              </w:rPr>
              <w:t xml:space="preserve">风险说明 </w:t>
            </w:r>
          </w:p>
        </w:tc>
      </w:tr>
      <w:tr w:rsidR="00920DE8" w14:paraId="4518B292" w14:textId="77777777">
        <w:trPr>
          <w:divId w:val="2075933921"/>
          <w:trHeight w:val="285"/>
        </w:trPr>
        <w:tc>
          <w:tcPr>
            <w:tcW w:w="5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E4C2C4A" w14:textId="77777777" w:rsidR="005C2C0E" w:rsidRDefault="005C2C0E">
            <w:pPr>
              <w:jc w:val="center"/>
            </w:pPr>
            <w:r>
              <w:rPr>
                <w:rFonts w:ascii="宋体" w:hAnsi="宋体" w:hint="eastAsia"/>
              </w:rPr>
              <w:t>-</w:t>
            </w:r>
          </w:p>
        </w:tc>
        <w:tc>
          <w:tcPr>
            <w:tcW w:w="6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B4BDD37" w14:textId="77777777" w:rsidR="005C2C0E" w:rsidRDefault="005C2C0E">
            <w:pPr>
              <w:jc w:val="center"/>
            </w:pPr>
            <w:r>
              <w:rPr>
                <w:rFonts w:ascii="宋体" w:hAnsi="宋体" w:hint="eastAsia"/>
              </w:rPr>
              <w:t>-</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87241A5" w14:textId="77777777" w:rsidR="005C2C0E" w:rsidRDefault="005C2C0E">
            <w:pPr>
              <w:jc w:val="right"/>
            </w:pPr>
            <w:r>
              <w:rPr>
                <w:rFonts w:ascii="宋体" w:hAnsi="宋体" w:hint="eastAsia"/>
              </w:rPr>
              <w:t>-</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24D5FC2" w14:textId="77777777" w:rsidR="005C2C0E" w:rsidRDefault="005C2C0E">
            <w:pPr>
              <w:jc w:val="right"/>
            </w:pPr>
            <w:r>
              <w:rPr>
                <w:rFonts w:ascii="宋体" w:hAnsi="宋体" w:hint="eastAsia"/>
              </w:rPr>
              <w:t>-</w:t>
            </w:r>
          </w:p>
        </w:tc>
        <w:tc>
          <w:tcPr>
            <w:tcW w:w="9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D5F8963" w14:textId="77777777" w:rsidR="005C2C0E" w:rsidRDefault="005C2C0E">
            <w:pPr>
              <w:jc w:val="right"/>
            </w:pPr>
            <w:r>
              <w:rPr>
                <w:rFonts w:ascii="宋体" w:hAnsi="宋体" w:hint="eastAsia"/>
              </w:rPr>
              <w:t>-</w:t>
            </w:r>
          </w:p>
        </w:tc>
        <w:tc>
          <w:tcPr>
            <w:tcW w:w="11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5269B17" w14:textId="77777777" w:rsidR="005C2C0E" w:rsidRDefault="005C2C0E">
            <w:pPr>
              <w:jc w:val="center"/>
            </w:pPr>
            <w:r>
              <w:rPr>
                <w:rFonts w:ascii="宋体" w:hAnsi="宋体" w:hint="eastAsia"/>
              </w:rPr>
              <w:t>-</w:t>
            </w:r>
          </w:p>
        </w:tc>
      </w:tr>
      <w:tr w:rsidR="00920DE8" w14:paraId="301F12D7" w14:textId="77777777">
        <w:trPr>
          <w:divId w:val="2075933921"/>
          <w:trHeight w:val="285"/>
        </w:trPr>
        <w:tc>
          <w:tcPr>
            <w:tcW w:w="3835" w:type="pct"/>
            <w:gridSpan w:val="5"/>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F87767C" w14:textId="77777777" w:rsidR="005C2C0E" w:rsidRDefault="005C2C0E">
            <w:pPr>
              <w:jc w:val="left"/>
            </w:pPr>
            <w:r>
              <w:rPr>
                <w:rFonts w:ascii="宋体" w:hAnsi="宋体" w:hint="eastAsia"/>
              </w:rPr>
              <w:t xml:space="preserve">公允价值变动总额合计（元） </w:t>
            </w:r>
          </w:p>
        </w:tc>
        <w:tc>
          <w:tcPr>
            <w:tcW w:w="11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AD95F04" w14:textId="77777777" w:rsidR="005C2C0E" w:rsidRDefault="005C2C0E">
            <w:pPr>
              <w:snapToGrid w:val="0"/>
              <w:jc w:val="right"/>
            </w:pPr>
            <w:r>
              <w:rPr>
                <w:rFonts w:ascii="宋体" w:hAnsi="宋体" w:hint="eastAsia"/>
              </w:rPr>
              <w:t>-</w:t>
            </w:r>
          </w:p>
        </w:tc>
      </w:tr>
      <w:tr w:rsidR="00920DE8" w14:paraId="63970051" w14:textId="77777777">
        <w:trPr>
          <w:divId w:val="2075933921"/>
          <w:trHeight w:val="285"/>
        </w:trPr>
        <w:tc>
          <w:tcPr>
            <w:tcW w:w="3835" w:type="pct"/>
            <w:gridSpan w:val="5"/>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3229BA5" w14:textId="77777777" w:rsidR="005C2C0E" w:rsidRDefault="005C2C0E">
            <w:pPr>
              <w:jc w:val="left"/>
            </w:pPr>
            <w:r>
              <w:rPr>
                <w:rFonts w:ascii="宋体" w:hAnsi="宋体" w:hint="eastAsia"/>
              </w:rPr>
              <w:t xml:space="preserve">股指期货投资本期收益（元） </w:t>
            </w:r>
          </w:p>
        </w:tc>
        <w:tc>
          <w:tcPr>
            <w:tcW w:w="11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1B9E51A" w14:textId="77777777" w:rsidR="005C2C0E" w:rsidRDefault="005C2C0E">
            <w:pPr>
              <w:snapToGrid w:val="0"/>
              <w:jc w:val="right"/>
            </w:pPr>
            <w:r>
              <w:rPr>
                <w:rFonts w:ascii="宋体" w:hAnsi="宋体" w:hint="eastAsia"/>
              </w:rPr>
              <w:t>8,478.45</w:t>
            </w:r>
          </w:p>
        </w:tc>
      </w:tr>
      <w:tr w:rsidR="00920DE8" w14:paraId="6DCF006A" w14:textId="77777777">
        <w:trPr>
          <w:divId w:val="2075933921"/>
          <w:trHeight w:val="285"/>
        </w:trPr>
        <w:tc>
          <w:tcPr>
            <w:tcW w:w="3835" w:type="pct"/>
            <w:gridSpan w:val="5"/>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2F41684" w14:textId="77777777" w:rsidR="005C2C0E" w:rsidRDefault="005C2C0E">
            <w:pPr>
              <w:jc w:val="left"/>
            </w:pPr>
            <w:r>
              <w:rPr>
                <w:rFonts w:ascii="宋体" w:hAnsi="宋体" w:hint="eastAsia"/>
              </w:rPr>
              <w:t xml:space="preserve">股指期货投资本期公允价值变动（元） </w:t>
            </w:r>
          </w:p>
        </w:tc>
        <w:tc>
          <w:tcPr>
            <w:tcW w:w="11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9109FCA" w14:textId="77777777" w:rsidR="005C2C0E" w:rsidRDefault="005C2C0E">
            <w:pPr>
              <w:snapToGrid w:val="0"/>
              <w:jc w:val="right"/>
            </w:pPr>
            <w:r>
              <w:rPr>
                <w:rFonts w:ascii="宋体" w:hAnsi="宋体" w:hint="eastAsia"/>
              </w:rPr>
              <w:t>-47,240.00</w:t>
            </w:r>
          </w:p>
        </w:tc>
      </w:tr>
    </w:tbl>
    <w:p w14:paraId="394FE243" w14:textId="77777777" w:rsidR="005C2C0E" w:rsidRDefault="005C2C0E">
      <w:pPr>
        <w:pStyle w:val="XBRLTitle3"/>
        <w:spacing w:before="156"/>
        <w:ind w:left="0"/>
      </w:pPr>
      <w:bookmarkStart w:id="244" w:name="_Toc17898208"/>
      <w:bookmarkStart w:id="245" w:name="_Toc485300377"/>
      <w:bookmarkStart w:id="246" w:name="_Toc497398257"/>
      <w:proofErr w:type="spellStart"/>
      <w:r>
        <w:rPr>
          <w:rFonts w:hAnsi="宋体" w:hint="eastAsia"/>
        </w:rPr>
        <w:t>本基金投资股指期货的投资政策</w:t>
      </w:r>
      <w:bookmarkEnd w:id="244"/>
      <w:bookmarkEnd w:id="245"/>
      <w:bookmarkEnd w:id="246"/>
      <w:bookmarkEnd w:id="194"/>
      <w:bookmarkEnd w:id="195"/>
      <w:bookmarkEnd w:id="190"/>
      <w:proofErr w:type="spellEnd"/>
    </w:p>
    <w:p w14:paraId="48A7F2A4" w14:textId="77777777" w:rsidR="005C2C0E" w:rsidRDefault="005C2C0E">
      <w:pPr>
        <w:spacing w:line="360" w:lineRule="auto"/>
        <w:ind w:firstLineChars="200" w:firstLine="420"/>
      </w:pPr>
      <w:bookmarkStart w:id="247" w:name="m07_04_13_00"/>
      <w:r>
        <w:rPr>
          <w:rFonts w:ascii="宋体" w:hAnsi="宋体" w:hint="eastAsia"/>
          <w:lang w:eastAsia="zh-Hans"/>
        </w:rPr>
        <w:t>本报告期内，基金投资股指期货的目的是为了提升基金的流动性水平，以及在期货贴水时作为现货的替代。</w:t>
      </w:r>
      <w:bookmarkEnd w:id="247"/>
      <w:bookmarkEnd w:id="70"/>
      <w:bookmarkEnd w:id="71"/>
      <w:bookmarkEnd w:id="16"/>
      <w:r>
        <w:rPr>
          <w:rFonts w:ascii="宋体" w:hAnsi="宋体" w:hint="eastAsia"/>
          <w:lang w:eastAsia="zh-Hans"/>
        </w:rPr>
        <w:t xml:space="preserve"> </w:t>
      </w:r>
    </w:p>
    <w:p w14:paraId="6E14504C" w14:textId="77777777" w:rsidR="005C2C0E" w:rsidRDefault="005C2C0E">
      <w:pPr>
        <w:pStyle w:val="XBRLTitle2"/>
        <w:spacing w:before="156" w:line="360" w:lineRule="auto"/>
        <w:ind w:left="454"/>
      </w:pPr>
      <w:bookmarkStart w:id="248" w:name="_Toc17898209"/>
      <w:bookmarkStart w:id="249" w:name="_Toc17897959"/>
      <w:bookmarkStart w:id="250" w:name="_Toc512519510"/>
      <w:bookmarkStart w:id="251" w:name="_Toc481075078"/>
      <w:bookmarkStart w:id="252" w:name="_Toc490050031"/>
      <w:bookmarkStart w:id="253" w:name="_Toc513295868"/>
      <w:bookmarkStart w:id="254" w:name="_Toc513295922"/>
      <w:bookmarkStart w:id="255" w:name="_Toc438646476"/>
      <w:proofErr w:type="spellStart"/>
      <w:r>
        <w:rPr>
          <w:rFonts w:hAnsi="宋体" w:hint="eastAsia"/>
        </w:rPr>
        <w:t>报告期末本基金投资的国债期货交易情况说明</w:t>
      </w:r>
      <w:bookmarkEnd w:id="248"/>
      <w:bookmarkEnd w:id="249"/>
      <w:bookmarkEnd w:id="250"/>
      <w:bookmarkEnd w:id="251"/>
      <w:bookmarkEnd w:id="252"/>
      <w:bookmarkEnd w:id="253"/>
      <w:bookmarkEnd w:id="254"/>
      <w:proofErr w:type="spellEnd"/>
      <w:r>
        <w:rPr>
          <w:rFonts w:hAnsi="宋体" w:hint="eastAsia"/>
        </w:rPr>
        <w:t xml:space="preserve"> </w:t>
      </w:r>
      <w:bookmarkEnd w:id="255"/>
    </w:p>
    <w:p w14:paraId="1C5961D5" w14:textId="77777777" w:rsidR="005C2C0E" w:rsidRDefault="005C2C0E">
      <w:pPr>
        <w:spacing w:line="360" w:lineRule="auto"/>
        <w:ind w:firstLineChars="200" w:firstLine="420"/>
        <w:divId w:val="105928374"/>
      </w:pPr>
      <w:bookmarkStart w:id="256" w:name="m510_01_1597"/>
      <w:bookmarkStart w:id="257" w:name="m510_01_1598"/>
      <w:bookmarkEnd w:id="256"/>
      <w:r>
        <w:rPr>
          <w:rFonts w:ascii="宋体" w:hAnsi="宋体" w:hint="eastAsia"/>
          <w:szCs w:val="21"/>
          <w:lang w:eastAsia="zh-Hans"/>
        </w:rPr>
        <w:t>本基金本报告期末未持有国债期货。</w:t>
      </w:r>
    </w:p>
    <w:p w14:paraId="2C0AE359" w14:textId="77777777" w:rsidR="005C2C0E" w:rsidRDefault="005C2C0E">
      <w:pPr>
        <w:pStyle w:val="XBRLTitle2"/>
        <w:spacing w:before="156" w:line="360" w:lineRule="auto"/>
        <w:ind w:left="454"/>
      </w:pPr>
      <w:bookmarkStart w:id="258" w:name="_Toc17898213"/>
      <w:bookmarkStart w:id="259" w:name="_Toc17897960"/>
      <w:bookmarkStart w:id="260" w:name="_Toc512519514"/>
      <w:bookmarkStart w:id="261" w:name="_Toc481075082"/>
      <w:bookmarkStart w:id="262" w:name="_Toc490050035"/>
      <w:bookmarkStart w:id="263" w:name="_Toc513295869"/>
      <w:bookmarkStart w:id="264" w:name="_Toc513295926"/>
      <w:proofErr w:type="spellStart"/>
      <w:r>
        <w:rPr>
          <w:rFonts w:hAnsi="宋体" w:hint="eastAsia"/>
        </w:rPr>
        <w:lastRenderedPageBreak/>
        <w:t>投资组合报告附注</w:t>
      </w:r>
      <w:bookmarkEnd w:id="258"/>
      <w:bookmarkEnd w:id="259"/>
      <w:bookmarkEnd w:id="260"/>
      <w:bookmarkEnd w:id="261"/>
      <w:bookmarkEnd w:id="262"/>
      <w:bookmarkEnd w:id="263"/>
      <w:bookmarkEnd w:id="264"/>
      <w:proofErr w:type="spellEnd"/>
      <w:r>
        <w:rPr>
          <w:rFonts w:hAnsi="宋体" w:hint="eastAsia"/>
        </w:rPr>
        <w:t xml:space="preserve"> </w:t>
      </w:r>
    </w:p>
    <w:p w14:paraId="38C0A54C" w14:textId="77777777" w:rsidR="005C2C0E" w:rsidRDefault="005C2C0E">
      <w:pPr>
        <w:pStyle w:val="XBRLTitle3"/>
        <w:spacing w:before="156"/>
        <w:ind w:left="0"/>
      </w:pPr>
      <w:bookmarkStart w:id="265" w:name="_Toc513295927"/>
      <w:bookmarkStart w:id="266" w:name="_Toc490050036"/>
      <w:bookmarkStart w:id="267" w:name="_Toc481075083"/>
      <w:bookmarkStart w:id="268" w:name="_Toc512519515"/>
      <w:bookmarkStart w:id="269" w:name="_Toc17898214"/>
      <w:bookmarkEnd w:id="265"/>
      <w:bookmarkEnd w:id="266"/>
      <w:bookmarkEnd w:id="267"/>
      <w:bookmarkEnd w:id="268"/>
      <w:r>
        <w:rPr>
          <w:rFonts w:hint="eastAsia"/>
          <w:lang w:eastAsia="zh-CN"/>
        </w:rPr>
        <w:t xml:space="preserve"> </w:t>
      </w:r>
      <w:bookmarkEnd w:id="269"/>
    </w:p>
    <w:p w14:paraId="519237E3" w14:textId="77777777" w:rsidR="005C2C0E" w:rsidRDefault="005C2C0E">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7176F327" w14:textId="77777777" w:rsidR="005C2C0E" w:rsidRDefault="005C2C0E">
      <w:pPr>
        <w:pStyle w:val="XBRLTitle3"/>
        <w:spacing w:before="156"/>
        <w:ind w:left="0"/>
      </w:pPr>
      <w:bookmarkStart w:id="270" w:name="_Toc490050037"/>
      <w:bookmarkStart w:id="271" w:name="_Toc481075084"/>
      <w:bookmarkStart w:id="272" w:name="_Toc512519516"/>
      <w:bookmarkStart w:id="273" w:name="_Toc513295928"/>
      <w:bookmarkStart w:id="274" w:name="_Toc17898215"/>
      <w:bookmarkEnd w:id="270"/>
      <w:bookmarkEnd w:id="271"/>
      <w:bookmarkEnd w:id="272"/>
      <w:bookmarkEnd w:id="273"/>
      <w:r>
        <w:rPr>
          <w:rFonts w:hint="eastAsia"/>
          <w:lang w:eastAsia="zh-CN"/>
        </w:rPr>
        <w:t xml:space="preserve"> </w:t>
      </w:r>
      <w:bookmarkEnd w:id="274"/>
    </w:p>
    <w:p w14:paraId="7B5B0A63" w14:textId="77777777" w:rsidR="005C2C0E" w:rsidRDefault="005C2C0E">
      <w:pPr>
        <w:spacing w:line="360" w:lineRule="auto"/>
        <w:ind w:firstLineChars="200" w:firstLine="420"/>
      </w:pPr>
      <w:r>
        <w:rPr>
          <w:rFonts w:ascii="宋体" w:hAnsi="宋体" w:hint="eastAsia"/>
        </w:rPr>
        <w:t>报告期内本基金投资的前十名股票中没有在基金合同规定备选股票库之外的股票。</w:t>
      </w:r>
    </w:p>
    <w:p w14:paraId="6EAA7578" w14:textId="77777777" w:rsidR="005C2C0E" w:rsidRDefault="005C2C0E">
      <w:pPr>
        <w:pStyle w:val="XBRLTitle3"/>
        <w:spacing w:before="156"/>
        <w:ind w:left="0"/>
      </w:pPr>
      <w:bookmarkStart w:id="275" w:name="_Toc17898216"/>
      <w:bookmarkStart w:id="276" w:name="_Toc481075085"/>
      <w:bookmarkStart w:id="277" w:name="_Toc490050038"/>
      <w:bookmarkStart w:id="278" w:name="_Toc512519517"/>
      <w:bookmarkStart w:id="279" w:name="_Toc513295929"/>
      <w:bookmarkStart w:id="280" w:name="m510_02"/>
      <w:bookmarkEnd w:id="257"/>
      <w:proofErr w:type="spellStart"/>
      <w:r>
        <w:rPr>
          <w:rFonts w:hint="eastAsia"/>
        </w:rPr>
        <w:t>其他资产构成</w:t>
      </w:r>
      <w:bookmarkEnd w:id="275"/>
      <w:bookmarkEnd w:id="276"/>
      <w:bookmarkEnd w:id="277"/>
      <w:bookmarkEnd w:id="278"/>
      <w:bookmarkEnd w:id="279"/>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920DE8" w14:paraId="35AE279D" w14:textId="77777777">
        <w:trPr>
          <w:divId w:val="332146965"/>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696007" w14:textId="77777777" w:rsidR="005C2C0E" w:rsidRDefault="005C2C0E">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95A185" w14:textId="77777777" w:rsidR="005C2C0E" w:rsidRDefault="005C2C0E">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22EE7" w14:textId="77777777" w:rsidR="005C2C0E" w:rsidRDefault="005C2C0E">
            <w:pPr>
              <w:jc w:val="center"/>
            </w:pPr>
            <w:r>
              <w:rPr>
                <w:rFonts w:ascii="宋体" w:hAnsi="宋体" w:hint="eastAsia"/>
              </w:rPr>
              <w:t>金额（元）</w:t>
            </w:r>
            <w:r>
              <w:t xml:space="preserve"> </w:t>
            </w:r>
          </w:p>
        </w:tc>
      </w:tr>
      <w:tr w:rsidR="00920DE8" w14:paraId="31AE9BB2" w14:textId="77777777">
        <w:trPr>
          <w:divId w:val="33214696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3287C0" w14:textId="77777777" w:rsidR="005C2C0E" w:rsidRDefault="005C2C0E">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8EC929" w14:textId="77777777" w:rsidR="005C2C0E" w:rsidRDefault="005C2C0E">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C7FFD7" w14:textId="77777777" w:rsidR="005C2C0E" w:rsidRDefault="005C2C0E">
            <w:pPr>
              <w:jc w:val="right"/>
            </w:pPr>
            <w:r>
              <w:rPr>
                <w:rFonts w:ascii="宋体" w:hAnsi="宋体" w:hint="eastAsia"/>
              </w:rPr>
              <w:t>39,076.64</w:t>
            </w:r>
          </w:p>
        </w:tc>
      </w:tr>
      <w:tr w:rsidR="00920DE8" w14:paraId="0847E2EC" w14:textId="77777777">
        <w:trPr>
          <w:divId w:val="33214696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97C52C" w14:textId="77777777" w:rsidR="005C2C0E" w:rsidRDefault="005C2C0E">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73E3BA" w14:textId="77777777" w:rsidR="005C2C0E" w:rsidRDefault="005C2C0E">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F43FFE" w14:textId="77777777" w:rsidR="005C2C0E" w:rsidRDefault="005C2C0E">
            <w:pPr>
              <w:jc w:val="right"/>
            </w:pPr>
            <w:r>
              <w:rPr>
                <w:rFonts w:ascii="宋体" w:hAnsi="宋体" w:hint="eastAsia"/>
              </w:rPr>
              <w:t>-</w:t>
            </w:r>
          </w:p>
        </w:tc>
      </w:tr>
      <w:tr w:rsidR="00920DE8" w14:paraId="4006DF28" w14:textId="77777777">
        <w:trPr>
          <w:divId w:val="33214696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D91DB9" w14:textId="77777777" w:rsidR="005C2C0E" w:rsidRDefault="005C2C0E">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561F91" w14:textId="77777777" w:rsidR="005C2C0E" w:rsidRDefault="005C2C0E">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05E3F5" w14:textId="77777777" w:rsidR="005C2C0E" w:rsidRDefault="005C2C0E">
            <w:pPr>
              <w:jc w:val="right"/>
            </w:pPr>
            <w:r>
              <w:rPr>
                <w:rFonts w:ascii="宋体" w:hAnsi="宋体" w:hint="eastAsia"/>
              </w:rPr>
              <w:t>-</w:t>
            </w:r>
          </w:p>
        </w:tc>
      </w:tr>
      <w:tr w:rsidR="00920DE8" w14:paraId="5210CCC0" w14:textId="77777777">
        <w:trPr>
          <w:divId w:val="33214696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ABE15D" w14:textId="77777777" w:rsidR="005C2C0E" w:rsidRDefault="005C2C0E">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F192D6" w14:textId="77777777" w:rsidR="005C2C0E" w:rsidRDefault="005C2C0E">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9B04B8" w14:textId="77777777" w:rsidR="005C2C0E" w:rsidRDefault="005C2C0E">
            <w:pPr>
              <w:jc w:val="right"/>
            </w:pPr>
            <w:r>
              <w:rPr>
                <w:rFonts w:ascii="宋体" w:hAnsi="宋体" w:hint="eastAsia"/>
              </w:rPr>
              <w:t>-</w:t>
            </w:r>
          </w:p>
        </w:tc>
      </w:tr>
      <w:tr w:rsidR="00920DE8" w14:paraId="5CC25E6A" w14:textId="77777777">
        <w:trPr>
          <w:divId w:val="33214696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8BCDA5" w14:textId="77777777" w:rsidR="005C2C0E" w:rsidRDefault="005C2C0E">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5D225C" w14:textId="77777777" w:rsidR="005C2C0E" w:rsidRDefault="005C2C0E">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FC0116" w14:textId="77777777" w:rsidR="005C2C0E" w:rsidRDefault="005C2C0E">
            <w:pPr>
              <w:jc w:val="right"/>
            </w:pPr>
            <w:r>
              <w:rPr>
                <w:rFonts w:ascii="宋体" w:hAnsi="宋体" w:hint="eastAsia"/>
              </w:rPr>
              <w:t>1,390.64</w:t>
            </w:r>
          </w:p>
        </w:tc>
      </w:tr>
      <w:tr w:rsidR="00920DE8" w14:paraId="458BF443" w14:textId="77777777">
        <w:trPr>
          <w:divId w:val="33214696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ACF5E8" w14:textId="77777777" w:rsidR="005C2C0E" w:rsidRDefault="005C2C0E">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628040" w14:textId="77777777" w:rsidR="005C2C0E" w:rsidRDefault="005C2C0E">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DEEF38" w14:textId="77777777" w:rsidR="005C2C0E" w:rsidRDefault="005C2C0E">
            <w:pPr>
              <w:jc w:val="right"/>
            </w:pPr>
            <w:r>
              <w:rPr>
                <w:rFonts w:ascii="宋体" w:hAnsi="宋体" w:hint="eastAsia"/>
              </w:rPr>
              <w:t>-</w:t>
            </w:r>
          </w:p>
        </w:tc>
      </w:tr>
      <w:tr w:rsidR="00920DE8" w14:paraId="697382A2" w14:textId="77777777">
        <w:trPr>
          <w:divId w:val="33214696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267BAB" w14:textId="77777777" w:rsidR="005C2C0E" w:rsidRDefault="005C2C0E">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6313FB" w14:textId="77777777" w:rsidR="005C2C0E" w:rsidRDefault="005C2C0E">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025B41" w14:textId="77777777" w:rsidR="005C2C0E" w:rsidRDefault="005C2C0E">
            <w:pPr>
              <w:jc w:val="right"/>
            </w:pPr>
            <w:r>
              <w:rPr>
                <w:rFonts w:ascii="宋体" w:hAnsi="宋体" w:hint="eastAsia"/>
              </w:rPr>
              <w:t>-</w:t>
            </w:r>
          </w:p>
        </w:tc>
      </w:tr>
      <w:tr w:rsidR="00920DE8" w14:paraId="47E5BD05" w14:textId="77777777">
        <w:trPr>
          <w:divId w:val="33214696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677FA2" w14:textId="77777777" w:rsidR="005C2C0E" w:rsidRDefault="005C2C0E">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982A38" w14:textId="77777777" w:rsidR="005C2C0E" w:rsidRDefault="005C2C0E">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985AF2" w14:textId="77777777" w:rsidR="005C2C0E" w:rsidRDefault="005C2C0E">
            <w:pPr>
              <w:jc w:val="right"/>
            </w:pPr>
            <w:r>
              <w:rPr>
                <w:rFonts w:ascii="宋体" w:hAnsi="宋体" w:hint="eastAsia"/>
              </w:rPr>
              <w:t>40,467.28</w:t>
            </w:r>
          </w:p>
        </w:tc>
      </w:tr>
    </w:tbl>
    <w:p w14:paraId="5391511E" w14:textId="77777777" w:rsidR="005C2C0E" w:rsidRDefault="005C2C0E">
      <w:pPr>
        <w:pStyle w:val="XBRLTitle3"/>
        <w:spacing w:before="156"/>
        <w:ind w:left="0"/>
      </w:pPr>
      <w:bookmarkStart w:id="281" w:name="_Toc17898217"/>
      <w:bookmarkStart w:id="282" w:name="_Toc481075086"/>
      <w:bookmarkStart w:id="283" w:name="_Toc490050039"/>
      <w:bookmarkStart w:id="284" w:name="_Toc512519518"/>
      <w:bookmarkStart w:id="285" w:name="_Toc513295930"/>
      <w:bookmarkStart w:id="286" w:name="m510_03"/>
      <w:bookmarkEnd w:id="280"/>
      <w:proofErr w:type="spellStart"/>
      <w:r>
        <w:rPr>
          <w:rFonts w:hint="eastAsia"/>
        </w:rPr>
        <w:t>报告期末持有的处于转股期的可转换债券明细</w:t>
      </w:r>
      <w:bookmarkEnd w:id="281"/>
      <w:bookmarkEnd w:id="282"/>
      <w:bookmarkEnd w:id="283"/>
      <w:bookmarkEnd w:id="284"/>
      <w:bookmarkEnd w:id="285"/>
      <w:proofErr w:type="spellEnd"/>
    </w:p>
    <w:p w14:paraId="08E1BFBF" w14:textId="77777777" w:rsidR="005C2C0E" w:rsidRDefault="005C2C0E">
      <w:pPr>
        <w:spacing w:line="360" w:lineRule="auto"/>
        <w:ind w:firstLineChars="200" w:firstLine="420"/>
        <w:jc w:val="left"/>
      </w:pPr>
      <w:r>
        <w:rPr>
          <w:rFonts w:ascii="宋体" w:hAnsi="宋体" w:hint="eastAsia"/>
        </w:rPr>
        <w:t xml:space="preserve">本基金本报告期末未持有处于转股期的可转换债券。 </w:t>
      </w:r>
    </w:p>
    <w:p w14:paraId="5785BFAD" w14:textId="77777777" w:rsidR="005C2C0E" w:rsidRDefault="005C2C0E">
      <w:pPr>
        <w:pStyle w:val="XBRLTitle3"/>
        <w:spacing w:before="156"/>
        <w:ind w:left="0"/>
      </w:pPr>
      <w:bookmarkStart w:id="287" w:name="_Toc17898218"/>
      <w:bookmarkStart w:id="288" w:name="_Toc481075087"/>
      <w:bookmarkStart w:id="289" w:name="_Toc490050040"/>
      <w:bookmarkStart w:id="290" w:name="_Toc512519519"/>
      <w:bookmarkStart w:id="291" w:name="_Toc513295931"/>
      <w:bookmarkStart w:id="292" w:name="m510_04"/>
      <w:bookmarkEnd w:id="286"/>
      <w:proofErr w:type="spellStart"/>
      <w:r>
        <w:rPr>
          <w:rFonts w:hint="eastAsia"/>
        </w:rPr>
        <w:t>报告期末前十名股票中存在流通受限情况的说明</w:t>
      </w:r>
      <w:bookmarkEnd w:id="287"/>
      <w:bookmarkEnd w:id="288"/>
      <w:bookmarkEnd w:id="289"/>
      <w:bookmarkEnd w:id="290"/>
      <w:bookmarkEnd w:id="291"/>
      <w:proofErr w:type="spellEnd"/>
    </w:p>
    <w:p w14:paraId="41174004" w14:textId="77777777" w:rsidR="005C2C0E" w:rsidRDefault="005C2C0E">
      <w:pPr>
        <w:spacing w:line="360" w:lineRule="auto"/>
        <w:ind w:firstLineChars="200" w:firstLine="420"/>
        <w:jc w:val="left"/>
        <w:divId w:val="979924284"/>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8"/>
      <w:bookmarkEnd w:id="19"/>
      <w:bookmarkEnd w:id="20"/>
      <w:bookmarkEnd w:id="21"/>
      <w:bookmarkEnd w:id="17"/>
    </w:p>
    <w:p w14:paraId="33FFB012" w14:textId="77777777" w:rsidR="005C2C0E" w:rsidRDefault="005C2C0E">
      <w:pPr>
        <w:pStyle w:val="XBRLTitle3"/>
        <w:spacing w:before="156"/>
        <w:ind w:left="0"/>
      </w:pPr>
      <w:bookmarkStart w:id="293" w:name="_Toc17898219"/>
      <w:bookmarkStart w:id="294" w:name="_Toc512519520"/>
      <w:bookmarkStart w:id="295" w:name="_Toc481075088"/>
      <w:bookmarkStart w:id="296" w:name="_Toc490050041"/>
      <w:bookmarkStart w:id="297" w:name="_Toc513295932"/>
      <w:bookmarkStart w:id="298" w:name="m510_05_1678"/>
      <w:bookmarkEnd w:id="292"/>
      <w:proofErr w:type="spellStart"/>
      <w:r>
        <w:rPr>
          <w:rFonts w:hint="eastAsia"/>
        </w:rPr>
        <w:t>投资组合报告附注的其他文字描述部分</w:t>
      </w:r>
      <w:bookmarkEnd w:id="293"/>
      <w:bookmarkEnd w:id="294"/>
      <w:bookmarkEnd w:id="295"/>
      <w:bookmarkEnd w:id="296"/>
      <w:bookmarkEnd w:id="297"/>
      <w:proofErr w:type="spellEnd"/>
      <w:r>
        <w:rPr>
          <w:rFonts w:hint="eastAsia"/>
          <w:sz w:val="21"/>
        </w:rPr>
        <w:t xml:space="preserve"> </w:t>
      </w:r>
    </w:p>
    <w:p w14:paraId="73127B7A" w14:textId="77777777" w:rsidR="005C2C0E" w:rsidRDefault="005C2C0E">
      <w:pPr>
        <w:spacing w:line="360" w:lineRule="auto"/>
        <w:ind w:firstLineChars="200" w:firstLine="420"/>
        <w:jc w:val="left"/>
      </w:pPr>
      <w:r>
        <w:rPr>
          <w:rFonts w:ascii="宋体" w:hAnsi="宋体" w:hint="eastAsia"/>
        </w:rPr>
        <w:t>因四舍五入原因，投资组合报告中分项之和与合计可能存在尾差。</w:t>
      </w:r>
      <w:bookmarkEnd w:id="298"/>
      <w:r>
        <w:rPr>
          <w:rFonts w:ascii="宋体" w:hAnsi="宋体" w:hint="eastAsia"/>
        </w:rPr>
        <w:t xml:space="preserve"> </w:t>
      </w:r>
    </w:p>
    <w:p w14:paraId="2717E877" w14:textId="77777777" w:rsidR="005C2C0E" w:rsidRDefault="005C2C0E">
      <w:pPr>
        <w:pStyle w:val="XBRLTitle1"/>
        <w:spacing w:before="156" w:line="360" w:lineRule="auto"/>
        <w:ind w:left="425"/>
      </w:pPr>
      <w:bookmarkStart w:id="299" w:name="_Toc17898220"/>
      <w:bookmarkStart w:id="300" w:name="_Toc17897961"/>
      <w:bookmarkStart w:id="301" w:name="_Toc512519521"/>
      <w:bookmarkStart w:id="302" w:name="_Toc481075089"/>
      <w:bookmarkStart w:id="303" w:name="_Toc438646477"/>
      <w:bookmarkStart w:id="304" w:name="_Toc490050042"/>
      <w:bookmarkStart w:id="305" w:name="_Toc513295870"/>
      <w:bookmarkStart w:id="306" w:name="_Toc513295933"/>
      <w:bookmarkStart w:id="307" w:name="m601"/>
      <w:bookmarkEnd w:id="181"/>
      <w:proofErr w:type="spellStart"/>
      <w:r>
        <w:rPr>
          <w:rFonts w:hAnsi="宋体" w:hint="eastAsia"/>
        </w:rPr>
        <w:t>开放式基金份额变动</w:t>
      </w:r>
      <w:bookmarkStart w:id="308" w:name="m601_tab"/>
      <w:bookmarkEnd w:id="299"/>
      <w:bookmarkEnd w:id="300"/>
      <w:bookmarkEnd w:id="301"/>
      <w:bookmarkEnd w:id="302"/>
      <w:bookmarkEnd w:id="303"/>
      <w:bookmarkEnd w:id="304"/>
      <w:bookmarkEnd w:id="305"/>
      <w:bookmarkEnd w:id="306"/>
      <w:proofErr w:type="spellEnd"/>
      <w:r>
        <w:rPr>
          <w:rFonts w:hAnsi="宋体" w:hint="eastAsia"/>
        </w:rPr>
        <w:t xml:space="preserve"> </w:t>
      </w:r>
    </w:p>
    <w:p w14:paraId="5B3DDB7F" w14:textId="77777777" w:rsidR="005C2C0E" w:rsidRDefault="005C2C0E">
      <w:pPr>
        <w:wordWrap w:val="0"/>
        <w:spacing w:line="360" w:lineRule="auto"/>
        <w:jc w:val="right"/>
        <w:divId w:val="707410191"/>
      </w:pPr>
      <w:bookmarkStart w:id="309"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721"/>
        <w:gridCol w:w="2500"/>
      </w:tblGrid>
      <w:tr w:rsidR="00920DE8" w14:paraId="20608A7A" w14:textId="77777777">
        <w:trPr>
          <w:divId w:val="707410191"/>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6F1A6ECD" w14:textId="77777777" w:rsidR="005C2C0E" w:rsidRDefault="005C2C0E">
            <w:pPr>
              <w:pStyle w:val="xl33"/>
              <w:widowControl w:val="0"/>
              <w:pBdr>
                <w:left w:val="none" w:sz="0" w:space="0" w:color="auto"/>
                <w:bottom w:val="none" w:sz="0" w:space="0" w:color="auto"/>
                <w:right w:val="none" w:sz="0" w:space="0" w:color="auto"/>
              </w:pBdr>
              <w:spacing w:before="0" w:beforeAutospacing="0" w:after="0" w:afterAutospacing="0"/>
              <w:jc w:val="both"/>
            </w:pPr>
            <w:bookmarkStart w:id="310" w:name="m10_01" w:colFirst="1" w:colLast="2"/>
            <w:bookmarkEnd w:id="309"/>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4199C3E" w14:textId="77777777" w:rsidR="005C2C0E" w:rsidRDefault="005C2C0E">
            <w:pPr>
              <w:ind w:right="3"/>
              <w:jc w:val="center"/>
            </w:pPr>
            <w:r>
              <w:rPr>
                <w:rFonts w:ascii="宋体" w:hAnsi="宋体" w:hint="eastAsia"/>
                <w:lang w:eastAsia="zh-Hans"/>
              </w:rPr>
              <w:t>摩根动态多因子混合A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58BD469" w14:textId="77777777" w:rsidR="005C2C0E" w:rsidRDefault="005C2C0E">
            <w:pPr>
              <w:ind w:right="3"/>
              <w:jc w:val="center"/>
            </w:pPr>
            <w:r>
              <w:rPr>
                <w:rFonts w:ascii="宋体" w:hAnsi="宋体" w:hint="eastAsia"/>
                <w:lang w:eastAsia="zh-Hans"/>
              </w:rPr>
              <w:t>摩根动态多因子混合C</w:t>
            </w:r>
            <w:r>
              <w:rPr>
                <w:rFonts w:ascii="宋体" w:hAnsi="宋体" w:hint="eastAsia"/>
                <w:kern w:val="0"/>
                <w:szCs w:val="24"/>
                <w:lang w:eastAsia="zh-Hans"/>
              </w:rPr>
              <w:t xml:space="preserve"> </w:t>
            </w:r>
          </w:p>
        </w:tc>
      </w:tr>
      <w:tr w:rsidR="00920DE8" w14:paraId="6E98440C" w14:textId="77777777">
        <w:trPr>
          <w:divId w:val="70741019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AD24FE" w14:textId="77777777" w:rsidR="005C2C0E" w:rsidRDefault="005C2C0E">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770E05E" w14:textId="77777777" w:rsidR="005C2C0E" w:rsidRDefault="005C2C0E">
            <w:pPr>
              <w:jc w:val="right"/>
            </w:pPr>
            <w:r>
              <w:rPr>
                <w:rFonts w:ascii="宋体" w:hAnsi="宋体" w:hint="eastAsia"/>
              </w:rPr>
              <w:t>82,768,773.94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5C438E" w14:textId="77777777" w:rsidR="005C2C0E" w:rsidRDefault="005C2C0E">
            <w:pPr>
              <w:jc w:val="right"/>
            </w:pPr>
            <w:r>
              <w:rPr>
                <w:rFonts w:ascii="宋体" w:hAnsi="宋体" w:hint="eastAsia"/>
              </w:rPr>
              <w:t>841,312.73</w:t>
            </w:r>
          </w:p>
        </w:tc>
      </w:tr>
      <w:tr w:rsidR="00920DE8" w14:paraId="494C40A8" w14:textId="77777777">
        <w:trPr>
          <w:divId w:val="70741019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7779AB" w14:textId="77777777" w:rsidR="005C2C0E" w:rsidRDefault="005C2C0E">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C838059" w14:textId="77777777" w:rsidR="005C2C0E" w:rsidRDefault="005C2C0E">
            <w:pPr>
              <w:jc w:val="right"/>
            </w:pPr>
            <w:r>
              <w:rPr>
                <w:rFonts w:ascii="宋体" w:hAnsi="宋体" w:hint="eastAsia"/>
              </w:rPr>
              <w:t>1,122,793.47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DF8708" w14:textId="77777777" w:rsidR="005C2C0E" w:rsidRDefault="005C2C0E">
            <w:pPr>
              <w:jc w:val="right"/>
            </w:pPr>
            <w:r>
              <w:rPr>
                <w:rFonts w:ascii="宋体" w:hAnsi="宋体" w:hint="eastAsia"/>
              </w:rPr>
              <w:t>118,691.56</w:t>
            </w:r>
          </w:p>
        </w:tc>
      </w:tr>
      <w:tr w:rsidR="00920DE8" w14:paraId="7AB9324D" w14:textId="77777777">
        <w:trPr>
          <w:divId w:val="70741019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D594586" w14:textId="77777777" w:rsidR="005C2C0E" w:rsidRDefault="005C2C0E">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4CCED03" w14:textId="77777777" w:rsidR="005C2C0E" w:rsidRDefault="005C2C0E">
            <w:pPr>
              <w:jc w:val="right"/>
            </w:pPr>
            <w:r>
              <w:rPr>
                <w:rFonts w:ascii="宋体" w:hAnsi="宋体" w:hint="eastAsia"/>
              </w:rPr>
              <w:t>9,560,653.52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4AD62EF" w14:textId="77777777" w:rsidR="005C2C0E" w:rsidRDefault="005C2C0E">
            <w:pPr>
              <w:jc w:val="right"/>
            </w:pPr>
            <w:r>
              <w:rPr>
                <w:rFonts w:ascii="宋体" w:hAnsi="宋体" w:hint="eastAsia"/>
              </w:rPr>
              <w:t>184,765.69</w:t>
            </w:r>
          </w:p>
        </w:tc>
      </w:tr>
      <w:tr w:rsidR="00920DE8" w14:paraId="4CCE0FF9" w14:textId="77777777">
        <w:trPr>
          <w:divId w:val="70741019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DCBBF1E" w14:textId="77777777" w:rsidR="005C2C0E" w:rsidRDefault="005C2C0E">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C6FA136" w14:textId="77777777" w:rsidR="005C2C0E" w:rsidRDefault="005C2C0E">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88811D" w14:textId="77777777" w:rsidR="005C2C0E" w:rsidRDefault="005C2C0E">
            <w:pPr>
              <w:jc w:val="right"/>
            </w:pPr>
            <w:r>
              <w:rPr>
                <w:rFonts w:ascii="宋体" w:hAnsi="宋体" w:hint="eastAsia"/>
              </w:rPr>
              <w:t>-</w:t>
            </w:r>
          </w:p>
        </w:tc>
      </w:tr>
      <w:tr w:rsidR="00920DE8" w14:paraId="0DC53707" w14:textId="77777777">
        <w:trPr>
          <w:divId w:val="70741019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47A684" w14:textId="77777777" w:rsidR="005C2C0E" w:rsidRDefault="005C2C0E">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FCBCE61" w14:textId="77777777" w:rsidR="005C2C0E" w:rsidRDefault="005C2C0E">
            <w:pPr>
              <w:jc w:val="right"/>
            </w:pPr>
            <w:r>
              <w:rPr>
                <w:rFonts w:ascii="宋体" w:hAnsi="宋体" w:hint="eastAsia"/>
              </w:rPr>
              <w:t>74,330,913.89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B90A1A" w14:textId="77777777" w:rsidR="005C2C0E" w:rsidRDefault="005C2C0E">
            <w:pPr>
              <w:jc w:val="right"/>
            </w:pPr>
            <w:r>
              <w:rPr>
                <w:rFonts w:ascii="宋体" w:hAnsi="宋体" w:hint="eastAsia"/>
              </w:rPr>
              <w:t>775,238.60</w:t>
            </w:r>
          </w:p>
        </w:tc>
      </w:tr>
    </w:tbl>
    <w:p w14:paraId="61DCC821" w14:textId="77777777" w:rsidR="005C2C0E" w:rsidRDefault="005C2C0E">
      <w:pPr>
        <w:spacing w:line="360" w:lineRule="auto"/>
        <w:jc w:val="left"/>
        <w:divId w:val="707410191"/>
      </w:pPr>
      <w:r>
        <w:rPr>
          <w:rFonts w:ascii="宋体" w:hAnsi="宋体" w:hint="eastAsia"/>
          <w:szCs w:val="24"/>
        </w:rPr>
        <w:lastRenderedPageBreak/>
        <w:t>注：</w:t>
      </w:r>
      <w:r>
        <w:rPr>
          <w:rFonts w:ascii="宋体" w:hAnsi="宋体" w:hint="eastAsia"/>
          <w:szCs w:val="21"/>
          <w:lang w:eastAsia="zh-Hans"/>
        </w:rPr>
        <w:t>总申购份额包含红利再投、转换入份额，总赎回份额包含转换出份额。</w:t>
      </w:r>
      <w:bookmarkEnd w:id="310"/>
      <w:r>
        <w:rPr>
          <w:rFonts w:ascii="宋体" w:hAnsi="宋体" w:hint="eastAsia"/>
        </w:rPr>
        <w:t xml:space="preserve"> </w:t>
      </w:r>
    </w:p>
    <w:p w14:paraId="6DF689DB" w14:textId="77777777" w:rsidR="005C2C0E" w:rsidRDefault="005C2C0E">
      <w:pPr>
        <w:pStyle w:val="XBRLTitle1"/>
        <w:spacing w:before="156" w:line="360" w:lineRule="auto"/>
        <w:ind w:left="425"/>
      </w:pPr>
      <w:bookmarkStart w:id="311" w:name="_Toc17898221"/>
      <w:bookmarkStart w:id="312" w:name="_Toc17897962"/>
      <w:bookmarkStart w:id="313" w:name="m7manage01"/>
      <w:bookmarkStart w:id="314" w:name="_Toc512519522"/>
      <w:bookmarkStart w:id="315" w:name="_Toc481075090"/>
      <w:bookmarkStart w:id="316" w:name="_Toc438646478"/>
      <w:bookmarkStart w:id="317" w:name="_Toc490050043"/>
      <w:bookmarkStart w:id="318" w:name="_Toc513295871"/>
      <w:bookmarkStart w:id="319" w:name="_Toc513295934"/>
      <w:bookmarkEnd w:id="307"/>
      <w:bookmarkEnd w:id="308"/>
      <w:proofErr w:type="spellStart"/>
      <w:r>
        <w:rPr>
          <w:rFonts w:hAnsi="宋体" w:hint="eastAsia"/>
        </w:rPr>
        <w:t>基金管理人运用固有资金投资本基金情况</w:t>
      </w:r>
      <w:bookmarkEnd w:id="311"/>
      <w:bookmarkEnd w:id="312"/>
      <w:bookmarkEnd w:id="313"/>
      <w:bookmarkEnd w:id="314"/>
      <w:bookmarkEnd w:id="315"/>
      <w:bookmarkEnd w:id="316"/>
      <w:bookmarkEnd w:id="317"/>
      <w:bookmarkEnd w:id="318"/>
      <w:bookmarkEnd w:id="319"/>
      <w:proofErr w:type="spellEnd"/>
      <w:r>
        <w:rPr>
          <w:rFonts w:hAnsi="宋体" w:hint="eastAsia"/>
        </w:rPr>
        <w:t xml:space="preserve"> </w:t>
      </w:r>
    </w:p>
    <w:p w14:paraId="261377AB" w14:textId="77777777" w:rsidR="005C2C0E" w:rsidRDefault="005C2C0E">
      <w:pPr>
        <w:pStyle w:val="XBRLTitle2"/>
        <w:spacing w:before="156" w:line="360" w:lineRule="auto"/>
        <w:ind w:left="454"/>
      </w:pPr>
      <w:bookmarkStart w:id="320" w:name="_Toc17898222"/>
      <w:bookmarkStart w:id="321" w:name="_Toc17897963"/>
      <w:bookmarkStart w:id="322" w:name="_Toc512519523"/>
      <w:bookmarkStart w:id="323" w:name="_Toc481075091"/>
      <w:bookmarkStart w:id="324" w:name="_Toc458599606"/>
      <w:bookmarkStart w:id="325" w:name="_Toc490050044"/>
      <w:bookmarkStart w:id="326" w:name="_Toc513295872"/>
      <w:bookmarkStart w:id="327" w:name="_Toc513295935"/>
      <w:proofErr w:type="spellStart"/>
      <w:r>
        <w:rPr>
          <w:rFonts w:hAnsi="宋体" w:hint="eastAsia"/>
        </w:rPr>
        <w:t>基金管理人持有本基金份额变动情况</w:t>
      </w:r>
      <w:bookmarkEnd w:id="320"/>
      <w:bookmarkEnd w:id="321"/>
      <w:bookmarkEnd w:id="322"/>
      <w:bookmarkEnd w:id="323"/>
      <w:bookmarkEnd w:id="324"/>
      <w:bookmarkEnd w:id="325"/>
      <w:bookmarkEnd w:id="326"/>
      <w:bookmarkEnd w:id="327"/>
      <w:proofErr w:type="spellEnd"/>
      <w:r>
        <w:rPr>
          <w:rFonts w:hAnsi="宋体" w:hint="eastAsia"/>
          <w:lang w:eastAsia="zh-CN"/>
        </w:rPr>
        <w:t xml:space="preserve"> </w:t>
      </w:r>
    </w:p>
    <w:p w14:paraId="53E29E2E" w14:textId="77777777" w:rsidR="005C2C0E" w:rsidRDefault="005C2C0E">
      <w:pPr>
        <w:wordWrap w:val="0"/>
        <w:spacing w:line="360" w:lineRule="auto"/>
        <w:jc w:val="right"/>
        <w:divId w:val="670715612"/>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920DE8" w14:paraId="1DF9455D" w14:textId="77777777">
        <w:trPr>
          <w:divId w:val="670715612"/>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7DB3A5B" w14:textId="77777777" w:rsidR="005C2C0E" w:rsidRDefault="005C2C0E">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05A8142" w14:textId="77777777" w:rsidR="005C2C0E" w:rsidRDefault="005C2C0E">
            <w:pPr>
              <w:jc w:val="center"/>
            </w:pPr>
            <w:r>
              <w:rPr>
                <w:rFonts w:ascii="宋体" w:hAnsi="宋体" w:hint="eastAsia"/>
                <w:lang w:eastAsia="zh-Hans"/>
              </w:rPr>
              <w:t>摩根动态多因子混合A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B1DB6C3" w14:textId="77777777" w:rsidR="005C2C0E" w:rsidRDefault="005C2C0E">
            <w:pPr>
              <w:jc w:val="center"/>
            </w:pPr>
            <w:r>
              <w:rPr>
                <w:rFonts w:ascii="宋体" w:hAnsi="宋体" w:hint="eastAsia"/>
                <w:lang w:eastAsia="zh-Hans"/>
              </w:rPr>
              <w:t>摩根动态多因子混合C</w:t>
            </w:r>
            <w:r>
              <w:rPr>
                <w:rFonts w:ascii="宋体" w:hAnsi="宋体" w:hint="eastAsia"/>
                <w:color w:val="000000"/>
              </w:rPr>
              <w:t xml:space="preserve"> </w:t>
            </w:r>
          </w:p>
        </w:tc>
      </w:tr>
      <w:tr w:rsidR="00920DE8" w14:paraId="3D86208B" w14:textId="77777777">
        <w:trPr>
          <w:divId w:val="67071561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E6B12F" w14:textId="77777777" w:rsidR="005C2C0E" w:rsidRDefault="005C2C0E">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286550" w14:textId="77777777" w:rsidR="005C2C0E" w:rsidRDefault="005C2C0E">
            <w:pPr>
              <w:jc w:val="right"/>
            </w:pPr>
            <w:r>
              <w:rPr>
                <w:rFonts w:ascii="宋体" w:hAnsi="宋体" w:hint="eastAsia"/>
                <w:kern w:val="0"/>
                <w:szCs w:val="24"/>
                <w:lang w:eastAsia="zh-Hans"/>
              </w:rPr>
              <w:t>409,906.01</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C39709" w14:textId="77777777" w:rsidR="005C2C0E" w:rsidRDefault="005C2C0E">
            <w:pPr>
              <w:jc w:val="right"/>
            </w:pPr>
            <w:r>
              <w:rPr>
                <w:rFonts w:ascii="宋体" w:hAnsi="宋体" w:hint="eastAsia"/>
                <w:kern w:val="0"/>
                <w:szCs w:val="24"/>
                <w:lang w:eastAsia="zh-Hans"/>
              </w:rPr>
              <w:t>-</w:t>
            </w:r>
          </w:p>
        </w:tc>
      </w:tr>
      <w:tr w:rsidR="00920DE8" w14:paraId="1DCE5C89" w14:textId="77777777">
        <w:trPr>
          <w:divId w:val="67071561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9B3A1A" w14:textId="77777777" w:rsidR="005C2C0E" w:rsidRDefault="005C2C0E">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10EDD5" w14:textId="77777777" w:rsidR="005C2C0E" w:rsidRDefault="005C2C0E">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80DDEB" w14:textId="77777777" w:rsidR="005C2C0E" w:rsidRDefault="005C2C0E">
            <w:pPr>
              <w:jc w:val="right"/>
            </w:pPr>
            <w:r>
              <w:rPr>
                <w:rFonts w:ascii="宋体" w:hAnsi="宋体" w:hint="eastAsia"/>
                <w:szCs w:val="24"/>
                <w:lang w:eastAsia="zh-Hans"/>
              </w:rPr>
              <w:t>-</w:t>
            </w:r>
          </w:p>
        </w:tc>
      </w:tr>
      <w:tr w:rsidR="00920DE8" w14:paraId="3B51C339" w14:textId="77777777">
        <w:trPr>
          <w:divId w:val="67071561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C0B748" w14:textId="77777777" w:rsidR="005C2C0E" w:rsidRDefault="005C2C0E">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4411E2" w14:textId="77777777" w:rsidR="005C2C0E" w:rsidRDefault="005C2C0E">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6EE4F0" w14:textId="77777777" w:rsidR="005C2C0E" w:rsidRDefault="005C2C0E">
            <w:pPr>
              <w:jc w:val="right"/>
            </w:pPr>
            <w:r>
              <w:rPr>
                <w:rFonts w:ascii="宋体" w:hAnsi="宋体" w:hint="eastAsia"/>
                <w:lang w:eastAsia="zh-Hans"/>
              </w:rPr>
              <w:t>-</w:t>
            </w:r>
          </w:p>
        </w:tc>
      </w:tr>
      <w:tr w:rsidR="00920DE8" w14:paraId="22F4E41F" w14:textId="77777777">
        <w:trPr>
          <w:divId w:val="67071561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BB3B19" w14:textId="77777777" w:rsidR="005C2C0E" w:rsidRDefault="005C2C0E">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D6FC50" w14:textId="77777777" w:rsidR="005C2C0E" w:rsidRDefault="005C2C0E">
            <w:pPr>
              <w:jc w:val="right"/>
            </w:pPr>
            <w:r>
              <w:rPr>
                <w:rFonts w:ascii="宋体" w:hAnsi="宋体" w:hint="eastAsia"/>
                <w:lang w:eastAsia="zh-Hans"/>
              </w:rPr>
              <w:t>409,906.01</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9A2E73" w14:textId="77777777" w:rsidR="005C2C0E" w:rsidRDefault="005C2C0E">
            <w:pPr>
              <w:jc w:val="right"/>
            </w:pPr>
            <w:r>
              <w:rPr>
                <w:rFonts w:ascii="宋体" w:hAnsi="宋体" w:hint="eastAsia"/>
                <w:lang w:eastAsia="zh-Hans"/>
              </w:rPr>
              <w:t>-</w:t>
            </w:r>
          </w:p>
        </w:tc>
      </w:tr>
      <w:tr w:rsidR="00920DE8" w14:paraId="324E365A" w14:textId="77777777">
        <w:trPr>
          <w:divId w:val="67071561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E033C8" w14:textId="77777777" w:rsidR="005C2C0E" w:rsidRDefault="005C2C0E">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2F542C" w14:textId="77777777" w:rsidR="005C2C0E" w:rsidRDefault="005C2C0E">
            <w:pPr>
              <w:jc w:val="right"/>
            </w:pPr>
            <w:r>
              <w:rPr>
                <w:rFonts w:ascii="宋体" w:hAnsi="宋体" w:hint="eastAsia"/>
                <w:lang w:eastAsia="zh-Hans"/>
              </w:rPr>
              <w:t>0.55</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BD17FE" w14:textId="77777777" w:rsidR="005C2C0E" w:rsidRDefault="005C2C0E">
            <w:pPr>
              <w:jc w:val="right"/>
            </w:pPr>
            <w:r>
              <w:rPr>
                <w:rFonts w:ascii="宋体" w:hAnsi="宋体" w:hint="eastAsia"/>
                <w:lang w:eastAsia="zh-Hans"/>
              </w:rPr>
              <w:t>-</w:t>
            </w:r>
          </w:p>
        </w:tc>
      </w:tr>
    </w:tbl>
    <w:p w14:paraId="7D87F4AE" w14:textId="77777777" w:rsidR="005C2C0E" w:rsidRDefault="005C2C0E">
      <w:pPr>
        <w:pStyle w:val="XBRLTitle2"/>
        <w:spacing w:before="156" w:line="360" w:lineRule="auto"/>
        <w:ind w:left="454"/>
      </w:pPr>
      <w:bookmarkStart w:id="328" w:name="_Toc17898223"/>
      <w:bookmarkStart w:id="329" w:name="_Toc17897964"/>
      <w:bookmarkStart w:id="330" w:name="_Toc512519524"/>
      <w:bookmarkStart w:id="331" w:name="_Toc481075092"/>
      <w:bookmarkStart w:id="332" w:name="_Toc458599607"/>
      <w:bookmarkStart w:id="333" w:name="_Toc490050045"/>
      <w:bookmarkStart w:id="334" w:name="_Toc513295873"/>
      <w:bookmarkStart w:id="335" w:name="_Toc513295936"/>
      <w:proofErr w:type="spellStart"/>
      <w:r>
        <w:rPr>
          <w:rFonts w:hAnsi="宋体" w:hint="eastAsia"/>
        </w:rPr>
        <w:t>基金管理人运用固有资金投资本基金交易明细</w:t>
      </w:r>
      <w:bookmarkEnd w:id="328"/>
      <w:bookmarkEnd w:id="329"/>
      <w:bookmarkEnd w:id="330"/>
      <w:bookmarkEnd w:id="331"/>
      <w:bookmarkEnd w:id="332"/>
      <w:bookmarkEnd w:id="333"/>
      <w:bookmarkEnd w:id="334"/>
      <w:bookmarkEnd w:id="335"/>
      <w:proofErr w:type="spellEnd"/>
      <w:r>
        <w:rPr>
          <w:rFonts w:hAnsi="宋体" w:hint="eastAsia"/>
          <w:lang w:eastAsia="zh-CN"/>
        </w:rPr>
        <w:t xml:space="preserve"> </w:t>
      </w:r>
    </w:p>
    <w:p w14:paraId="63C2BD2E" w14:textId="77777777" w:rsidR="005C2C0E" w:rsidRDefault="005C2C0E">
      <w:pPr>
        <w:spacing w:line="360" w:lineRule="auto"/>
        <w:ind w:firstLineChars="200" w:firstLine="420"/>
        <w:jc w:val="left"/>
        <w:divId w:val="892158256"/>
      </w:pPr>
      <w:r>
        <w:rPr>
          <w:rFonts w:ascii="宋体" w:hAnsi="宋体" w:hint="eastAsia"/>
          <w:lang w:eastAsia="zh-Hans"/>
        </w:rPr>
        <w:t>无。</w:t>
      </w:r>
      <w:r>
        <w:rPr>
          <w:rFonts w:ascii="宋体" w:hAnsi="宋体" w:hint="eastAsia"/>
        </w:rPr>
        <w:t xml:space="preserve"> </w:t>
      </w:r>
    </w:p>
    <w:p w14:paraId="40E08539" w14:textId="77777777" w:rsidR="005C2C0E" w:rsidRDefault="005C2C0E">
      <w:pPr>
        <w:pStyle w:val="XBRLTitle1"/>
        <w:spacing w:before="156" w:line="360" w:lineRule="auto"/>
        <w:ind w:left="425"/>
      </w:pPr>
      <w:bookmarkStart w:id="336" w:name="_Toc17898225"/>
      <w:bookmarkStart w:id="337" w:name="_Toc17897966"/>
      <w:bookmarkStart w:id="338" w:name="_Toc512519526"/>
      <w:bookmarkStart w:id="339" w:name="_Toc490050046"/>
      <w:bookmarkStart w:id="340" w:name="_Toc481075094"/>
      <w:bookmarkStart w:id="341" w:name="_Toc479856294"/>
      <w:bookmarkStart w:id="342" w:name="_Toc513295875"/>
      <w:bookmarkStart w:id="343" w:name="_Toc513295938"/>
      <w:bookmarkStart w:id="344" w:name="m701"/>
      <w:proofErr w:type="spellStart"/>
      <w:r>
        <w:rPr>
          <w:rFonts w:hAnsi="宋体" w:hint="eastAsia"/>
        </w:rPr>
        <w:t>影响投资者决策的其他重要信息</w:t>
      </w:r>
      <w:bookmarkEnd w:id="336"/>
      <w:bookmarkEnd w:id="337"/>
      <w:bookmarkEnd w:id="338"/>
      <w:bookmarkEnd w:id="339"/>
      <w:bookmarkEnd w:id="340"/>
      <w:bookmarkEnd w:id="341"/>
      <w:bookmarkEnd w:id="342"/>
      <w:bookmarkEnd w:id="343"/>
      <w:proofErr w:type="spellEnd"/>
      <w:r>
        <w:rPr>
          <w:rFonts w:hAnsi="宋体" w:hint="eastAsia"/>
          <w:lang w:eastAsia="zh-CN"/>
        </w:rPr>
        <w:t xml:space="preserve"> </w:t>
      </w:r>
    </w:p>
    <w:p w14:paraId="0063AAB0" w14:textId="77777777" w:rsidR="005C2C0E" w:rsidRDefault="005C2C0E">
      <w:pPr>
        <w:pStyle w:val="XBRLTitle2"/>
        <w:spacing w:before="156" w:line="360" w:lineRule="auto"/>
        <w:ind w:left="454"/>
      </w:pPr>
      <w:bookmarkStart w:id="345" w:name="_Toc17898226"/>
      <w:bookmarkStart w:id="346" w:name="_Toc17897967"/>
      <w:bookmarkStart w:id="347" w:name="_Toc512519527"/>
      <w:bookmarkStart w:id="348" w:name="_Toc481075095"/>
      <w:bookmarkStart w:id="349" w:name="_Toc490050047"/>
      <w:bookmarkStart w:id="350" w:name="_Toc513295876"/>
      <w:bookmarkStart w:id="351" w:name="_Toc513295939"/>
      <w:r>
        <w:rPr>
          <w:rFonts w:hAnsi="宋体" w:hint="eastAsia"/>
          <w:kern w:val="0"/>
        </w:rPr>
        <w:t>报告期内单一投资者持有基金份额比例达到或超过20%的情况</w:t>
      </w:r>
      <w:bookmarkEnd w:id="345"/>
      <w:bookmarkEnd w:id="346"/>
      <w:bookmarkEnd w:id="347"/>
      <w:bookmarkEnd w:id="348"/>
      <w:bookmarkEnd w:id="349"/>
      <w:bookmarkEnd w:id="350"/>
      <w:bookmarkEnd w:id="351"/>
      <w:r>
        <w:rPr>
          <w:rFonts w:hAnsi="宋体" w:hint="eastAsia"/>
          <w:kern w:val="0"/>
          <w:lang w:eastAsia="zh-CN"/>
        </w:rPr>
        <w:t xml:space="preserve"> </w:t>
      </w:r>
    </w:p>
    <w:bookmarkEnd w:id="22"/>
    <w:bookmarkEnd w:id="42"/>
    <w:bookmarkEnd w:id="43"/>
    <w:p w14:paraId="0A97C049" w14:textId="77777777" w:rsidR="005C2C0E" w:rsidRDefault="005C2C0E">
      <w:pPr>
        <w:spacing w:line="360" w:lineRule="auto"/>
        <w:ind w:firstLineChars="200" w:firstLine="420"/>
        <w:divId w:val="1926718915"/>
        <w:rPr>
          <w:rFonts w:ascii="宋体" w:hAnsi="宋体" w:hint="eastAsia"/>
          <w:szCs w:val="21"/>
          <w:lang w:eastAsia="zh-Hans"/>
        </w:rPr>
      </w:pPr>
      <w:r>
        <w:rPr>
          <w:rFonts w:ascii="宋体" w:hAnsi="宋体" w:hint="eastAsia"/>
          <w:szCs w:val="21"/>
          <w:lang w:eastAsia="zh-Hans"/>
        </w:rPr>
        <w:t>无。</w:t>
      </w:r>
    </w:p>
    <w:p w14:paraId="7AB879A6" w14:textId="77777777" w:rsidR="005C2C0E" w:rsidRDefault="005C2C0E">
      <w:pPr>
        <w:pStyle w:val="XBRLTitle1"/>
        <w:spacing w:before="156" w:line="360" w:lineRule="auto"/>
        <w:ind w:left="425"/>
      </w:pPr>
      <w:bookmarkStart w:id="352" w:name="_Toc17898228"/>
      <w:bookmarkStart w:id="353" w:name="_Toc17897969"/>
      <w:bookmarkStart w:id="354" w:name="_Toc512519529"/>
      <w:bookmarkStart w:id="355" w:name="_Toc490050049"/>
      <w:bookmarkStart w:id="356" w:name="_Toc481075097"/>
      <w:bookmarkStart w:id="357" w:name="_Toc438646481"/>
      <w:bookmarkStart w:id="358" w:name="_Toc513295878"/>
      <w:bookmarkStart w:id="359" w:name="_Toc513295941"/>
      <w:bookmarkEnd w:id="344"/>
      <w:proofErr w:type="spellStart"/>
      <w:r>
        <w:rPr>
          <w:rFonts w:hAnsi="宋体" w:hint="eastAsia"/>
        </w:rPr>
        <w:t>备查文件目录</w:t>
      </w:r>
      <w:bookmarkEnd w:id="352"/>
      <w:bookmarkEnd w:id="353"/>
      <w:bookmarkEnd w:id="354"/>
      <w:bookmarkEnd w:id="355"/>
      <w:bookmarkEnd w:id="356"/>
      <w:bookmarkEnd w:id="357"/>
      <w:bookmarkEnd w:id="358"/>
      <w:bookmarkEnd w:id="359"/>
      <w:proofErr w:type="spellEnd"/>
      <w:r>
        <w:rPr>
          <w:rFonts w:hAnsi="宋体" w:hint="eastAsia"/>
        </w:rPr>
        <w:t xml:space="preserve"> </w:t>
      </w:r>
    </w:p>
    <w:p w14:paraId="121FC850" w14:textId="77777777" w:rsidR="005C2C0E" w:rsidRDefault="005C2C0E">
      <w:pPr>
        <w:pStyle w:val="XBRLTitle2"/>
        <w:spacing w:before="156" w:line="360" w:lineRule="auto"/>
        <w:ind w:left="454"/>
      </w:pPr>
      <w:bookmarkStart w:id="360" w:name="_Toc438646482"/>
      <w:bookmarkStart w:id="361" w:name="_Toc17898229"/>
      <w:bookmarkStart w:id="362" w:name="_Toc17897970"/>
      <w:bookmarkStart w:id="363" w:name="_Toc512519530"/>
      <w:bookmarkStart w:id="364" w:name="_Toc481075098"/>
      <w:bookmarkStart w:id="365" w:name="_Toc490050050"/>
      <w:bookmarkStart w:id="366" w:name="_Toc513295879"/>
      <w:bookmarkStart w:id="367" w:name="_Toc513295942"/>
      <w:bookmarkStart w:id="368" w:name="m801_01_1733"/>
      <w:proofErr w:type="spellStart"/>
      <w:r>
        <w:rPr>
          <w:rFonts w:hAnsi="宋体" w:hint="eastAsia"/>
        </w:rPr>
        <w:t>备查文件目录</w:t>
      </w:r>
      <w:bookmarkEnd w:id="360"/>
      <w:bookmarkEnd w:id="361"/>
      <w:bookmarkEnd w:id="362"/>
      <w:bookmarkEnd w:id="363"/>
      <w:bookmarkEnd w:id="364"/>
      <w:bookmarkEnd w:id="365"/>
      <w:bookmarkEnd w:id="366"/>
      <w:bookmarkEnd w:id="367"/>
      <w:proofErr w:type="spellEnd"/>
      <w:r>
        <w:rPr>
          <w:rFonts w:hAnsi="宋体" w:hint="eastAsia"/>
        </w:rPr>
        <w:t xml:space="preserve"> </w:t>
      </w:r>
    </w:p>
    <w:p w14:paraId="685468B8" w14:textId="77777777" w:rsidR="005C2C0E" w:rsidRDefault="005C2C0E">
      <w:pPr>
        <w:spacing w:line="360" w:lineRule="auto"/>
        <w:ind w:firstLineChars="200" w:firstLine="420"/>
        <w:jc w:val="left"/>
      </w:pPr>
      <w:r>
        <w:rPr>
          <w:rFonts w:ascii="宋体" w:hAnsi="宋体" w:cs="宋体" w:hint="eastAsia"/>
          <w:color w:val="000000"/>
          <w:kern w:val="0"/>
        </w:rPr>
        <w:t xml:space="preserve">1、中国证监会准予本基金设立的文件；　</w:t>
      </w:r>
      <w:r>
        <w:rPr>
          <w:rFonts w:ascii="宋体" w:hAnsi="宋体" w:cs="宋体" w:hint="eastAsia"/>
          <w:color w:val="000000"/>
          <w:kern w:val="0"/>
        </w:rPr>
        <w:br/>
        <w:t xml:space="preserve">　　2、《摩根动态多因子策略灵活配置混合型证券投资基金基金合同》；　</w:t>
      </w:r>
      <w:r>
        <w:rPr>
          <w:rFonts w:ascii="宋体" w:hAnsi="宋体" w:cs="宋体" w:hint="eastAsia"/>
          <w:color w:val="000000"/>
          <w:kern w:val="0"/>
        </w:rPr>
        <w:br/>
        <w:t xml:space="preserve">　　3、《摩根动态多因子策略灵活配置混合型证券投资基金托管协议》；　</w:t>
      </w:r>
      <w:r>
        <w:rPr>
          <w:rFonts w:ascii="宋体" w:hAnsi="宋体" w:cs="宋体" w:hint="eastAsia"/>
          <w:color w:val="000000"/>
          <w:kern w:val="0"/>
        </w:rPr>
        <w:br/>
        <w:t xml:space="preserve">　　4、《摩根基金管理(中国)有限公司开放式基金业务规则》；　</w:t>
      </w:r>
      <w:r>
        <w:rPr>
          <w:rFonts w:ascii="宋体" w:hAnsi="宋体" w:cs="宋体" w:hint="eastAsia"/>
          <w:color w:val="000000"/>
          <w:kern w:val="0"/>
        </w:rPr>
        <w:br/>
        <w:t xml:space="preserve">　　5、基金管理人业务资格批件、营业执照；　</w:t>
      </w:r>
      <w:r>
        <w:rPr>
          <w:rFonts w:ascii="宋体" w:hAnsi="宋体" w:cs="宋体" w:hint="eastAsia"/>
          <w:color w:val="000000"/>
          <w:kern w:val="0"/>
        </w:rPr>
        <w:br/>
        <w:t xml:space="preserve">　　6、基金托管人业务资格批件和营业执照。</w:t>
      </w:r>
    </w:p>
    <w:p w14:paraId="09425BE0" w14:textId="77777777" w:rsidR="005C2C0E" w:rsidRDefault="005C2C0E">
      <w:pPr>
        <w:pStyle w:val="XBRLTitle2"/>
        <w:spacing w:before="156" w:line="360" w:lineRule="auto"/>
        <w:ind w:left="454"/>
      </w:pPr>
      <w:bookmarkStart w:id="369" w:name="_Toc438646483"/>
      <w:bookmarkStart w:id="370" w:name="_Toc17898230"/>
      <w:bookmarkStart w:id="371" w:name="_Toc17897971"/>
      <w:bookmarkStart w:id="372" w:name="_Toc512519531"/>
      <w:bookmarkStart w:id="373" w:name="_Toc481075099"/>
      <w:bookmarkStart w:id="374" w:name="_Toc490050051"/>
      <w:bookmarkStart w:id="375" w:name="_Toc513295880"/>
      <w:bookmarkStart w:id="376" w:name="_Toc513295943"/>
      <w:bookmarkStart w:id="377" w:name="m801_01_1734"/>
      <w:bookmarkEnd w:id="368"/>
      <w:proofErr w:type="spellStart"/>
      <w:r>
        <w:rPr>
          <w:rFonts w:hAnsi="宋体" w:hint="eastAsia"/>
        </w:rPr>
        <w:t>存放地点</w:t>
      </w:r>
      <w:bookmarkEnd w:id="369"/>
      <w:bookmarkEnd w:id="370"/>
      <w:bookmarkEnd w:id="371"/>
      <w:bookmarkEnd w:id="372"/>
      <w:bookmarkEnd w:id="373"/>
      <w:bookmarkEnd w:id="374"/>
      <w:bookmarkEnd w:id="375"/>
      <w:bookmarkEnd w:id="376"/>
      <w:proofErr w:type="spellEnd"/>
      <w:r>
        <w:rPr>
          <w:rFonts w:hAnsi="宋体" w:hint="eastAsia"/>
        </w:rPr>
        <w:t xml:space="preserve"> </w:t>
      </w:r>
    </w:p>
    <w:p w14:paraId="51CB4B9C" w14:textId="77777777" w:rsidR="005C2C0E" w:rsidRDefault="005C2C0E">
      <w:pPr>
        <w:spacing w:line="360" w:lineRule="auto"/>
        <w:ind w:firstLineChars="200" w:firstLine="420"/>
        <w:jc w:val="left"/>
      </w:pPr>
      <w:r>
        <w:rPr>
          <w:rFonts w:ascii="宋体" w:hAnsi="宋体" w:cs="宋体" w:hint="eastAsia"/>
          <w:color w:val="000000"/>
          <w:kern w:val="0"/>
        </w:rPr>
        <w:t>基金管理人或基金托管人住所。</w:t>
      </w:r>
    </w:p>
    <w:p w14:paraId="7F207217" w14:textId="77777777" w:rsidR="005C2C0E" w:rsidRDefault="005C2C0E">
      <w:pPr>
        <w:pStyle w:val="XBRLTitle2"/>
        <w:spacing w:before="156" w:line="360" w:lineRule="auto"/>
        <w:ind w:left="454"/>
      </w:pPr>
      <w:bookmarkStart w:id="378" w:name="_Toc438646484"/>
      <w:bookmarkStart w:id="379" w:name="_Toc17898231"/>
      <w:bookmarkStart w:id="380" w:name="_Toc17897972"/>
      <w:bookmarkStart w:id="381" w:name="_Toc512519532"/>
      <w:bookmarkStart w:id="382" w:name="_Toc481075100"/>
      <w:bookmarkStart w:id="383" w:name="_Toc490050052"/>
      <w:bookmarkStart w:id="384" w:name="_Toc513295881"/>
      <w:bookmarkStart w:id="385" w:name="_Toc513295944"/>
      <w:bookmarkStart w:id="386" w:name="m801_01_1735"/>
      <w:bookmarkEnd w:id="377"/>
      <w:proofErr w:type="spellStart"/>
      <w:r>
        <w:rPr>
          <w:rFonts w:hAnsi="宋体" w:hint="eastAsia"/>
        </w:rPr>
        <w:t>查阅方式</w:t>
      </w:r>
      <w:bookmarkEnd w:id="378"/>
      <w:bookmarkEnd w:id="379"/>
      <w:bookmarkEnd w:id="380"/>
      <w:bookmarkEnd w:id="381"/>
      <w:bookmarkEnd w:id="382"/>
      <w:bookmarkEnd w:id="383"/>
      <w:bookmarkEnd w:id="384"/>
      <w:bookmarkEnd w:id="385"/>
      <w:proofErr w:type="spellEnd"/>
      <w:r>
        <w:rPr>
          <w:rFonts w:hAnsi="宋体" w:hint="eastAsia"/>
        </w:rPr>
        <w:t xml:space="preserve"> </w:t>
      </w:r>
    </w:p>
    <w:p w14:paraId="1AC5D511" w14:textId="77777777" w:rsidR="005C2C0E" w:rsidRDefault="005C2C0E">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6"/>
    <w:p w14:paraId="328BB8A1" w14:textId="77777777" w:rsidR="005C2C0E" w:rsidRDefault="005C2C0E">
      <w:pPr>
        <w:spacing w:line="360" w:lineRule="auto"/>
        <w:ind w:firstLineChars="600" w:firstLine="1687"/>
        <w:jc w:val="left"/>
      </w:pPr>
      <w:r>
        <w:rPr>
          <w:rFonts w:ascii="宋体" w:hAnsi="宋体" w:hint="eastAsia"/>
          <w:b/>
          <w:bCs/>
          <w:sz w:val="28"/>
          <w:szCs w:val="30"/>
        </w:rPr>
        <w:lastRenderedPageBreak/>
        <w:t xml:space="preserve">　 </w:t>
      </w:r>
    </w:p>
    <w:p w14:paraId="3536CEF5" w14:textId="77777777" w:rsidR="005C2C0E" w:rsidRDefault="005C2C0E">
      <w:pPr>
        <w:spacing w:line="360" w:lineRule="auto"/>
        <w:ind w:firstLineChars="600" w:firstLine="1687"/>
        <w:jc w:val="left"/>
      </w:pPr>
      <w:r>
        <w:rPr>
          <w:rFonts w:ascii="宋体" w:hAnsi="宋体" w:hint="eastAsia"/>
          <w:b/>
          <w:bCs/>
          <w:sz w:val="28"/>
          <w:szCs w:val="30"/>
        </w:rPr>
        <w:t xml:space="preserve">　 </w:t>
      </w:r>
    </w:p>
    <w:p w14:paraId="12AE5803" w14:textId="77777777" w:rsidR="005C2C0E" w:rsidRDefault="005C2C0E">
      <w:pPr>
        <w:spacing w:line="360" w:lineRule="auto"/>
        <w:ind w:firstLineChars="600" w:firstLine="1446"/>
        <w:jc w:val="right"/>
      </w:pPr>
      <w:r>
        <w:rPr>
          <w:rFonts w:ascii="宋体" w:hAnsi="宋体" w:hint="eastAsia"/>
          <w:b/>
          <w:bCs/>
          <w:sz w:val="24"/>
          <w:szCs w:val="24"/>
        </w:rPr>
        <w:t>摩根基金管理（中国）有限公司</w:t>
      </w:r>
    </w:p>
    <w:p w14:paraId="457317BF" w14:textId="77777777" w:rsidR="005C2C0E" w:rsidRDefault="005C2C0E">
      <w:pPr>
        <w:spacing w:line="360" w:lineRule="auto"/>
        <w:ind w:firstLineChars="600" w:firstLine="1446"/>
        <w:jc w:val="right"/>
      </w:pPr>
      <w:r>
        <w:rPr>
          <w:rFonts w:ascii="宋体" w:hAnsi="宋体" w:hint="eastAsia"/>
          <w:b/>
          <w:bCs/>
          <w:sz w:val="24"/>
          <w:szCs w:val="24"/>
        </w:rPr>
        <w:t>2026年1月22日</w:t>
      </w:r>
      <w:bookmarkEnd w:id="23"/>
    </w:p>
    <w:sectPr w:rsidR="005C2C0E">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3AF9D" w14:textId="77777777" w:rsidR="005C2C0E" w:rsidRDefault="005C2C0E">
      <w:pPr>
        <w:rPr>
          <w:szCs w:val="21"/>
        </w:rPr>
      </w:pPr>
      <w:r>
        <w:rPr>
          <w:szCs w:val="21"/>
        </w:rPr>
        <w:separator/>
      </w:r>
      <w:r>
        <w:rPr>
          <w:szCs w:val="21"/>
        </w:rPr>
        <w:t xml:space="preserve"> </w:t>
      </w:r>
    </w:p>
  </w:endnote>
  <w:endnote w:type="continuationSeparator" w:id="0">
    <w:p w14:paraId="721C16F6" w14:textId="77777777" w:rsidR="005C2C0E" w:rsidRDefault="005C2C0E">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3776D" w14:textId="77777777" w:rsidR="005C2C0E" w:rsidRDefault="005C2C0E">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F58C3" w14:textId="77777777" w:rsidR="005C2C0E" w:rsidRDefault="005C2C0E">
      <w:pPr>
        <w:rPr>
          <w:szCs w:val="21"/>
        </w:rPr>
      </w:pPr>
      <w:r>
        <w:rPr>
          <w:szCs w:val="21"/>
        </w:rPr>
        <w:separator/>
      </w:r>
      <w:r>
        <w:rPr>
          <w:szCs w:val="21"/>
        </w:rPr>
        <w:t xml:space="preserve"> </w:t>
      </w:r>
    </w:p>
  </w:footnote>
  <w:footnote w:type="continuationSeparator" w:id="0">
    <w:p w14:paraId="2D51935B" w14:textId="77777777" w:rsidR="005C2C0E" w:rsidRDefault="005C2C0E">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CBF12" w14:textId="77777777" w:rsidR="005C2C0E" w:rsidRDefault="005C2C0E">
    <w:pPr>
      <w:pStyle w:val="a8"/>
      <w:jc w:val="right"/>
    </w:pPr>
    <w:r>
      <w:rPr>
        <w:rFonts w:ascii="宋体" w:hAnsi="宋体" w:hint="eastAsia"/>
      </w:rPr>
      <w:t>摩根动态多因子策略灵活配置混合型证券投资基金2025年第4季度报告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516621740">
    <w:abstractNumId w:val="0"/>
  </w:num>
  <w:num w:numId="2" w16cid:durableId="14821918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C0E"/>
    <w:rsid w:val="005C2C0E"/>
    <w:rsid w:val="00920DE8"/>
    <w:rsid w:val="009674C6"/>
    <w:rsid w:val="00EC05D8"/>
    <w:rsid w:val="00FD1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004CEB0D"/>
  <w15:chartTrackingRefBased/>
  <w15:docId w15:val="{C8A41740-4266-4D41-9735-34114CED8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02466">
      <w:marLeft w:val="0"/>
      <w:marRight w:val="0"/>
      <w:marTop w:val="0"/>
      <w:marBottom w:val="0"/>
      <w:divBdr>
        <w:top w:val="none" w:sz="0" w:space="0" w:color="auto"/>
        <w:left w:val="none" w:sz="0" w:space="0" w:color="auto"/>
        <w:bottom w:val="none" w:sz="0" w:space="0" w:color="auto"/>
        <w:right w:val="none" w:sz="0" w:space="0" w:color="auto"/>
      </w:divBdr>
    </w:div>
    <w:div w:id="71896933">
      <w:marLeft w:val="0"/>
      <w:marRight w:val="0"/>
      <w:marTop w:val="0"/>
      <w:marBottom w:val="0"/>
      <w:divBdr>
        <w:top w:val="none" w:sz="0" w:space="0" w:color="auto"/>
        <w:left w:val="none" w:sz="0" w:space="0" w:color="auto"/>
        <w:bottom w:val="none" w:sz="0" w:space="0" w:color="auto"/>
        <w:right w:val="none" w:sz="0" w:space="0" w:color="auto"/>
      </w:divBdr>
      <w:divsChild>
        <w:div w:id="2144037415">
          <w:marLeft w:val="0"/>
          <w:marRight w:val="0"/>
          <w:marTop w:val="0"/>
          <w:marBottom w:val="0"/>
          <w:divBdr>
            <w:top w:val="none" w:sz="0" w:space="0" w:color="auto"/>
            <w:left w:val="none" w:sz="0" w:space="0" w:color="auto"/>
            <w:bottom w:val="none" w:sz="0" w:space="0" w:color="auto"/>
            <w:right w:val="none" w:sz="0" w:space="0" w:color="auto"/>
          </w:divBdr>
        </w:div>
      </w:divsChild>
    </w:div>
    <w:div w:id="105928374">
      <w:marLeft w:val="0"/>
      <w:marRight w:val="0"/>
      <w:marTop w:val="0"/>
      <w:marBottom w:val="0"/>
      <w:divBdr>
        <w:top w:val="none" w:sz="0" w:space="0" w:color="auto"/>
        <w:left w:val="none" w:sz="0" w:space="0" w:color="auto"/>
        <w:bottom w:val="none" w:sz="0" w:space="0" w:color="auto"/>
        <w:right w:val="none" w:sz="0" w:space="0" w:color="auto"/>
      </w:divBdr>
    </w:div>
    <w:div w:id="142241952">
      <w:marLeft w:val="0"/>
      <w:marRight w:val="0"/>
      <w:marTop w:val="0"/>
      <w:marBottom w:val="0"/>
      <w:divBdr>
        <w:top w:val="none" w:sz="0" w:space="0" w:color="auto"/>
        <w:left w:val="none" w:sz="0" w:space="0" w:color="auto"/>
        <w:bottom w:val="none" w:sz="0" w:space="0" w:color="auto"/>
        <w:right w:val="none" w:sz="0" w:space="0" w:color="auto"/>
      </w:divBdr>
    </w:div>
    <w:div w:id="213858337">
      <w:marLeft w:val="0"/>
      <w:marRight w:val="0"/>
      <w:marTop w:val="0"/>
      <w:marBottom w:val="0"/>
      <w:divBdr>
        <w:top w:val="none" w:sz="0" w:space="0" w:color="auto"/>
        <w:left w:val="none" w:sz="0" w:space="0" w:color="auto"/>
        <w:bottom w:val="none" w:sz="0" w:space="0" w:color="auto"/>
        <w:right w:val="none" w:sz="0" w:space="0" w:color="auto"/>
      </w:divBdr>
    </w:div>
    <w:div w:id="249582453">
      <w:marLeft w:val="0"/>
      <w:marRight w:val="0"/>
      <w:marTop w:val="0"/>
      <w:marBottom w:val="0"/>
      <w:divBdr>
        <w:top w:val="none" w:sz="0" w:space="0" w:color="auto"/>
        <w:left w:val="none" w:sz="0" w:space="0" w:color="auto"/>
        <w:bottom w:val="none" w:sz="0" w:space="0" w:color="auto"/>
        <w:right w:val="none" w:sz="0" w:space="0" w:color="auto"/>
      </w:divBdr>
    </w:div>
    <w:div w:id="482042728">
      <w:marLeft w:val="0"/>
      <w:marRight w:val="0"/>
      <w:marTop w:val="0"/>
      <w:marBottom w:val="0"/>
      <w:divBdr>
        <w:top w:val="none" w:sz="0" w:space="0" w:color="auto"/>
        <w:left w:val="none" w:sz="0" w:space="0" w:color="auto"/>
        <w:bottom w:val="none" w:sz="0" w:space="0" w:color="auto"/>
        <w:right w:val="none" w:sz="0" w:space="0" w:color="auto"/>
      </w:divBdr>
      <w:divsChild>
        <w:div w:id="332146965">
          <w:marLeft w:val="0"/>
          <w:marRight w:val="0"/>
          <w:marTop w:val="0"/>
          <w:marBottom w:val="0"/>
          <w:divBdr>
            <w:top w:val="none" w:sz="0" w:space="0" w:color="auto"/>
            <w:left w:val="none" w:sz="0" w:space="0" w:color="auto"/>
            <w:bottom w:val="none" w:sz="0" w:space="0" w:color="auto"/>
            <w:right w:val="none" w:sz="0" w:space="0" w:color="auto"/>
          </w:divBdr>
        </w:div>
      </w:divsChild>
    </w:div>
    <w:div w:id="539634661">
      <w:marLeft w:val="0"/>
      <w:marRight w:val="0"/>
      <w:marTop w:val="0"/>
      <w:marBottom w:val="0"/>
      <w:divBdr>
        <w:top w:val="none" w:sz="0" w:space="0" w:color="auto"/>
        <w:left w:val="none" w:sz="0" w:space="0" w:color="auto"/>
        <w:bottom w:val="none" w:sz="0" w:space="0" w:color="auto"/>
        <w:right w:val="none" w:sz="0" w:space="0" w:color="auto"/>
      </w:divBdr>
      <w:divsChild>
        <w:div w:id="2075933921">
          <w:marLeft w:val="0"/>
          <w:marRight w:val="0"/>
          <w:marTop w:val="0"/>
          <w:marBottom w:val="0"/>
          <w:divBdr>
            <w:top w:val="none" w:sz="0" w:space="0" w:color="auto"/>
            <w:left w:val="none" w:sz="0" w:space="0" w:color="auto"/>
            <w:bottom w:val="none" w:sz="0" w:space="0" w:color="auto"/>
            <w:right w:val="none" w:sz="0" w:space="0" w:color="auto"/>
          </w:divBdr>
        </w:div>
      </w:divsChild>
    </w:div>
    <w:div w:id="707410191">
      <w:marLeft w:val="0"/>
      <w:marRight w:val="0"/>
      <w:marTop w:val="0"/>
      <w:marBottom w:val="0"/>
      <w:divBdr>
        <w:top w:val="none" w:sz="0" w:space="0" w:color="auto"/>
        <w:left w:val="none" w:sz="0" w:space="0" w:color="auto"/>
        <w:bottom w:val="none" w:sz="0" w:space="0" w:color="auto"/>
        <w:right w:val="none" w:sz="0" w:space="0" w:color="auto"/>
      </w:divBdr>
    </w:div>
    <w:div w:id="892158256">
      <w:marLeft w:val="0"/>
      <w:marRight w:val="0"/>
      <w:marTop w:val="0"/>
      <w:marBottom w:val="0"/>
      <w:divBdr>
        <w:top w:val="none" w:sz="0" w:space="0" w:color="auto"/>
        <w:left w:val="none" w:sz="0" w:space="0" w:color="auto"/>
        <w:bottom w:val="none" w:sz="0" w:space="0" w:color="auto"/>
        <w:right w:val="none" w:sz="0" w:space="0" w:color="auto"/>
      </w:divBdr>
    </w:div>
    <w:div w:id="930510263">
      <w:marLeft w:val="0"/>
      <w:marRight w:val="0"/>
      <w:marTop w:val="0"/>
      <w:marBottom w:val="0"/>
      <w:divBdr>
        <w:top w:val="none" w:sz="0" w:space="0" w:color="auto"/>
        <w:left w:val="none" w:sz="0" w:space="0" w:color="auto"/>
        <w:bottom w:val="none" w:sz="0" w:space="0" w:color="auto"/>
        <w:right w:val="none" w:sz="0" w:space="0" w:color="auto"/>
      </w:divBdr>
    </w:div>
    <w:div w:id="979924284">
      <w:marLeft w:val="0"/>
      <w:marRight w:val="0"/>
      <w:marTop w:val="0"/>
      <w:marBottom w:val="0"/>
      <w:divBdr>
        <w:top w:val="none" w:sz="0" w:space="0" w:color="auto"/>
        <w:left w:val="none" w:sz="0" w:space="0" w:color="auto"/>
        <w:bottom w:val="none" w:sz="0" w:space="0" w:color="auto"/>
        <w:right w:val="none" w:sz="0" w:space="0" w:color="auto"/>
      </w:divBdr>
    </w:div>
    <w:div w:id="1017466751">
      <w:marLeft w:val="0"/>
      <w:marRight w:val="0"/>
      <w:marTop w:val="0"/>
      <w:marBottom w:val="0"/>
      <w:divBdr>
        <w:top w:val="none" w:sz="0" w:space="0" w:color="auto"/>
        <w:left w:val="none" w:sz="0" w:space="0" w:color="auto"/>
        <w:bottom w:val="none" w:sz="0" w:space="0" w:color="auto"/>
        <w:right w:val="none" w:sz="0" w:space="0" w:color="auto"/>
      </w:divBdr>
    </w:div>
    <w:div w:id="1443525813">
      <w:marLeft w:val="0"/>
      <w:marRight w:val="0"/>
      <w:marTop w:val="0"/>
      <w:marBottom w:val="0"/>
      <w:divBdr>
        <w:top w:val="none" w:sz="0" w:space="0" w:color="auto"/>
        <w:left w:val="none" w:sz="0" w:space="0" w:color="auto"/>
        <w:bottom w:val="none" w:sz="0" w:space="0" w:color="auto"/>
        <w:right w:val="none" w:sz="0" w:space="0" w:color="auto"/>
      </w:divBdr>
      <w:divsChild>
        <w:div w:id="329990534">
          <w:marLeft w:val="0"/>
          <w:marRight w:val="0"/>
          <w:marTop w:val="0"/>
          <w:marBottom w:val="0"/>
          <w:divBdr>
            <w:top w:val="none" w:sz="0" w:space="0" w:color="auto"/>
            <w:left w:val="none" w:sz="0" w:space="0" w:color="auto"/>
            <w:bottom w:val="none" w:sz="0" w:space="0" w:color="auto"/>
            <w:right w:val="none" w:sz="0" w:space="0" w:color="auto"/>
          </w:divBdr>
        </w:div>
      </w:divsChild>
    </w:div>
    <w:div w:id="1447046367">
      <w:marLeft w:val="0"/>
      <w:marRight w:val="0"/>
      <w:marTop w:val="0"/>
      <w:marBottom w:val="0"/>
      <w:divBdr>
        <w:top w:val="none" w:sz="0" w:space="0" w:color="auto"/>
        <w:left w:val="none" w:sz="0" w:space="0" w:color="auto"/>
        <w:bottom w:val="none" w:sz="0" w:space="0" w:color="auto"/>
        <w:right w:val="none" w:sz="0" w:space="0" w:color="auto"/>
      </w:divBdr>
      <w:divsChild>
        <w:div w:id="208735195">
          <w:marLeft w:val="0"/>
          <w:marRight w:val="0"/>
          <w:marTop w:val="0"/>
          <w:marBottom w:val="0"/>
          <w:divBdr>
            <w:top w:val="none" w:sz="0" w:space="0" w:color="auto"/>
            <w:left w:val="none" w:sz="0" w:space="0" w:color="auto"/>
            <w:bottom w:val="none" w:sz="0" w:space="0" w:color="auto"/>
            <w:right w:val="none" w:sz="0" w:space="0" w:color="auto"/>
          </w:divBdr>
        </w:div>
      </w:divsChild>
    </w:div>
    <w:div w:id="1538661918">
      <w:marLeft w:val="0"/>
      <w:marRight w:val="0"/>
      <w:marTop w:val="0"/>
      <w:marBottom w:val="0"/>
      <w:divBdr>
        <w:top w:val="none" w:sz="0" w:space="0" w:color="auto"/>
        <w:left w:val="none" w:sz="0" w:space="0" w:color="auto"/>
        <w:bottom w:val="none" w:sz="0" w:space="0" w:color="auto"/>
        <w:right w:val="none" w:sz="0" w:space="0" w:color="auto"/>
      </w:divBdr>
    </w:div>
    <w:div w:id="1553466963">
      <w:marLeft w:val="0"/>
      <w:marRight w:val="0"/>
      <w:marTop w:val="0"/>
      <w:marBottom w:val="0"/>
      <w:divBdr>
        <w:top w:val="none" w:sz="0" w:space="0" w:color="auto"/>
        <w:left w:val="none" w:sz="0" w:space="0" w:color="auto"/>
        <w:bottom w:val="none" w:sz="0" w:space="0" w:color="auto"/>
        <w:right w:val="none" w:sz="0" w:space="0" w:color="auto"/>
      </w:divBdr>
      <w:divsChild>
        <w:div w:id="670715612">
          <w:marLeft w:val="0"/>
          <w:marRight w:val="0"/>
          <w:marTop w:val="0"/>
          <w:marBottom w:val="0"/>
          <w:divBdr>
            <w:top w:val="none" w:sz="0" w:space="0" w:color="auto"/>
            <w:left w:val="none" w:sz="0" w:space="0" w:color="auto"/>
            <w:bottom w:val="none" w:sz="0" w:space="0" w:color="auto"/>
            <w:right w:val="none" w:sz="0" w:space="0" w:color="auto"/>
          </w:divBdr>
        </w:div>
      </w:divsChild>
    </w:div>
    <w:div w:id="1821146869">
      <w:marLeft w:val="0"/>
      <w:marRight w:val="0"/>
      <w:marTop w:val="0"/>
      <w:marBottom w:val="0"/>
      <w:divBdr>
        <w:top w:val="none" w:sz="0" w:space="0" w:color="auto"/>
        <w:left w:val="none" w:sz="0" w:space="0" w:color="auto"/>
        <w:bottom w:val="none" w:sz="0" w:space="0" w:color="auto"/>
        <w:right w:val="none" w:sz="0" w:space="0" w:color="auto"/>
      </w:divBdr>
      <w:divsChild>
        <w:div w:id="172846074">
          <w:marLeft w:val="0"/>
          <w:marRight w:val="0"/>
          <w:marTop w:val="0"/>
          <w:marBottom w:val="0"/>
          <w:divBdr>
            <w:top w:val="none" w:sz="0" w:space="0" w:color="auto"/>
            <w:left w:val="none" w:sz="0" w:space="0" w:color="auto"/>
            <w:bottom w:val="none" w:sz="0" w:space="0" w:color="auto"/>
            <w:right w:val="none" w:sz="0" w:space="0" w:color="auto"/>
          </w:divBdr>
        </w:div>
        <w:div w:id="1188836198">
          <w:marLeft w:val="0"/>
          <w:marRight w:val="0"/>
          <w:marTop w:val="0"/>
          <w:marBottom w:val="0"/>
          <w:divBdr>
            <w:top w:val="none" w:sz="0" w:space="0" w:color="auto"/>
            <w:left w:val="none" w:sz="0" w:space="0" w:color="auto"/>
            <w:bottom w:val="none" w:sz="0" w:space="0" w:color="auto"/>
            <w:right w:val="none" w:sz="0" w:space="0" w:color="auto"/>
          </w:divBdr>
        </w:div>
      </w:divsChild>
    </w:div>
    <w:div w:id="1926718915">
      <w:marLeft w:val="0"/>
      <w:marRight w:val="0"/>
      <w:marTop w:val="0"/>
      <w:marBottom w:val="0"/>
      <w:divBdr>
        <w:top w:val="none" w:sz="0" w:space="0" w:color="auto"/>
        <w:left w:val="none" w:sz="0" w:space="0" w:color="auto"/>
        <w:bottom w:val="none" w:sz="0" w:space="0" w:color="auto"/>
        <w:right w:val="none" w:sz="0" w:space="0" w:color="auto"/>
      </w:divBdr>
    </w:div>
    <w:div w:id="1987121769">
      <w:marLeft w:val="0"/>
      <w:marRight w:val="0"/>
      <w:marTop w:val="0"/>
      <w:marBottom w:val="0"/>
      <w:divBdr>
        <w:top w:val="none" w:sz="0" w:space="0" w:color="auto"/>
        <w:left w:val="none" w:sz="0" w:space="0" w:color="auto"/>
        <w:bottom w:val="none" w:sz="0" w:space="0" w:color="auto"/>
        <w:right w:val="none" w:sz="0" w:space="0" w:color="auto"/>
      </w:divBdr>
      <w:divsChild>
        <w:div w:id="1463841162">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6282</Words>
  <Characters>2202</Characters>
  <Application>Microsoft Office Word</Application>
  <DocSecurity>0</DocSecurity>
  <Lines>220</Lines>
  <Paragraphs>565</Paragraphs>
  <ScaleCrop>false</ScaleCrop>
  <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Jesse.Zhang@FA</cp:lastModifiedBy>
  <cp:revision>3</cp:revision>
  <dcterms:created xsi:type="dcterms:W3CDTF">2026-01-14T13:52:00Z</dcterms:created>
  <dcterms:modified xsi:type="dcterms:W3CDTF">2026-01-21T07:46:00Z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