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上投摩根动态多因子策略灵活配置混合型证券投资基金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年第</w:t>
      </w:r>
      <w:r w:rsidRPr="00FF6B9A">
        <w:rPr>
          <w:rFonts w:eastAsiaTheme="minorEastAsia"/>
          <w:b/>
          <w:color w:val="000000" w:themeColor="text1"/>
          <w:sz w:val="36"/>
          <w:szCs w:val="36"/>
        </w:rPr>
        <w:t>1</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w:t>
      </w:r>
      <w:r w:rsidRPr="00FF6B9A">
        <w:rPr>
          <w:rFonts w:eastAsiaTheme="minorEastAsia"/>
          <w:b/>
          <w:color w:val="000000" w:themeColor="text1"/>
          <w:sz w:val="36"/>
          <w:szCs w:val="36"/>
        </w:rPr>
        <w:t>3</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报告送出日期：二〇二二年四月二十二日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BC573C" w:rsidRDefault="000327C9">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BC573C" w:rsidRDefault="000327C9">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BC573C" w:rsidRDefault="000327C9">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BC573C" w:rsidRDefault="000327C9">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BC573C" w:rsidRDefault="000327C9">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上投摩根动态多因子混合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001219</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001219</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2015</w:t>
            </w:r>
            <w:r w:rsidRPr="00FF6B9A">
              <w:rPr>
                <w:rFonts w:eastAsiaTheme="minorEastAsia"/>
                <w:color w:val="000000" w:themeColor="text1"/>
                <w:kern w:val="0"/>
              </w:rPr>
              <w:t>年</w:t>
            </w:r>
            <w:r w:rsidRPr="00FF6B9A">
              <w:rPr>
                <w:rFonts w:eastAsiaTheme="minorEastAsia"/>
                <w:color w:val="000000" w:themeColor="text1"/>
                <w:kern w:val="0"/>
              </w:rPr>
              <w:t>6</w:t>
            </w:r>
            <w:r w:rsidRPr="00FF6B9A">
              <w:rPr>
                <w:rFonts w:eastAsiaTheme="minorEastAsia"/>
                <w:color w:val="000000" w:themeColor="text1"/>
                <w:kern w:val="0"/>
              </w:rPr>
              <w:t>月</w:t>
            </w:r>
            <w:r w:rsidRPr="00FF6B9A">
              <w:rPr>
                <w:rFonts w:eastAsiaTheme="minorEastAsia"/>
                <w:color w:val="000000" w:themeColor="text1"/>
                <w:kern w:val="0"/>
              </w:rPr>
              <w:t>2</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115,783,539.79</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在严格控制风险的基础上，采用量化投资对基金资产进行积极管理，力争获取超越业绩基准的投资收益。</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BC573C" w:rsidRDefault="000327C9">
            <w:pPr>
              <w:adjustRightInd w:val="0"/>
              <w:spacing w:before="29" w:line="360" w:lineRule="auto"/>
              <w:ind w:left="17"/>
              <w:rPr>
                <w:rFonts w:eastAsiaTheme="minorEastAsia"/>
                <w:color w:val="000000" w:themeColor="text1"/>
              </w:rPr>
            </w:pPr>
            <w:r>
              <w:rPr>
                <w:rFonts w:eastAsiaTheme="minorEastAsia"/>
                <w:color w:val="000000" w:themeColor="text1"/>
                <w:kern w:val="0"/>
              </w:rPr>
              <w:t>本基金采用数量化选股模型驱动的选股策略进行个股选择，并结合适当的资产配置策略搭建基金投资组合。</w:t>
            </w:r>
          </w:p>
          <w:p w:rsidR="00BC573C" w:rsidRDefault="000327C9">
            <w:pPr>
              <w:adjustRightInd w:val="0"/>
              <w:spacing w:before="29" w:line="360" w:lineRule="auto"/>
              <w:ind w:left="17"/>
              <w:rPr>
                <w:rFonts w:eastAsiaTheme="minorEastAsia"/>
                <w:color w:val="000000" w:themeColor="text1"/>
              </w:rPr>
            </w:pPr>
            <w:r>
              <w:rPr>
                <w:rFonts w:eastAsiaTheme="minorEastAsia"/>
                <w:color w:val="000000" w:themeColor="text1"/>
                <w:kern w:val="0"/>
              </w:rPr>
              <w:t>在资产配置过程中，本基金将从多角度综合评估各个行业的投资价值，对基金资产在行业间分配进行安排，同时将采用多种数量化的投资方法控制净值大幅回撤风险，改善</w:t>
            </w:r>
            <w:r>
              <w:rPr>
                <w:rFonts w:eastAsiaTheme="minorEastAsia"/>
                <w:color w:val="000000" w:themeColor="text1"/>
                <w:kern w:val="0"/>
              </w:rPr>
              <w:lastRenderedPageBreak/>
              <w:t>投资组合的风险收益特征。</w:t>
            </w:r>
          </w:p>
          <w:p w:rsidR="00BC573C" w:rsidRDefault="000327C9">
            <w:pPr>
              <w:adjustRightInd w:val="0"/>
              <w:spacing w:before="29" w:line="360" w:lineRule="auto"/>
              <w:ind w:left="17"/>
              <w:rPr>
                <w:rFonts w:eastAsiaTheme="minorEastAsia"/>
                <w:color w:val="000000" w:themeColor="text1"/>
              </w:rPr>
            </w:pPr>
            <w:r>
              <w:rPr>
                <w:rFonts w:eastAsiaTheme="minorEastAsia"/>
                <w:color w:val="000000" w:themeColor="text1"/>
                <w:kern w:val="0"/>
              </w:rPr>
              <w:t>在股票投资过程中，本基金将保持通过动态多因子模型选股构建股票投资组合的投资策略，强调投资纪律、降低随意性投资带来的风险，力争实现基金资产的长期稳定增值。</w:t>
            </w:r>
          </w:p>
          <w:p w:rsidR="00BC573C" w:rsidRDefault="000327C9">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BC573C" w:rsidRDefault="000327C9">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GDP</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增速、固定资产投资增速、净出口增速、通胀率、货币供应、利率等宏观指标的变化趋势，结合股票、债券等各类资产风险收益特征，确定合适的资产配置比例，动态优化投资组合。在资产配置过程中，本基金</w:t>
            </w:r>
            <w:r>
              <w:rPr>
                <w:rFonts w:eastAsiaTheme="minorEastAsia"/>
                <w:color w:val="000000" w:themeColor="text1"/>
                <w:kern w:val="0"/>
              </w:rPr>
              <w:t>将采用多种数量化的投资方法控制净值大幅回撤的风险，改善投资组合的风险收益特性。</w:t>
            </w:r>
          </w:p>
          <w:p w:rsidR="00BC573C" w:rsidRDefault="000327C9">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BC573C" w:rsidRDefault="000327C9">
            <w:pPr>
              <w:adjustRightInd w:val="0"/>
              <w:spacing w:before="29" w:line="360" w:lineRule="auto"/>
              <w:ind w:left="17"/>
              <w:rPr>
                <w:rFonts w:eastAsiaTheme="minorEastAsia"/>
                <w:color w:val="000000" w:themeColor="text1"/>
              </w:rPr>
            </w:pPr>
            <w:r>
              <w:rPr>
                <w:rFonts w:eastAsiaTheme="minorEastAsia"/>
                <w:color w:val="000000" w:themeColor="text1"/>
                <w:kern w:val="0"/>
              </w:rPr>
              <w:t>通过基金管理人开发的动态多因子模型进行股票选择并据此构建股票投资组合。动态多因子模型在实际运行过程中将定期或不定期地进行修正，优化股票投资组合。</w:t>
            </w:r>
          </w:p>
          <w:p w:rsidR="00BC573C" w:rsidRDefault="000327C9">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、固定收益类投资策略</w:t>
            </w:r>
          </w:p>
          <w:p w:rsidR="00BC573C" w:rsidRDefault="000327C9">
            <w:pPr>
              <w:adjustRightInd w:val="0"/>
              <w:spacing w:before="29" w:line="360" w:lineRule="auto"/>
              <w:ind w:left="17"/>
              <w:rPr>
                <w:rFonts w:eastAsiaTheme="minorEastAsia"/>
                <w:color w:val="000000" w:themeColor="text1"/>
              </w:rPr>
            </w:pPr>
            <w:r>
              <w:rPr>
                <w:rFonts w:eastAsiaTheme="minorEastAsia"/>
                <w:color w:val="000000" w:themeColor="text1"/>
                <w:kern w:val="0"/>
              </w:rPr>
              <w:t>对于固定收益类资产的选择，本基金将以价值分析为主线，在综合研究的基础上实施积极主动的组合管理，并主要通过类属配置与债券选择两个层次进行投资管理。</w:t>
            </w:r>
          </w:p>
          <w:p w:rsidR="00BC573C" w:rsidRDefault="000327C9">
            <w:pPr>
              <w:adjustRightInd w:val="0"/>
              <w:spacing w:before="29" w:line="360" w:lineRule="auto"/>
              <w:ind w:left="17"/>
              <w:rPr>
                <w:rFonts w:eastAsiaTheme="minorEastAsia"/>
                <w:color w:val="000000" w:themeColor="text1"/>
              </w:rPr>
            </w:pPr>
            <w:r>
              <w:rPr>
                <w:rFonts w:eastAsiaTheme="minorEastAsia"/>
                <w:color w:val="000000" w:themeColor="text1"/>
                <w:kern w:val="0"/>
              </w:rPr>
              <w:t>在类属配置层次，结合对宏观经济、市场利率、债券供求等因素的综合分析，根据交易所市场与银行间市场类属资产的风险收益特征，定期对投资组合类属资产进行优化配置和调整，确定类属资产的最优权重。</w:t>
            </w:r>
          </w:p>
          <w:p w:rsidR="00BC573C" w:rsidRDefault="000327C9">
            <w:pPr>
              <w:adjustRightInd w:val="0"/>
              <w:spacing w:before="29" w:line="360" w:lineRule="auto"/>
              <w:ind w:left="17"/>
              <w:rPr>
                <w:rFonts w:eastAsiaTheme="minorEastAsia"/>
                <w:color w:val="000000" w:themeColor="text1"/>
              </w:rPr>
            </w:pPr>
            <w:r>
              <w:rPr>
                <w:rFonts w:eastAsiaTheme="minorEastAsia"/>
                <w:color w:val="000000" w:themeColor="text1"/>
                <w:kern w:val="0"/>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w:t>
            </w:r>
            <w:r w:rsidRPr="00FF6B9A">
              <w:rPr>
                <w:rFonts w:eastAsiaTheme="minorEastAsia"/>
                <w:color w:val="000000" w:themeColor="text1"/>
                <w:kern w:val="0"/>
              </w:rPr>
              <w:t>、其他投资策略：包括可转换债券投资策略、中小企业私募债投资策略、股指期货投资策略、资产支持证券投资策略、股票期权投资策略、存托凭证投资策略。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沪深</w:t>
            </w:r>
            <w:r w:rsidRPr="00FF6B9A">
              <w:rPr>
                <w:rFonts w:eastAsiaTheme="minorEastAsia"/>
                <w:color w:val="000000" w:themeColor="text1"/>
                <w:kern w:val="0"/>
              </w:rPr>
              <w:t>300</w:t>
            </w:r>
            <w:r w:rsidRPr="00FF6B9A">
              <w:rPr>
                <w:rFonts w:eastAsiaTheme="minorEastAsia"/>
                <w:color w:val="000000" w:themeColor="text1"/>
                <w:kern w:val="0"/>
              </w:rPr>
              <w:t>指数收益率</w:t>
            </w:r>
            <w:r w:rsidRPr="00FF6B9A">
              <w:rPr>
                <w:rFonts w:eastAsiaTheme="minorEastAsia"/>
                <w:color w:val="000000" w:themeColor="text1"/>
                <w:kern w:val="0"/>
              </w:rPr>
              <w:t>×60%+</w:t>
            </w:r>
            <w:r w:rsidRPr="00FF6B9A">
              <w:rPr>
                <w:rFonts w:eastAsiaTheme="minorEastAsia"/>
                <w:color w:val="000000" w:themeColor="text1"/>
                <w:kern w:val="0"/>
              </w:rPr>
              <w:t>中债总指数收益率</w:t>
            </w:r>
            <w:r w:rsidRPr="00FF6B9A">
              <w:rPr>
                <w:rFonts w:eastAsiaTheme="minorEastAsia"/>
                <w:color w:val="000000" w:themeColor="text1"/>
                <w:kern w:val="0"/>
              </w:rPr>
              <w:t>×40%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BC573C" w:rsidRDefault="000327C9">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本基金属于混合型基金产品，预期风险和收益水平高于债券型基金和货币市场基金，低于股票型基金，属于较高风险收益水平的基金产品。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0327C9" w:rsidRPr="00FF6B9A" w:rsidTr="000327C9">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0327C9" w:rsidRPr="00FF6B9A" w:rsidTr="000327C9">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-8,516,414.52</w:t>
            </w:r>
          </w:p>
        </w:tc>
      </w:tr>
      <w:tr w:rsidR="000327C9" w:rsidRPr="00FF6B9A" w:rsidTr="000327C9">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-15,453,001.67</w:t>
            </w:r>
          </w:p>
        </w:tc>
      </w:tr>
      <w:tr w:rsidR="000327C9" w:rsidRPr="00FF6B9A" w:rsidTr="000327C9">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-0.1319</w:t>
            </w:r>
          </w:p>
        </w:tc>
      </w:tr>
      <w:tr w:rsidR="000327C9" w:rsidRPr="00FF6B9A" w:rsidTr="000327C9">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115,792,234.79</w:t>
            </w:r>
          </w:p>
        </w:tc>
      </w:tr>
      <w:tr w:rsidR="000327C9" w:rsidRPr="00FF6B9A" w:rsidTr="000327C9">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1.0001</w:t>
            </w:r>
          </w:p>
        </w:tc>
      </w:tr>
    </w:tbl>
    <w:p w:rsidR="00BC573C" w:rsidRDefault="000327C9">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注：本期已实现收益指基金本期利息收入、投资收益、其他收入（不含公允价值变动收益）扣除相关费用后的余额，本期利润为本期已实现收益加上本期公允价值变动收益。</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BC573C">
        <w:tc>
          <w:tcPr>
            <w:tcW w:w="1395" w:type="dxa"/>
            <w:vAlign w:val="center"/>
          </w:tcPr>
          <w:p w:rsidR="00BC573C" w:rsidRDefault="000327C9">
            <w:pPr>
              <w:jc w:val="left"/>
            </w:pPr>
            <w:r>
              <w:rPr>
                <w:rFonts w:eastAsiaTheme="minorEastAsia"/>
                <w:color w:val="000000" w:themeColor="text1"/>
                <w:kern w:val="0"/>
              </w:rPr>
              <w:t>过去三个月</w:t>
            </w:r>
          </w:p>
        </w:tc>
        <w:tc>
          <w:tcPr>
            <w:tcW w:w="1092" w:type="dxa"/>
            <w:vAlign w:val="center"/>
          </w:tcPr>
          <w:p w:rsidR="00BC573C" w:rsidRDefault="000327C9">
            <w:pPr>
              <w:jc w:val="center"/>
            </w:pPr>
            <w:r>
              <w:rPr>
                <w:rFonts w:eastAsiaTheme="minorEastAsia"/>
                <w:color w:val="000000" w:themeColor="text1"/>
                <w:kern w:val="0"/>
              </w:rPr>
              <w:t>-11.64%</w:t>
            </w:r>
          </w:p>
        </w:tc>
        <w:tc>
          <w:tcPr>
            <w:tcW w:w="1161" w:type="dxa"/>
            <w:vAlign w:val="center"/>
          </w:tcPr>
          <w:p w:rsidR="00BC573C" w:rsidRDefault="000327C9">
            <w:pPr>
              <w:jc w:val="center"/>
            </w:pPr>
            <w:r>
              <w:rPr>
                <w:rFonts w:eastAsiaTheme="minorEastAsia"/>
                <w:color w:val="000000" w:themeColor="text1"/>
                <w:kern w:val="0"/>
              </w:rPr>
              <w:t>1.46%</w:t>
            </w:r>
          </w:p>
        </w:tc>
        <w:tc>
          <w:tcPr>
            <w:tcW w:w="1181" w:type="dxa"/>
            <w:vAlign w:val="center"/>
          </w:tcPr>
          <w:p w:rsidR="00BC573C" w:rsidRDefault="000327C9">
            <w:pPr>
              <w:jc w:val="center"/>
            </w:pPr>
            <w:r>
              <w:rPr>
                <w:rFonts w:eastAsiaTheme="minorEastAsia"/>
                <w:color w:val="000000" w:themeColor="text1"/>
                <w:kern w:val="0"/>
              </w:rPr>
              <w:t>-8.83%</w:t>
            </w:r>
          </w:p>
        </w:tc>
        <w:tc>
          <w:tcPr>
            <w:tcW w:w="1188" w:type="dxa"/>
            <w:vAlign w:val="center"/>
          </w:tcPr>
          <w:p w:rsidR="00BC573C" w:rsidRDefault="000327C9">
            <w:pPr>
              <w:jc w:val="center"/>
            </w:pPr>
            <w:r>
              <w:rPr>
                <w:rFonts w:eastAsiaTheme="minorEastAsia"/>
                <w:color w:val="000000" w:themeColor="text1"/>
                <w:kern w:val="0"/>
              </w:rPr>
              <w:t>0.88%</w:t>
            </w:r>
          </w:p>
        </w:tc>
        <w:tc>
          <w:tcPr>
            <w:tcW w:w="1199" w:type="dxa"/>
            <w:vAlign w:val="center"/>
          </w:tcPr>
          <w:p w:rsidR="00BC573C" w:rsidRDefault="000327C9">
            <w:pPr>
              <w:jc w:val="center"/>
            </w:pPr>
            <w:r>
              <w:rPr>
                <w:rFonts w:eastAsiaTheme="minorEastAsia"/>
                <w:color w:val="000000" w:themeColor="text1"/>
                <w:kern w:val="0"/>
              </w:rPr>
              <w:t>-2.81%</w:t>
            </w:r>
          </w:p>
        </w:tc>
        <w:tc>
          <w:tcPr>
            <w:tcW w:w="1204" w:type="dxa"/>
            <w:vAlign w:val="center"/>
          </w:tcPr>
          <w:p w:rsidR="00BC573C" w:rsidRDefault="000327C9">
            <w:pPr>
              <w:jc w:val="center"/>
            </w:pPr>
            <w:r>
              <w:rPr>
                <w:rFonts w:eastAsiaTheme="minorEastAsia"/>
                <w:color w:val="000000" w:themeColor="text1"/>
                <w:kern w:val="0"/>
              </w:rPr>
              <w:t>0.58%</w:t>
            </w:r>
          </w:p>
        </w:tc>
      </w:tr>
      <w:tr w:rsidR="00BC573C">
        <w:tc>
          <w:tcPr>
            <w:tcW w:w="1395" w:type="dxa"/>
            <w:vAlign w:val="center"/>
          </w:tcPr>
          <w:p w:rsidR="00BC573C" w:rsidRDefault="000327C9">
            <w:pPr>
              <w:jc w:val="left"/>
            </w:pPr>
            <w:r>
              <w:rPr>
                <w:rFonts w:eastAsiaTheme="minorEastAsia"/>
                <w:color w:val="000000" w:themeColor="text1"/>
                <w:kern w:val="0"/>
              </w:rPr>
              <w:t>过去六个月</w:t>
            </w:r>
          </w:p>
        </w:tc>
        <w:tc>
          <w:tcPr>
            <w:tcW w:w="1092" w:type="dxa"/>
            <w:vAlign w:val="center"/>
          </w:tcPr>
          <w:p w:rsidR="00BC573C" w:rsidRDefault="000327C9">
            <w:pPr>
              <w:jc w:val="center"/>
            </w:pPr>
            <w:r>
              <w:rPr>
                <w:rFonts w:eastAsiaTheme="minorEastAsia"/>
                <w:color w:val="000000" w:themeColor="text1"/>
                <w:kern w:val="0"/>
              </w:rPr>
              <w:t>-10.39%</w:t>
            </w:r>
          </w:p>
        </w:tc>
        <w:tc>
          <w:tcPr>
            <w:tcW w:w="1161" w:type="dxa"/>
            <w:vAlign w:val="center"/>
          </w:tcPr>
          <w:p w:rsidR="00BC573C" w:rsidRDefault="000327C9">
            <w:pPr>
              <w:jc w:val="center"/>
            </w:pPr>
            <w:r>
              <w:rPr>
                <w:rFonts w:eastAsiaTheme="minorEastAsia"/>
                <w:color w:val="000000" w:themeColor="text1"/>
                <w:kern w:val="0"/>
              </w:rPr>
              <w:t>1.16%</w:t>
            </w:r>
          </w:p>
        </w:tc>
        <w:tc>
          <w:tcPr>
            <w:tcW w:w="1181" w:type="dxa"/>
            <w:vAlign w:val="center"/>
          </w:tcPr>
          <w:p w:rsidR="00BC573C" w:rsidRDefault="000327C9">
            <w:pPr>
              <w:jc w:val="center"/>
            </w:pPr>
            <w:r>
              <w:rPr>
                <w:rFonts w:eastAsiaTheme="minorEastAsia"/>
                <w:color w:val="000000" w:themeColor="text1"/>
                <w:kern w:val="0"/>
              </w:rPr>
              <w:t>-7.75%</w:t>
            </w:r>
          </w:p>
        </w:tc>
        <w:tc>
          <w:tcPr>
            <w:tcW w:w="1188" w:type="dxa"/>
            <w:vAlign w:val="center"/>
          </w:tcPr>
          <w:p w:rsidR="00BC573C" w:rsidRDefault="000327C9">
            <w:pPr>
              <w:jc w:val="center"/>
            </w:pPr>
            <w:r>
              <w:rPr>
                <w:rFonts w:eastAsiaTheme="minorEastAsia"/>
                <w:color w:val="000000" w:themeColor="text1"/>
                <w:kern w:val="0"/>
              </w:rPr>
              <w:t>0.70%</w:t>
            </w:r>
          </w:p>
        </w:tc>
        <w:tc>
          <w:tcPr>
            <w:tcW w:w="1199" w:type="dxa"/>
            <w:vAlign w:val="center"/>
          </w:tcPr>
          <w:p w:rsidR="00BC573C" w:rsidRDefault="000327C9">
            <w:pPr>
              <w:jc w:val="center"/>
            </w:pPr>
            <w:r>
              <w:rPr>
                <w:rFonts w:eastAsiaTheme="minorEastAsia"/>
                <w:color w:val="000000" w:themeColor="text1"/>
                <w:kern w:val="0"/>
              </w:rPr>
              <w:t>-2.64%</w:t>
            </w:r>
          </w:p>
        </w:tc>
        <w:tc>
          <w:tcPr>
            <w:tcW w:w="1204" w:type="dxa"/>
            <w:vAlign w:val="center"/>
          </w:tcPr>
          <w:p w:rsidR="00BC573C" w:rsidRDefault="000327C9">
            <w:pPr>
              <w:jc w:val="center"/>
            </w:pPr>
            <w:r>
              <w:rPr>
                <w:rFonts w:eastAsiaTheme="minorEastAsia"/>
                <w:color w:val="000000" w:themeColor="text1"/>
                <w:kern w:val="0"/>
              </w:rPr>
              <w:t>0.46%</w:t>
            </w:r>
          </w:p>
        </w:tc>
      </w:tr>
      <w:tr w:rsidR="00BC573C">
        <w:tc>
          <w:tcPr>
            <w:tcW w:w="1395" w:type="dxa"/>
            <w:vAlign w:val="center"/>
          </w:tcPr>
          <w:p w:rsidR="00BC573C" w:rsidRDefault="000327C9">
            <w:pPr>
              <w:jc w:val="left"/>
            </w:pPr>
            <w:r>
              <w:rPr>
                <w:rFonts w:eastAsiaTheme="minorEastAsia"/>
                <w:color w:val="000000" w:themeColor="text1"/>
                <w:kern w:val="0"/>
              </w:rPr>
              <w:t>过去一年</w:t>
            </w:r>
          </w:p>
        </w:tc>
        <w:tc>
          <w:tcPr>
            <w:tcW w:w="1092" w:type="dxa"/>
            <w:vAlign w:val="center"/>
          </w:tcPr>
          <w:p w:rsidR="00BC573C" w:rsidRDefault="000327C9">
            <w:pPr>
              <w:jc w:val="center"/>
            </w:pPr>
            <w:r>
              <w:rPr>
                <w:rFonts w:eastAsiaTheme="minorEastAsia"/>
                <w:color w:val="000000" w:themeColor="text1"/>
                <w:kern w:val="0"/>
              </w:rPr>
              <w:t>-10.42%</w:t>
            </w:r>
          </w:p>
        </w:tc>
        <w:tc>
          <w:tcPr>
            <w:tcW w:w="1161" w:type="dxa"/>
            <w:vAlign w:val="center"/>
          </w:tcPr>
          <w:p w:rsidR="00BC573C" w:rsidRDefault="000327C9">
            <w:pPr>
              <w:jc w:val="center"/>
            </w:pPr>
            <w:r>
              <w:rPr>
                <w:rFonts w:eastAsiaTheme="minorEastAsia"/>
                <w:color w:val="000000" w:themeColor="text1"/>
                <w:kern w:val="0"/>
              </w:rPr>
              <w:t>1.03%</w:t>
            </w:r>
          </w:p>
        </w:tc>
        <w:tc>
          <w:tcPr>
            <w:tcW w:w="1181" w:type="dxa"/>
            <w:vAlign w:val="center"/>
          </w:tcPr>
          <w:p w:rsidR="00BC573C" w:rsidRDefault="000327C9">
            <w:pPr>
              <w:jc w:val="center"/>
            </w:pPr>
            <w:r>
              <w:rPr>
                <w:rFonts w:eastAsiaTheme="minorEastAsia"/>
                <w:color w:val="000000" w:themeColor="text1"/>
                <w:kern w:val="0"/>
              </w:rPr>
              <w:t>-8.93%</w:t>
            </w:r>
          </w:p>
        </w:tc>
        <w:tc>
          <w:tcPr>
            <w:tcW w:w="1188" w:type="dxa"/>
            <w:vAlign w:val="center"/>
          </w:tcPr>
          <w:p w:rsidR="00BC573C" w:rsidRDefault="000327C9">
            <w:pPr>
              <w:jc w:val="center"/>
            </w:pPr>
            <w:r>
              <w:rPr>
                <w:rFonts w:eastAsiaTheme="minorEastAsia"/>
                <w:color w:val="000000" w:themeColor="text1"/>
                <w:kern w:val="0"/>
              </w:rPr>
              <w:t>0.68%</w:t>
            </w:r>
          </w:p>
        </w:tc>
        <w:tc>
          <w:tcPr>
            <w:tcW w:w="1199" w:type="dxa"/>
            <w:vAlign w:val="center"/>
          </w:tcPr>
          <w:p w:rsidR="00BC573C" w:rsidRDefault="000327C9">
            <w:pPr>
              <w:jc w:val="center"/>
            </w:pPr>
            <w:r>
              <w:rPr>
                <w:rFonts w:eastAsiaTheme="minorEastAsia"/>
                <w:color w:val="000000" w:themeColor="text1"/>
                <w:kern w:val="0"/>
              </w:rPr>
              <w:t>-1.49%</w:t>
            </w:r>
          </w:p>
        </w:tc>
        <w:tc>
          <w:tcPr>
            <w:tcW w:w="1204" w:type="dxa"/>
            <w:vAlign w:val="center"/>
          </w:tcPr>
          <w:p w:rsidR="00BC573C" w:rsidRDefault="000327C9">
            <w:pPr>
              <w:jc w:val="center"/>
            </w:pPr>
            <w:r>
              <w:rPr>
                <w:rFonts w:eastAsiaTheme="minorEastAsia"/>
                <w:color w:val="000000" w:themeColor="text1"/>
                <w:kern w:val="0"/>
              </w:rPr>
              <w:t>0.35%</w:t>
            </w:r>
          </w:p>
        </w:tc>
      </w:tr>
      <w:tr w:rsidR="00BC573C">
        <w:tc>
          <w:tcPr>
            <w:tcW w:w="1395" w:type="dxa"/>
            <w:vAlign w:val="center"/>
          </w:tcPr>
          <w:p w:rsidR="00BC573C" w:rsidRDefault="000327C9">
            <w:pPr>
              <w:jc w:val="left"/>
            </w:pPr>
            <w:r>
              <w:rPr>
                <w:rFonts w:eastAsiaTheme="minorEastAsia"/>
                <w:color w:val="000000" w:themeColor="text1"/>
                <w:kern w:val="0"/>
              </w:rPr>
              <w:t>过去三年</w:t>
            </w:r>
          </w:p>
        </w:tc>
        <w:tc>
          <w:tcPr>
            <w:tcW w:w="1092" w:type="dxa"/>
            <w:vAlign w:val="center"/>
          </w:tcPr>
          <w:p w:rsidR="00BC573C" w:rsidRDefault="000327C9">
            <w:pPr>
              <w:jc w:val="center"/>
            </w:pPr>
            <w:r>
              <w:rPr>
                <w:rFonts w:eastAsiaTheme="minorEastAsia"/>
                <w:color w:val="000000" w:themeColor="text1"/>
                <w:kern w:val="0"/>
              </w:rPr>
              <w:t>28.88%</w:t>
            </w:r>
          </w:p>
        </w:tc>
        <w:tc>
          <w:tcPr>
            <w:tcW w:w="1161" w:type="dxa"/>
            <w:vAlign w:val="center"/>
          </w:tcPr>
          <w:p w:rsidR="00BC573C" w:rsidRDefault="000327C9">
            <w:pPr>
              <w:jc w:val="center"/>
            </w:pPr>
            <w:r>
              <w:rPr>
                <w:rFonts w:eastAsiaTheme="minorEastAsia"/>
                <w:color w:val="000000" w:themeColor="text1"/>
                <w:kern w:val="0"/>
              </w:rPr>
              <w:t>1.21%</w:t>
            </w:r>
          </w:p>
        </w:tc>
        <w:tc>
          <w:tcPr>
            <w:tcW w:w="1181" w:type="dxa"/>
            <w:vAlign w:val="center"/>
          </w:tcPr>
          <w:p w:rsidR="00BC573C" w:rsidRDefault="000327C9">
            <w:pPr>
              <w:jc w:val="center"/>
            </w:pPr>
            <w:r>
              <w:rPr>
                <w:rFonts w:eastAsiaTheme="minorEastAsia"/>
                <w:color w:val="000000" w:themeColor="text1"/>
                <w:kern w:val="0"/>
              </w:rPr>
              <w:t>6.54%</w:t>
            </w:r>
          </w:p>
        </w:tc>
        <w:tc>
          <w:tcPr>
            <w:tcW w:w="1188" w:type="dxa"/>
            <w:vAlign w:val="center"/>
          </w:tcPr>
          <w:p w:rsidR="00BC573C" w:rsidRDefault="000327C9">
            <w:pPr>
              <w:jc w:val="center"/>
            </w:pPr>
            <w:r>
              <w:rPr>
                <w:rFonts w:eastAsiaTheme="minorEastAsia"/>
                <w:color w:val="000000" w:themeColor="text1"/>
                <w:kern w:val="0"/>
              </w:rPr>
              <w:t>0.76%</w:t>
            </w:r>
          </w:p>
        </w:tc>
        <w:tc>
          <w:tcPr>
            <w:tcW w:w="1199" w:type="dxa"/>
            <w:vAlign w:val="center"/>
          </w:tcPr>
          <w:p w:rsidR="00BC573C" w:rsidRDefault="000327C9">
            <w:pPr>
              <w:jc w:val="center"/>
            </w:pPr>
            <w:r>
              <w:rPr>
                <w:rFonts w:eastAsiaTheme="minorEastAsia"/>
                <w:color w:val="000000" w:themeColor="text1"/>
                <w:kern w:val="0"/>
              </w:rPr>
              <w:t>22.34%</w:t>
            </w:r>
          </w:p>
        </w:tc>
        <w:tc>
          <w:tcPr>
            <w:tcW w:w="1204" w:type="dxa"/>
            <w:vAlign w:val="center"/>
          </w:tcPr>
          <w:p w:rsidR="00BC573C" w:rsidRDefault="000327C9">
            <w:pPr>
              <w:jc w:val="center"/>
            </w:pPr>
            <w:r>
              <w:rPr>
                <w:rFonts w:eastAsiaTheme="minorEastAsia"/>
                <w:color w:val="000000" w:themeColor="text1"/>
                <w:kern w:val="0"/>
              </w:rPr>
              <w:t>0.45%</w:t>
            </w:r>
          </w:p>
        </w:tc>
      </w:tr>
      <w:tr w:rsidR="00BC573C">
        <w:tc>
          <w:tcPr>
            <w:tcW w:w="1395" w:type="dxa"/>
            <w:vAlign w:val="center"/>
          </w:tcPr>
          <w:p w:rsidR="00BC573C" w:rsidRDefault="000327C9">
            <w:pPr>
              <w:jc w:val="left"/>
            </w:pPr>
            <w:r>
              <w:rPr>
                <w:rFonts w:eastAsiaTheme="minorEastAsia"/>
                <w:color w:val="000000" w:themeColor="text1"/>
                <w:kern w:val="0"/>
              </w:rPr>
              <w:t>过去五年</w:t>
            </w:r>
          </w:p>
        </w:tc>
        <w:tc>
          <w:tcPr>
            <w:tcW w:w="1092" w:type="dxa"/>
            <w:vAlign w:val="center"/>
          </w:tcPr>
          <w:p w:rsidR="00BC573C" w:rsidRDefault="000327C9">
            <w:pPr>
              <w:jc w:val="center"/>
            </w:pPr>
            <w:r>
              <w:rPr>
                <w:rFonts w:eastAsiaTheme="minorEastAsia"/>
                <w:color w:val="000000" w:themeColor="text1"/>
                <w:kern w:val="0"/>
              </w:rPr>
              <w:t>16.29%</w:t>
            </w:r>
          </w:p>
        </w:tc>
        <w:tc>
          <w:tcPr>
            <w:tcW w:w="1161" w:type="dxa"/>
            <w:vAlign w:val="center"/>
          </w:tcPr>
          <w:p w:rsidR="00BC573C" w:rsidRDefault="000327C9">
            <w:pPr>
              <w:jc w:val="center"/>
            </w:pPr>
            <w:r>
              <w:rPr>
                <w:rFonts w:eastAsiaTheme="minorEastAsia"/>
                <w:color w:val="000000" w:themeColor="text1"/>
                <w:kern w:val="0"/>
              </w:rPr>
              <w:t>1.20%</w:t>
            </w:r>
          </w:p>
        </w:tc>
        <w:tc>
          <w:tcPr>
            <w:tcW w:w="1181" w:type="dxa"/>
            <w:vAlign w:val="center"/>
          </w:tcPr>
          <w:p w:rsidR="00BC573C" w:rsidRDefault="000327C9">
            <w:pPr>
              <w:jc w:val="center"/>
            </w:pPr>
            <w:r>
              <w:rPr>
                <w:rFonts w:eastAsiaTheme="minorEastAsia"/>
                <w:color w:val="000000" w:themeColor="text1"/>
                <w:kern w:val="0"/>
              </w:rPr>
              <w:t>15.77%</w:t>
            </w:r>
          </w:p>
        </w:tc>
        <w:tc>
          <w:tcPr>
            <w:tcW w:w="1188" w:type="dxa"/>
            <w:vAlign w:val="center"/>
          </w:tcPr>
          <w:p w:rsidR="00BC573C" w:rsidRDefault="000327C9">
            <w:pPr>
              <w:jc w:val="center"/>
            </w:pPr>
            <w:r>
              <w:rPr>
                <w:rFonts w:eastAsiaTheme="minorEastAsia"/>
                <w:color w:val="000000" w:themeColor="text1"/>
                <w:kern w:val="0"/>
              </w:rPr>
              <w:t>0.73%</w:t>
            </w:r>
          </w:p>
        </w:tc>
        <w:tc>
          <w:tcPr>
            <w:tcW w:w="1199" w:type="dxa"/>
            <w:vAlign w:val="center"/>
          </w:tcPr>
          <w:p w:rsidR="00BC573C" w:rsidRDefault="000327C9">
            <w:pPr>
              <w:jc w:val="center"/>
            </w:pPr>
            <w:r>
              <w:rPr>
                <w:rFonts w:eastAsiaTheme="minorEastAsia"/>
                <w:color w:val="000000" w:themeColor="text1"/>
                <w:kern w:val="0"/>
              </w:rPr>
              <w:t>0.52%</w:t>
            </w:r>
          </w:p>
        </w:tc>
        <w:tc>
          <w:tcPr>
            <w:tcW w:w="1204" w:type="dxa"/>
            <w:vAlign w:val="center"/>
          </w:tcPr>
          <w:p w:rsidR="00BC573C" w:rsidRDefault="000327C9">
            <w:pPr>
              <w:jc w:val="center"/>
            </w:pPr>
            <w:r>
              <w:rPr>
                <w:rFonts w:eastAsiaTheme="minorEastAsia"/>
                <w:color w:val="000000" w:themeColor="text1"/>
                <w:kern w:val="0"/>
              </w:rPr>
              <w:t>0.47%</w:t>
            </w:r>
          </w:p>
        </w:tc>
      </w:tr>
      <w:tr w:rsidR="00BC573C">
        <w:tc>
          <w:tcPr>
            <w:tcW w:w="1395" w:type="dxa"/>
            <w:vAlign w:val="center"/>
          </w:tcPr>
          <w:p w:rsidR="00BC573C" w:rsidRDefault="000327C9">
            <w:pPr>
              <w:jc w:val="left"/>
            </w:pPr>
            <w:r>
              <w:rPr>
                <w:rFonts w:eastAsiaTheme="minorEastAsia"/>
                <w:color w:val="000000" w:themeColor="text1"/>
                <w:kern w:val="0"/>
              </w:rPr>
              <w:t>自基金合同生效起至今</w:t>
            </w:r>
          </w:p>
        </w:tc>
        <w:tc>
          <w:tcPr>
            <w:tcW w:w="1092" w:type="dxa"/>
            <w:vAlign w:val="center"/>
          </w:tcPr>
          <w:p w:rsidR="00BC573C" w:rsidRDefault="000327C9">
            <w:pPr>
              <w:jc w:val="center"/>
            </w:pPr>
            <w:r>
              <w:rPr>
                <w:rFonts w:eastAsiaTheme="minorEastAsia"/>
                <w:color w:val="000000" w:themeColor="text1"/>
                <w:kern w:val="0"/>
              </w:rPr>
              <w:t>0.01%</w:t>
            </w:r>
          </w:p>
        </w:tc>
        <w:tc>
          <w:tcPr>
            <w:tcW w:w="1161" w:type="dxa"/>
            <w:vAlign w:val="center"/>
          </w:tcPr>
          <w:p w:rsidR="00BC573C" w:rsidRDefault="000327C9">
            <w:pPr>
              <w:jc w:val="center"/>
            </w:pPr>
            <w:r>
              <w:rPr>
                <w:rFonts w:eastAsiaTheme="minorEastAsia"/>
                <w:color w:val="000000" w:themeColor="text1"/>
                <w:kern w:val="0"/>
              </w:rPr>
              <w:t>1.41%</w:t>
            </w:r>
          </w:p>
        </w:tc>
        <w:tc>
          <w:tcPr>
            <w:tcW w:w="1181" w:type="dxa"/>
            <w:vAlign w:val="center"/>
          </w:tcPr>
          <w:p w:rsidR="00BC573C" w:rsidRDefault="000327C9">
            <w:pPr>
              <w:jc w:val="center"/>
            </w:pPr>
            <w:r>
              <w:rPr>
                <w:rFonts w:eastAsiaTheme="minorEastAsia"/>
                <w:color w:val="000000" w:themeColor="text1"/>
                <w:kern w:val="0"/>
              </w:rPr>
              <w:t>-7.42%</w:t>
            </w:r>
          </w:p>
        </w:tc>
        <w:tc>
          <w:tcPr>
            <w:tcW w:w="1188" w:type="dxa"/>
            <w:vAlign w:val="center"/>
          </w:tcPr>
          <w:p w:rsidR="00BC573C" w:rsidRDefault="000327C9">
            <w:pPr>
              <w:jc w:val="center"/>
            </w:pPr>
            <w:r>
              <w:rPr>
                <w:rFonts w:eastAsiaTheme="minorEastAsia"/>
                <w:color w:val="000000" w:themeColor="text1"/>
                <w:kern w:val="0"/>
              </w:rPr>
              <w:t>0.86%</w:t>
            </w:r>
          </w:p>
        </w:tc>
        <w:tc>
          <w:tcPr>
            <w:tcW w:w="1199" w:type="dxa"/>
            <w:vAlign w:val="center"/>
          </w:tcPr>
          <w:p w:rsidR="00BC573C" w:rsidRDefault="000327C9">
            <w:pPr>
              <w:jc w:val="center"/>
            </w:pPr>
            <w:r>
              <w:rPr>
                <w:rFonts w:eastAsiaTheme="minorEastAsia"/>
                <w:color w:val="000000" w:themeColor="text1"/>
                <w:kern w:val="0"/>
              </w:rPr>
              <w:t>7.43%</w:t>
            </w:r>
          </w:p>
        </w:tc>
        <w:tc>
          <w:tcPr>
            <w:tcW w:w="1204" w:type="dxa"/>
            <w:vAlign w:val="center"/>
          </w:tcPr>
          <w:p w:rsidR="00BC573C" w:rsidRDefault="000327C9">
            <w:pPr>
              <w:jc w:val="center"/>
            </w:pPr>
            <w:r>
              <w:rPr>
                <w:rFonts w:eastAsiaTheme="minorEastAsia"/>
                <w:color w:val="000000" w:themeColor="text1"/>
                <w:kern w:val="0"/>
              </w:rPr>
              <w:t>0.55%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上投摩根动态多因子策略灵活配置混合型证券投资基金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(2015</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2</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BC573C" w:rsidRDefault="000327C9">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w:t>
      </w:r>
      <w:r>
        <w:rPr>
          <w:rFonts w:eastAsiaTheme="minorEastAsia"/>
          <w:color w:val="000000" w:themeColor="text1"/>
        </w:rPr>
        <w:t>2</w:t>
      </w:r>
      <w:r>
        <w:rPr>
          <w:rFonts w:eastAsiaTheme="minorEastAsia"/>
          <w:color w:val="000000" w:themeColor="text1"/>
        </w:rPr>
        <w:t>日，</w:t>
      </w:r>
      <w:r>
        <w:rPr>
          <w:rFonts w:eastAsiaTheme="minorEastAsia"/>
          <w:color w:val="000000" w:themeColor="text1"/>
        </w:rPr>
        <w:t xml:space="preserve"> </w:t>
      </w:r>
      <w:r>
        <w:rPr>
          <w:rFonts w:eastAsiaTheme="minorEastAsia"/>
          <w:color w:val="000000" w:themeColor="text1"/>
        </w:rPr>
        <w:t>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BC573C">
        <w:tc>
          <w:tcPr>
            <w:tcW w:w="851" w:type="dxa"/>
            <w:vAlign w:val="center"/>
          </w:tcPr>
          <w:p w:rsidR="00BC573C" w:rsidRDefault="000327C9">
            <w:pPr>
              <w:jc w:val="center"/>
            </w:pPr>
            <w:r>
              <w:rPr>
                <w:rFonts w:eastAsiaTheme="minorEastAsia"/>
                <w:color w:val="000000" w:themeColor="text1"/>
              </w:rPr>
              <w:t>胡迪</w:t>
            </w:r>
          </w:p>
        </w:tc>
        <w:tc>
          <w:tcPr>
            <w:tcW w:w="850" w:type="dxa"/>
            <w:vAlign w:val="center"/>
          </w:tcPr>
          <w:p w:rsidR="00BC573C" w:rsidRDefault="000327C9">
            <w:pPr>
              <w:jc w:val="center"/>
            </w:pPr>
            <w:r>
              <w:rPr>
                <w:rFonts w:eastAsiaTheme="minorEastAsia"/>
                <w:color w:val="000000" w:themeColor="text1"/>
              </w:rPr>
              <w:t>本基金基金经理、指数及量化投资部总监</w:t>
            </w:r>
          </w:p>
        </w:tc>
        <w:tc>
          <w:tcPr>
            <w:tcW w:w="1560" w:type="dxa"/>
            <w:vAlign w:val="center"/>
          </w:tcPr>
          <w:p w:rsidR="00BC573C" w:rsidRDefault="000327C9">
            <w:pPr>
              <w:jc w:val="center"/>
            </w:pPr>
            <w:r>
              <w:rPr>
                <w:rFonts w:eastAsiaTheme="minorEastAsia"/>
                <w:color w:val="000000" w:themeColor="text1"/>
              </w:rPr>
              <w:t>2021-01-07</w:t>
            </w:r>
          </w:p>
        </w:tc>
        <w:tc>
          <w:tcPr>
            <w:tcW w:w="1559" w:type="dxa"/>
            <w:vAlign w:val="center"/>
          </w:tcPr>
          <w:p w:rsidR="00BC573C" w:rsidRDefault="000327C9">
            <w:pPr>
              <w:jc w:val="center"/>
            </w:pPr>
            <w:r>
              <w:rPr>
                <w:rFonts w:eastAsiaTheme="minorEastAsia"/>
                <w:color w:val="000000" w:themeColor="text1"/>
              </w:rPr>
              <w:t>-</w:t>
            </w:r>
          </w:p>
        </w:tc>
        <w:tc>
          <w:tcPr>
            <w:tcW w:w="1417" w:type="dxa"/>
            <w:vAlign w:val="center"/>
          </w:tcPr>
          <w:p w:rsidR="00BC573C" w:rsidRDefault="000327C9">
            <w:pPr>
              <w:jc w:val="center"/>
            </w:pPr>
            <w:r>
              <w:rPr>
                <w:rFonts w:eastAsiaTheme="minorEastAsia"/>
                <w:color w:val="000000" w:themeColor="text1"/>
              </w:rPr>
              <w:t>14</w:t>
            </w:r>
            <w:r>
              <w:rPr>
                <w:rFonts w:eastAsiaTheme="minorEastAsia"/>
                <w:color w:val="000000" w:themeColor="text1"/>
              </w:rPr>
              <w:t>年</w:t>
            </w:r>
          </w:p>
        </w:tc>
        <w:tc>
          <w:tcPr>
            <w:tcW w:w="2694" w:type="dxa"/>
            <w:vAlign w:val="center"/>
          </w:tcPr>
          <w:p w:rsidR="00BC573C" w:rsidRDefault="000327C9">
            <w:r>
              <w:rPr>
                <w:rFonts w:eastAsiaTheme="minorEastAsia"/>
                <w:color w:val="000000" w:themeColor="text1"/>
              </w:rPr>
              <w:t>胡迪女士，</w:t>
            </w:r>
            <w:r>
              <w:rPr>
                <w:rFonts w:eastAsiaTheme="minorEastAsia"/>
                <w:color w:val="000000" w:themeColor="text1"/>
              </w:rPr>
              <w:t>CFA</w:t>
            </w:r>
            <w:r>
              <w:rPr>
                <w:rFonts w:eastAsiaTheme="minorEastAsia"/>
                <w:color w:val="000000" w:themeColor="text1"/>
              </w:rPr>
              <w:t>，</w:t>
            </w:r>
            <w:r>
              <w:rPr>
                <w:rFonts w:eastAsiaTheme="minorEastAsia"/>
                <w:color w:val="000000" w:themeColor="text1"/>
              </w:rPr>
              <w:t>FRM</w:t>
            </w:r>
            <w:r>
              <w:rPr>
                <w:rFonts w:eastAsiaTheme="minorEastAsia"/>
                <w:color w:val="000000" w:themeColor="text1"/>
              </w:rPr>
              <w:t>，美国哥伦比亚大学金融工程硕士，现任指数及量化投资部总监。胡迪女士自</w:t>
            </w:r>
            <w:r>
              <w:rPr>
                <w:rFonts w:eastAsiaTheme="minorEastAsia"/>
                <w:color w:val="000000" w:themeColor="text1"/>
              </w:rPr>
              <w:t>2008</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月至</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月在纽约美林证券担任全球资产管理部高级经理；自</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月至</w:t>
            </w:r>
            <w:r>
              <w:rPr>
                <w:rFonts w:eastAsiaTheme="minorEastAsia"/>
                <w:color w:val="000000" w:themeColor="text1"/>
              </w:rPr>
              <w:t>2012</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月在纽约标准普尔担任量化投资主管；自</w:t>
            </w:r>
            <w:r>
              <w:rPr>
                <w:rFonts w:eastAsiaTheme="minorEastAsia"/>
                <w:color w:val="000000" w:themeColor="text1"/>
              </w:rPr>
              <w:t>2012</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月在中国国际金融股份有限公司担任资产管理部执行总经理；自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月加入上投摩根基金管理有限公司，现任指数及量化投资部总监，自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月起同时担任上投摩根量化多因子灵活配置混合型证券投资基金、上投摩根优选多因子股票型证券投资基金、上投摩根动态</w:t>
            </w:r>
            <w:r>
              <w:rPr>
                <w:rFonts w:eastAsiaTheme="minorEastAsia"/>
                <w:color w:val="000000" w:themeColor="text1"/>
              </w:rPr>
              <w:t>多因子策略灵活配置混合型证券投资基金、上投摩根中证消费服务领先指数证券投资基金、上投摩根</w:t>
            </w:r>
            <w:r>
              <w:rPr>
                <w:rFonts w:eastAsiaTheme="minorEastAsia"/>
                <w:color w:val="000000" w:themeColor="text1"/>
              </w:rPr>
              <w:t>MSCI</w:t>
            </w:r>
            <w:r>
              <w:rPr>
                <w:rFonts w:eastAsiaTheme="minorEastAsia"/>
                <w:color w:val="000000" w:themeColor="text1"/>
              </w:rPr>
              <w:t>中国</w:t>
            </w:r>
            <w:r>
              <w:rPr>
                <w:rFonts w:eastAsiaTheme="minorEastAsia"/>
                <w:color w:val="000000" w:themeColor="text1"/>
              </w:rPr>
              <w:t>A</w:t>
            </w:r>
            <w:r>
              <w:rPr>
                <w:rFonts w:eastAsiaTheme="minorEastAsia"/>
                <w:color w:val="000000" w:themeColor="text1"/>
              </w:rPr>
              <w:t>股交易型开放式指数证券投资基金、上投摩根</w:t>
            </w:r>
            <w:r>
              <w:rPr>
                <w:rFonts w:eastAsiaTheme="minorEastAsia"/>
                <w:color w:val="000000" w:themeColor="text1"/>
              </w:rPr>
              <w:t>MSCI</w:t>
            </w:r>
            <w:r>
              <w:rPr>
                <w:rFonts w:eastAsiaTheme="minorEastAsia"/>
                <w:color w:val="000000" w:themeColor="text1"/>
              </w:rPr>
              <w:t>中国</w:t>
            </w:r>
            <w:r>
              <w:rPr>
                <w:rFonts w:eastAsiaTheme="minorEastAsia"/>
                <w:color w:val="000000" w:themeColor="text1"/>
              </w:rPr>
              <w:t>A</w:t>
            </w:r>
            <w:r>
              <w:rPr>
                <w:rFonts w:eastAsiaTheme="minorEastAsia"/>
                <w:color w:val="000000" w:themeColor="text1"/>
              </w:rPr>
              <w:t>股交易型开放式指数证券投资基金联接基金、上投摩根标普港股通低波红利指数型证券投资基金基金经理</w:t>
            </w:r>
            <w:r>
              <w:rPr>
                <w:rFonts w:eastAsiaTheme="minorEastAsia"/>
                <w:color w:val="000000" w:themeColor="text1"/>
              </w:rPr>
              <w:t>,</w:t>
            </w:r>
            <w:r>
              <w:rPr>
                <w:rFonts w:eastAsiaTheme="minorEastAsia"/>
                <w:color w:val="000000" w:themeColor="text1"/>
              </w:rPr>
              <w:t>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月起同时担任上投摩根富时发达市场</w:t>
            </w:r>
            <w:r>
              <w:rPr>
                <w:rFonts w:eastAsiaTheme="minorEastAsia"/>
                <w:color w:val="000000" w:themeColor="text1"/>
              </w:rPr>
              <w:t>REITs</w:t>
            </w:r>
            <w:r>
              <w:rPr>
                <w:rFonts w:eastAsiaTheme="minorEastAsia"/>
                <w:color w:val="000000" w:themeColor="text1"/>
              </w:rPr>
              <w:t>指数型证券投资基金（</w:t>
            </w:r>
            <w:r>
              <w:rPr>
                <w:rFonts w:eastAsiaTheme="minorEastAsia"/>
                <w:color w:val="000000" w:themeColor="text1"/>
              </w:rPr>
              <w:t>QDII)</w:t>
            </w:r>
            <w:r>
              <w:rPr>
                <w:rFonts w:eastAsiaTheme="minorEastAsia"/>
                <w:color w:val="000000" w:themeColor="text1"/>
              </w:rPr>
              <w:t>、上投摩根中证沪港深科技</w:t>
            </w:r>
            <w:r>
              <w:rPr>
                <w:rFonts w:eastAsiaTheme="minorEastAsia"/>
                <w:color w:val="000000" w:themeColor="text1"/>
              </w:rPr>
              <w:t>100</w:t>
            </w:r>
            <w:r>
              <w:rPr>
                <w:rFonts w:eastAsiaTheme="minorEastAsia"/>
                <w:color w:val="000000" w:themeColor="text1"/>
              </w:rPr>
              <w:t>交易型开放式指数证券投资基金基金经理，自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月起同时担任上投摩根恒生科技交易型开放式指数证券投资基金（</w:t>
            </w:r>
            <w:r>
              <w:rPr>
                <w:rFonts w:eastAsiaTheme="minorEastAsia"/>
                <w:color w:val="000000" w:themeColor="text1"/>
              </w:rPr>
              <w:t>QDII</w:t>
            </w:r>
            <w:r>
              <w:rPr>
                <w:rFonts w:eastAsiaTheme="minorEastAsia"/>
                <w:color w:val="000000" w:themeColor="text1"/>
              </w:rPr>
              <w:t>）基金经理。</w:t>
            </w:r>
          </w:p>
        </w:tc>
      </w:tr>
    </w:tbl>
    <w:p w:rsidR="00BC573C" w:rsidRDefault="000327C9">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动态多因子策略灵活配置混合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BC573C" w:rsidRDefault="000327C9">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C573C" w:rsidRDefault="000327C9">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BC573C" w:rsidRDefault="000327C9">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BC573C" w:rsidRDefault="000327C9">
      <w:pPr>
        <w:spacing w:line="360" w:lineRule="auto"/>
        <w:ind w:firstLineChars="200" w:firstLine="420"/>
        <w:rPr>
          <w:rFonts w:eastAsiaTheme="minorEastAsia"/>
          <w:color w:val="000000" w:themeColor="text1"/>
        </w:rPr>
      </w:pPr>
      <w:r>
        <w:rPr>
          <w:rFonts w:eastAsiaTheme="minorEastAsia"/>
          <w:color w:val="000000" w:themeColor="text1"/>
        </w:rPr>
        <w:t>股票市场，</w:t>
      </w:r>
      <w:r>
        <w:rPr>
          <w:rFonts w:eastAsiaTheme="minorEastAsia"/>
          <w:color w:val="000000" w:themeColor="text1"/>
        </w:rPr>
        <w:t>2022</w:t>
      </w:r>
      <w:r>
        <w:rPr>
          <w:rFonts w:eastAsiaTheme="minorEastAsia"/>
          <w:color w:val="000000" w:themeColor="text1"/>
        </w:rPr>
        <w:t>年一季度，</w:t>
      </w:r>
      <w:r>
        <w:rPr>
          <w:rFonts w:eastAsiaTheme="minorEastAsia"/>
          <w:color w:val="000000" w:themeColor="text1"/>
        </w:rPr>
        <w:t>A</w:t>
      </w:r>
      <w:r>
        <w:rPr>
          <w:rFonts w:eastAsiaTheme="minorEastAsia"/>
          <w:color w:val="000000" w:themeColor="text1"/>
        </w:rPr>
        <w:t>股内外环境均承压，指数下行压力显现。虽然季末金融委会议表态提升市场信心，市场逐步筑底回升。但在经济增长压力加大，国内疫情扩散背景下，结合俄乌局势紧张，美联储加息临近等影响，当季各宽基指数跌幅仍在</w:t>
      </w:r>
      <w:r>
        <w:rPr>
          <w:rFonts w:eastAsiaTheme="minorEastAsia"/>
          <w:color w:val="000000" w:themeColor="text1"/>
        </w:rPr>
        <w:t>10%</w:t>
      </w:r>
      <w:r>
        <w:rPr>
          <w:rFonts w:eastAsiaTheme="minorEastAsia"/>
          <w:color w:val="000000" w:themeColor="text1"/>
        </w:rPr>
        <w:t>以上。分行业看，银行、地产等防御性板块在政策加持下展现出极强的抗跌能力，下游消费板块仍然延续</w:t>
      </w:r>
      <w:r>
        <w:rPr>
          <w:rFonts w:eastAsiaTheme="minorEastAsia"/>
          <w:color w:val="000000" w:themeColor="text1"/>
        </w:rPr>
        <w:t>2021</w:t>
      </w:r>
      <w:r>
        <w:rPr>
          <w:rFonts w:eastAsiaTheme="minorEastAsia"/>
          <w:color w:val="000000" w:themeColor="text1"/>
        </w:rPr>
        <w:t>年颓势，而成长性较强的新能源、半导体等在不确定性加剧的环境中进一步消化前期估值。从风格上来看，成长股集中回调，小市值以及低估值个股强势崛起，体现</w:t>
      </w:r>
      <w:r>
        <w:rPr>
          <w:rFonts w:eastAsiaTheme="minorEastAsia"/>
          <w:color w:val="000000" w:themeColor="text1"/>
        </w:rPr>
        <w:t>2020</w:t>
      </w:r>
      <w:r>
        <w:rPr>
          <w:rFonts w:eastAsiaTheme="minorEastAsia"/>
          <w:color w:val="000000" w:themeColor="text1"/>
        </w:rPr>
        <w:t>年以来随环境和</w:t>
      </w:r>
      <w:r>
        <w:rPr>
          <w:rFonts w:eastAsiaTheme="minorEastAsia"/>
          <w:color w:val="000000" w:themeColor="text1"/>
        </w:rPr>
        <w:t>A</w:t>
      </w:r>
      <w:r>
        <w:rPr>
          <w:rFonts w:eastAsiaTheme="minorEastAsia"/>
          <w:color w:val="000000" w:themeColor="text1"/>
        </w:rPr>
        <w:t>股估值变化，资</w:t>
      </w:r>
      <w:r>
        <w:rPr>
          <w:rFonts w:eastAsiaTheme="minorEastAsia"/>
          <w:color w:val="000000" w:themeColor="text1"/>
        </w:rPr>
        <w:t>金逐步从拥抱成长确定性走向权衡业绩性价比。综合看，在宏观经济下行压力和政策转身，以及外部环境面临挑战的持续冲突中，市场运行的长期逻辑（追求增长）和短期逻辑（寻求安全边际）也相互冲突，使得个股的短期表现相较于</w:t>
      </w:r>
      <w:r>
        <w:rPr>
          <w:rFonts w:eastAsiaTheme="minorEastAsia"/>
          <w:color w:val="000000" w:themeColor="text1"/>
        </w:rPr>
        <w:t>2021</w:t>
      </w:r>
      <w:r>
        <w:rPr>
          <w:rFonts w:eastAsiaTheme="minorEastAsia"/>
          <w:color w:val="000000" w:themeColor="text1"/>
        </w:rPr>
        <w:t>年前三季度的以业绩驱动为主，本季度呈现出更加注重市场情绪变化和避险需求的特征，市场焦点扩散，且热点行情持续性不佳，超额收益的获取好于</w:t>
      </w:r>
      <w:r>
        <w:rPr>
          <w:rFonts w:eastAsiaTheme="minorEastAsia"/>
          <w:color w:val="000000" w:themeColor="text1"/>
        </w:rPr>
        <w:t>2021</w:t>
      </w:r>
      <w:r>
        <w:rPr>
          <w:rFonts w:eastAsiaTheme="minorEastAsia"/>
          <w:color w:val="000000" w:themeColor="text1"/>
        </w:rPr>
        <w:t>年四季度，但仍有一定挑战。本基金由于选股从多因子角度出发，偏重基本面因素，在行业板块分布和风格因子配置上相对均衡。债券市场，春节前，央行降息成为债券利率走势的</w:t>
      </w:r>
      <w:r>
        <w:rPr>
          <w:rFonts w:eastAsiaTheme="minorEastAsia"/>
          <w:color w:val="000000" w:themeColor="text1"/>
        </w:rPr>
        <w:t>主导因素。</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17</w:t>
      </w:r>
      <w:r>
        <w:rPr>
          <w:rFonts w:eastAsiaTheme="minorEastAsia"/>
          <w:color w:val="000000" w:themeColor="text1"/>
        </w:rPr>
        <w:t>日，央行</w:t>
      </w:r>
      <w:r>
        <w:rPr>
          <w:rFonts w:eastAsiaTheme="minorEastAsia"/>
          <w:color w:val="000000" w:themeColor="text1"/>
        </w:rPr>
        <w:t>1</w:t>
      </w:r>
      <w:r>
        <w:rPr>
          <w:rFonts w:eastAsiaTheme="minorEastAsia"/>
          <w:color w:val="000000" w:themeColor="text1"/>
        </w:rPr>
        <w:t>年期</w:t>
      </w:r>
      <w:r>
        <w:rPr>
          <w:rFonts w:eastAsiaTheme="minorEastAsia"/>
          <w:color w:val="000000" w:themeColor="text1"/>
        </w:rPr>
        <w:t>MLF</w:t>
      </w:r>
      <w:r>
        <w:rPr>
          <w:rFonts w:eastAsiaTheme="minorEastAsia"/>
          <w:color w:val="000000" w:themeColor="text1"/>
        </w:rPr>
        <w:t>利率以及</w:t>
      </w:r>
      <w:r>
        <w:rPr>
          <w:rFonts w:eastAsiaTheme="minorEastAsia"/>
          <w:color w:val="000000" w:themeColor="text1"/>
        </w:rPr>
        <w:t>OMO</w:t>
      </w:r>
      <w:r>
        <w:rPr>
          <w:rFonts w:eastAsiaTheme="minorEastAsia"/>
          <w:color w:val="000000" w:themeColor="text1"/>
        </w:rPr>
        <w:t>利率均下调</w:t>
      </w:r>
      <w:r>
        <w:rPr>
          <w:rFonts w:eastAsiaTheme="minorEastAsia"/>
          <w:color w:val="000000" w:themeColor="text1"/>
        </w:rPr>
        <w:t>10bp</w:t>
      </w:r>
      <w:r>
        <w:rPr>
          <w:rFonts w:eastAsiaTheme="minorEastAsia"/>
          <w:color w:val="000000" w:themeColor="text1"/>
        </w:rPr>
        <w:t>；</w:t>
      </w:r>
      <w:r>
        <w:rPr>
          <w:rFonts w:eastAsiaTheme="minorEastAsia"/>
          <w:color w:val="000000" w:themeColor="text1"/>
        </w:rPr>
        <w:t>1</w:t>
      </w:r>
      <w:r>
        <w:rPr>
          <w:rFonts w:eastAsiaTheme="minorEastAsia"/>
          <w:color w:val="000000" w:themeColor="text1"/>
        </w:rPr>
        <w:t>有</w:t>
      </w:r>
      <w:r>
        <w:rPr>
          <w:rFonts w:eastAsiaTheme="minorEastAsia"/>
          <w:color w:val="000000" w:themeColor="text1"/>
        </w:rPr>
        <w:t>20</w:t>
      </w:r>
      <w:r>
        <w:rPr>
          <w:rFonts w:eastAsiaTheme="minorEastAsia"/>
          <w:color w:val="000000" w:themeColor="text1"/>
        </w:rPr>
        <w:t>日，</w:t>
      </w:r>
      <w:r>
        <w:rPr>
          <w:rFonts w:eastAsiaTheme="minorEastAsia"/>
          <w:color w:val="000000" w:themeColor="text1"/>
        </w:rPr>
        <w:t>1</w:t>
      </w:r>
      <w:r>
        <w:rPr>
          <w:rFonts w:eastAsiaTheme="minorEastAsia"/>
          <w:color w:val="000000" w:themeColor="text1"/>
        </w:rPr>
        <w:t>年期</w:t>
      </w:r>
      <w:r>
        <w:rPr>
          <w:rFonts w:eastAsiaTheme="minorEastAsia"/>
          <w:color w:val="000000" w:themeColor="text1"/>
        </w:rPr>
        <w:t>LPR</w:t>
      </w:r>
      <w:r>
        <w:rPr>
          <w:rFonts w:eastAsiaTheme="minorEastAsia"/>
          <w:color w:val="000000" w:themeColor="text1"/>
        </w:rPr>
        <w:t>下调</w:t>
      </w:r>
      <w:r>
        <w:rPr>
          <w:rFonts w:eastAsiaTheme="minorEastAsia"/>
          <w:color w:val="000000" w:themeColor="text1"/>
        </w:rPr>
        <w:t>10bp</w:t>
      </w:r>
      <w:r>
        <w:rPr>
          <w:rFonts w:eastAsiaTheme="minorEastAsia"/>
          <w:color w:val="000000" w:themeColor="text1"/>
        </w:rPr>
        <w:t>，</w:t>
      </w:r>
      <w:r>
        <w:rPr>
          <w:rFonts w:eastAsiaTheme="minorEastAsia"/>
          <w:color w:val="000000" w:themeColor="text1"/>
        </w:rPr>
        <w:t>5</w:t>
      </w:r>
      <w:r>
        <w:rPr>
          <w:rFonts w:eastAsiaTheme="minorEastAsia"/>
          <w:color w:val="000000" w:themeColor="text1"/>
        </w:rPr>
        <w:t>年期以上</w:t>
      </w:r>
      <w:r>
        <w:rPr>
          <w:rFonts w:eastAsiaTheme="minorEastAsia"/>
          <w:color w:val="000000" w:themeColor="text1"/>
        </w:rPr>
        <w:t>LPR</w:t>
      </w:r>
      <w:r>
        <w:rPr>
          <w:rFonts w:eastAsiaTheme="minorEastAsia"/>
          <w:color w:val="000000" w:themeColor="text1"/>
        </w:rPr>
        <w:t>下调</w:t>
      </w:r>
      <w:r>
        <w:rPr>
          <w:rFonts w:eastAsiaTheme="minorEastAsia"/>
          <w:color w:val="000000" w:themeColor="text1"/>
        </w:rPr>
        <w:t>5bp</w:t>
      </w:r>
      <w:r>
        <w:rPr>
          <w:rFonts w:eastAsiaTheme="minorEastAsia"/>
          <w:color w:val="000000" w:themeColor="text1"/>
        </w:rPr>
        <w:t>。受此影响，债券收益率一路下滑，</w:t>
      </w:r>
      <w:r>
        <w:rPr>
          <w:rFonts w:eastAsiaTheme="minorEastAsia"/>
          <w:color w:val="000000" w:themeColor="text1"/>
        </w:rPr>
        <w:t>10</w:t>
      </w:r>
      <w:r>
        <w:rPr>
          <w:rFonts w:eastAsiaTheme="minorEastAsia"/>
          <w:color w:val="000000" w:themeColor="text1"/>
        </w:rPr>
        <w:t>年期国债收益率最低下降至</w:t>
      </w:r>
      <w:r>
        <w:rPr>
          <w:rFonts w:eastAsiaTheme="minorEastAsia"/>
          <w:color w:val="000000" w:themeColor="text1"/>
        </w:rPr>
        <w:t>2.68%</w:t>
      </w:r>
      <w:r>
        <w:rPr>
          <w:rFonts w:eastAsiaTheme="minorEastAsia"/>
          <w:color w:val="000000" w:themeColor="text1"/>
        </w:rPr>
        <w:t>，抬升利率债整体价格。春节后，央行将工作重心侧重于宽信用方面，致使</w:t>
      </w:r>
      <w:r>
        <w:rPr>
          <w:rFonts w:eastAsiaTheme="minorEastAsia"/>
          <w:color w:val="000000" w:themeColor="text1"/>
        </w:rPr>
        <w:t>MLF</w:t>
      </w:r>
      <w:r>
        <w:rPr>
          <w:rFonts w:eastAsiaTheme="minorEastAsia"/>
          <w:color w:val="000000" w:themeColor="text1"/>
        </w:rPr>
        <w:t>以及</w:t>
      </w:r>
      <w:r>
        <w:rPr>
          <w:rFonts w:eastAsiaTheme="minorEastAsia"/>
          <w:color w:val="000000" w:themeColor="text1"/>
        </w:rPr>
        <w:t>LPR</w:t>
      </w:r>
      <w:r>
        <w:rPr>
          <w:rFonts w:eastAsiaTheme="minorEastAsia"/>
          <w:color w:val="000000" w:themeColor="text1"/>
        </w:rPr>
        <w:t>的降息预期逐步落空。同时，多地下调房贷利率，使房地产政策边际得到改善，叠加二三月公布的经济数据普遍好于预期，使得债券利率逐步走高，季度末几乎与年初持平。</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目前看，经历一季度调整后，在政策呵护和流动性提振背景下，中长期看</w:t>
      </w:r>
      <w:r w:rsidRPr="00FF6B9A">
        <w:rPr>
          <w:rFonts w:eastAsiaTheme="minorEastAsia"/>
          <w:color w:val="000000" w:themeColor="text1"/>
        </w:rPr>
        <w:t>A</w:t>
      </w:r>
      <w:r w:rsidRPr="00FF6B9A">
        <w:rPr>
          <w:rFonts w:eastAsiaTheme="minorEastAsia"/>
          <w:color w:val="000000" w:themeColor="text1"/>
        </w:rPr>
        <w:t>股已具备良好的投资性价比，二季度时的</w:t>
      </w:r>
      <w:r w:rsidRPr="00FF6B9A">
        <w:rPr>
          <w:rFonts w:eastAsiaTheme="minorEastAsia"/>
          <w:color w:val="000000" w:themeColor="text1"/>
        </w:rPr>
        <w:t>A</w:t>
      </w:r>
      <w:r w:rsidRPr="00FF6B9A">
        <w:rPr>
          <w:rFonts w:eastAsiaTheme="minorEastAsia"/>
          <w:color w:val="000000" w:themeColor="text1"/>
        </w:rPr>
        <w:t>股将迎来近年来较好的中长线布局时机。在这样的市场中，一方面，投资高质量的成长因子不会过时，估值和业绩增速匹配的公司，特别是业绩初步兑现的新兴产业中，存在长期</w:t>
      </w:r>
      <w:r w:rsidRPr="00FF6B9A">
        <w:rPr>
          <w:rFonts w:eastAsiaTheme="minorEastAsia"/>
          <w:color w:val="000000" w:themeColor="text1"/>
        </w:rPr>
        <w:t>Alpha</w:t>
      </w:r>
      <w:r w:rsidRPr="00FF6B9A">
        <w:rPr>
          <w:rFonts w:eastAsiaTheme="minorEastAsia"/>
          <w:color w:val="000000" w:themeColor="text1"/>
        </w:rPr>
        <w:t>，短期内虽有延续波动的可能性，但仍然可以中长线布局。另一方面，在政策影响力加强的环境中，政策持续呵护且估值偏低的行业如地产也值得关注。债券市场展望未来，疫情仍然是影响经济的主要因素。三月以来，各城市受疫情影响，坚持清零政策，采取</w:t>
      </w:r>
      <w:r w:rsidRPr="00FF6B9A">
        <w:rPr>
          <w:rFonts w:eastAsiaTheme="minorEastAsia"/>
          <w:color w:val="000000" w:themeColor="text1"/>
        </w:rPr>
        <w:t>“</w:t>
      </w:r>
      <w:r w:rsidRPr="00FF6B9A">
        <w:rPr>
          <w:rFonts w:eastAsiaTheme="minorEastAsia"/>
          <w:color w:val="000000" w:themeColor="text1"/>
        </w:rPr>
        <w:t>封城</w:t>
      </w:r>
      <w:r w:rsidRPr="00FF6B9A">
        <w:rPr>
          <w:rFonts w:eastAsiaTheme="minorEastAsia"/>
          <w:color w:val="000000" w:themeColor="text1"/>
        </w:rPr>
        <w:t>”</w:t>
      </w:r>
      <w:r w:rsidRPr="00FF6B9A">
        <w:rPr>
          <w:rFonts w:eastAsiaTheme="minorEastAsia"/>
          <w:color w:val="000000" w:themeColor="text1"/>
        </w:rPr>
        <w:t>手段，在一定程度上会使经济承压。另外，大宗商品中的工业品已在高位，</w:t>
      </w:r>
      <w:r w:rsidRPr="00FF6B9A">
        <w:rPr>
          <w:rFonts w:eastAsiaTheme="minorEastAsia"/>
          <w:color w:val="000000" w:themeColor="text1"/>
        </w:rPr>
        <w:t>PPI</w:t>
      </w:r>
      <w:r w:rsidRPr="00FF6B9A">
        <w:rPr>
          <w:rFonts w:eastAsiaTheme="minorEastAsia"/>
          <w:color w:val="000000" w:themeColor="text1"/>
        </w:rPr>
        <w:t>开始逐步走弱。因此，利率端于二季度有望下行，但可能幅度有限。一是因为政策将对经济持续托底；二是虽然工业品升势放缓，但与居民相关的消费品价格开始逐渐抬头，提升通胀预期。在具体投资策略上，我们仍将以金融资产的收益风险性价比分析为基础，通过量化模型在风险可控的基础上，力争构造持有具有长期稳定收益的投资组合。</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本报告期上投摩根动态多因子混合份额净值增长率为</w:t>
      </w:r>
      <w:r w:rsidRPr="00FF6B9A">
        <w:rPr>
          <w:rFonts w:eastAsiaTheme="minorEastAsia"/>
          <w:color w:val="000000" w:themeColor="text1"/>
        </w:rPr>
        <w:t>:-11.64%</w:t>
      </w:r>
      <w:r w:rsidRPr="00FF6B9A">
        <w:rPr>
          <w:rFonts w:eastAsiaTheme="minorEastAsia"/>
          <w:color w:val="000000" w:themeColor="text1"/>
        </w:rPr>
        <w:t>，同期业绩比较基准收益率为</w:t>
      </w:r>
      <w:r w:rsidRPr="00FF6B9A">
        <w:rPr>
          <w:rFonts w:eastAsiaTheme="minorEastAsia"/>
          <w:color w:val="000000" w:themeColor="text1"/>
        </w:rPr>
        <w:t>:-8.83%</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107,041,918.75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91.55</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107,041,918.75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91.55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1,617,009.99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1,617,009.99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8,201,820.98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7.01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61,242.11</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116,921,991.83</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12,676,796.33</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10.95</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84,572,774.40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73.04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3,228,564.00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2.79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3,399,975.00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3,157,956.78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2.73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5,117.19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295.05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107,041,918.75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92.44</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BC573C">
        <w:tc>
          <w:tcPr>
            <w:tcW w:w="817" w:type="dxa"/>
            <w:vAlign w:val="center"/>
          </w:tcPr>
          <w:p w:rsidR="00BC573C" w:rsidRDefault="000327C9">
            <w:pPr>
              <w:jc w:val="center"/>
            </w:pPr>
            <w:r>
              <w:rPr>
                <w:rFonts w:eastAsiaTheme="minorEastAsia"/>
                <w:kern w:val="0"/>
                <w:sz w:val="24"/>
                <w:szCs w:val="24"/>
              </w:rPr>
              <w:t>1</w:t>
            </w:r>
          </w:p>
        </w:tc>
        <w:tc>
          <w:tcPr>
            <w:tcW w:w="1276" w:type="dxa"/>
            <w:vAlign w:val="center"/>
          </w:tcPr>
          <w:p w:rsidR="00BC573C" w:rsidRDefault="000327C9">
            <w:pPr>
              <w:jc w:val="center"/>
            </w:pPr>
            <w:r>
              <w:rPr>
                <w:rFonts w:eastAsiaTheme="minorEastAsia"/>
                <w:kern w:val="0"/>
                <w:sz w:val="24"/>
                <w:szCs w:val="24"/>
              </w:rPr>
              <w:t>601666</w:t>
            </w:r>
          </w:p>
        </w:tc>
        <w:tc>
          <w:tcPr>
            <w:tcW w:w="1701" w:type="dxa"/>
            <w:vAlign w:val="center"/>
          </w:tcPr>
          <w:p w:rsidR="00BC573C" w:rsidRDefault="000327C9">
            <w:pPr>
              <w:jc w:val="center"/>
            </w:pPr>
            <w:r>
              <w:rPr>
                <w:rFonts w:eastAsiaTheme="minorEastAsia"/>
                <w:kern w:val="0"/>
                <w:sz w:val="24"/>
                <w:szCs w:val="24"/>
              </w:rPr>
              <w:t>平煤股份</w:t>
            </w:r>
          </w:p>
        </w:tc>
        <w:tc>
          <w:tcPr>
            <w:tcW w:w="1276" w:type="dxa"/>
            <w:vAlign w:val="center"/>
          </w:tcPr>
          <w:p w:rsidR="00BC573C" w:rsidRDefault="000327C9">
            <w:pPr>
              <w:jc w:val="right"/>
            </w:pPr>
            <w:r>
              <w:rPr>
                <w:rFonts w:eastAsiaTheme="minorEastAsia"/>
                <w:kern w:val="0"/>
                <w:sz w:val="24"/>
                <w:szCs w:val="24"/>
              </w:rPr>
              <w:t>273,760.00</w:t>
            </w:r>
          </w:p>
        </w:tc>
        <w:tc>
          <w:tcPr>
            <w:tcW w:w="1842" w:type="dxa"/>
            <w:vAlign w:val="center"/>
          </w:tcPr>
          <w:p w:rsidR="00BC573C" w:rsidRDefault="000327C9">
            <w:pPr>
              <w:jc w:val="right"/>
            </w:pPr>
            <w:r>
              <w:rPr>
                <w:rFonts w:eastAsiaTheme="minorEastAsia"/>
                <w:kern w:val="0"/>
                <w:sz w:val="24"/>
                <w:szCs w:val="24"/>
              </w:rPr>
              <w:t>4,686,771.20</w:t>
            </w:r>
          </w:p>
        </w:tc>
        <w:tc>
          <w:tcPr>
            <w:tcW w:w="1616" w:type="dxa"/>
            <w:vAlign w:val="center"/>
          </w:tcPr>
          <w:p w:rsidR="00BC573C" w:rsidRDefault="000327C9">
            <w:pPr>
              <w:jc w:val="right"/>
            </w:pPr>
            <w:r>
              <w:rPr>
                <w:rFonts w:eastAsiaTheme="minorEastAsia"/>
                <w:kern w:val="0"/>
                <w:sz w:val="24"/>
                <w:szCs w:val="24"/>
              </w:rPr>
              <w:t>4.05</w:t>
            </w:r>
          </w:p>
        </w:tc>
      </w:tr>
      <w:tr w:rsidR="00BC573C">
        <w:tc>
          <w:tcPr>
            <w:tcW w:w="817" w:type="dxa"/>
            <w:vAlign w:val="center"/>
          </w:tcPr>
          <w:p w:rsidR="00BC573C" w:rsidRDefault="000327C9">
            <w:pPr>
              <w:jc w:val="center"/>
            </w:pPr>
            <w:r>
              <w:rPr>
                <w:rFonts w:eastAsiaTheme="minorEastAsia"/>
                <w:kern w:val="0"/>
                <w:sz w:val="24"/>
                <w:szCs w:val="24"/>
              </w:rPr>
              <w:t>2</w:t>
            </w:r>
          </w:p>
        </w:tc>
        <w:tc>
          <w:tcPr>
            <w:tcW w:w="1276" w:type="dxa"/>
            <w:vAlign w:val="center"/>
          </w:tcPr>
          <w:p w:rsidR="00BC573C" w:rsidRDefault="000327C9">
            <w:pPr>
              <w:jc w:val="center"/>
            </w:pPr>
            <w:r>
              <w:rPr>
                <w:rFonts w:eastAsiaTheme="minorEastAsia"/>
                <w:kern w:val="0"/>
                <w:sz w:val="24"/>
                <w:szCs w:val="24"/>
              </w:rPr>
              <w:t>601918</w:t>
            </w:r>
          </w:p>
        </w:tc>
        <w:tc>
          <w:tcPr>
            <w:tcW w:w="1701" w:type="dxa"/>
            <w:vAlign w:val="center"/>
          </w:tcPr>
          <w:p w:rsidR="00BC573C" w:rsidRDefault="000327C9">
            <w:pPr>
              <w:jc w:val="center"/>
            </w:pPr>
            <w:r>
              <w:rPr>
                <w:rFonts w:eastAsiaTheme="minorEastAsia"/>
                <w:kern w:val="0"/>
                <w:sz w:val="24"/>
                <w:szCs w:val="24"/>
              </w:rPr>
              <w:t>新集能源</w:t>
            </w:r>
          </w:p>
        </w:tc>
        <w:tc>
          <w:tcPr>
            <w:tcW w:w="1276" w:type="dxa"/>
            <w:vAlign w:val="center"/>
          </w:tcPr>
          <w:p w:rsidR="00BC573C" w:rsidRDefault="000327C9">
            <w:pPr>
              <w:jc w:val="right"/>
            </w:pPr>
            <w:r>
              <w:rPr>
                <w:rFonts w:eastAsiaTheme="minorEastAsia"/>
                <w:kern w:val="0"/>
                <w:sz w:val="24"/>
                <w:szCs w:val="24"/>
              </w:rPr>
              <w:t>717,100.00</w:t>
            </w:r>
          </w:p>
        </w:tc>
        <w:tc>
          <w:tcPr>
            <w:tcW w:w="1842" w:type="dxa"/>
            <w:vAlign w:val="center"/>
          </w:tcPr>
          <w:p w:rsidR="00BC573C" w:rsidRDefault="000327C9">
            <w:pPr>
              <w:jc w:val="right"/>
            </w:pPr>
            <w:r>
              <w:rPr>
                <w:rFonts w:eastAsiaTheme="minorEastAsia"/>
                <w:kern w:val="0"/>
                <w:sz w:val="24"/>
                <w:szCs w:val="24"/>
              </w:rPr>
              <w:t>4,195,035.00</w:t>
            </w:r>
          </w:p>
        </w:tc>
        <w:tc>
          <w:tcPr>
            <w:tcW w:w="1616" w:type="dxa"/>
            <w:vAlign w:val="center"/>
          </w:tcPr>
          <w:p w:rsidR="00BC573C" w:rsidRDefault="000327C9">
            <w:pPr>
              <w:jc w:val="right"/>
            </w:pPr>
            <w:r>
              <w:rPr>
                <w:rFonts w:eastAsiaTheme="minorEastAsia"/>
                <w:kern w:val="0"/>
                <w:sz w:val="24"/>
                <w:szCs w:val="24"/>
              </w:rPr>
              <w:t>3.62</w:t>
            </w:r>
          </w:p>
        </w:tc>
      </w:tr>
      <w:tr w:rsidR="00BC573C">
        <w:tc>
          <w:tcPr>
            <w:tcW w:w="817" w:type="dxa"/>
            <w:vAlign w:val="center"/>
          </w:tcPr>
          <w:p w:rsidR="00BC573C" w:rsidRDefault="000327C9">
            <w:pPr>
              <w:jc w:val="center"/>
            </w:pPr>
            <w:r>
              <w:rPr>
                <w:rFonts w:eastAsiaTheme="minorEastAsia"/>
                <w:kern w:val="0"/>
                <w:sz w:val="24"/>
                <w:szCs w:val="24"/>
              </w:rPr>
              <w:t>3</w:t>
            </w:r>
          </w:p>
        </w:tc>
        <w:tc>
          <w:tcPr>
            <w:tcW w:w="1276" w:type="dxa"/>
            <w:vAlign w:val="center"/>
          </w:tcPr>
          <w:p w:rsidR="00BC573C" w:rsidRDefault="000327C9">
            <w:pPr>
              <w:jc w:val="center"/>
            </w:pPr>
            <w:r>
              <w:rPr>
                <w:rFonts w:eastAsiaTheme="minorEastAsia"/>
                <w:kern w:val="0"/>
                <w:sz w:val="24"/>
                <w:szCs w:val="24"/>
              </w:rPr>
              <w:t>300049</w:t>
            </w:r>
          </w:p>
        </w:tc>
        <w:tc>
          <w:tcPr>
            <w:tcW w:w="1701" w:type="dxa"/>
            <w:vAlign w:val="center"/>
          </w:tcPr>
          <w:p w:rsidR="00BC573C" w:rsidRDefault="000327C9">
            <w:pPr>
              <w:jc w:val="center"/>
            </w:pPr>
            <w:r>
              <w:rPr>
                <w:rFonts w:eastAsiaTheme="minorEastAsia"/>
                <w:kern w:val="0"/>
                <w:sz w:val="24"/>
                <w:szCs w:val="24"/>
              </w:rPr>
              <w:t>福瑞股份</w:t>
            </w:r>
          </w:p>
        </w:tc>
        <w:tc>
          <w:tcPr>
            <w:tcW w:w="1276" w:type="dxa"/>
            <w:vAlign w:val="center"/>
          </w:tcPr>
          <w:p w:rsidR="00BC573C" w:rsidRDefault="000327C9">
            <w:pPr>
              <w:jc w:val="right"/>
            </w:pPr>
            <w:r>
              <w:rPr>
                <w:rFonts w:eastAsiaTheme="minorEastAsia"/>
                <w:kern w:val="0"/>
                <w:sz w:val="24"/>
                <w:szCs w:val="24"/>
              </w:rPr>
              <w:t>275,300.00</w:t>
            </w:r>
          </w:p>
        </w:tc>
        <w:tc>
          <w:tcPr>
            <w:tcW w:w="1842" w:type="dxa"/>
            <w:vAlign w:val="center"/>
          </w:tcPr>
          <w:p w:rsidR="00BC573C" w:rsidRDefault="000327C9">
            <w:pPr>
              <w:jc w:val="right"/>
            </w:pPr>
            <w:r>
              <w:rPr>
                <w:rFonts w:eastAsiaTheme="minorEastAsia"/>
                <w:kern w:val="0"/>
                <w:sz w:val="24"/>
                <w:szCs w:val="24"/>
              </w:rPr>
              <w:t>3,799,140.00</w:t>
            </w:r>
          </w:p>
        </w:tc>
        <w:tc>
          <w:tcPr>
            <w:tcW w:w="1616" w:type="dxa"/>
            <w:vAlign w:val="center"/>
          </w:tcPr>
          <w:p w:rsidR="00BC573C" w:rsidRDefault="000327C9">
            <w:pPr>
              <w:jc w:val="right"/>
            </w:pPr>
            <w:r>
              <w:rPr>
                <w:rFonts w:eastAsiaTheme="minorEastAsia"/>
                <w:kern w:val="0"/>
                <w:sz w:val="24"/>
                <w:szCs w:val="24"/>
              </w:rPr>
              <w:t>3.28</w:t>
            </w:r>
          </w:p>
        </w:tc>
      </w:tr>
      <w:tr w:rsidR="00BC573C">
        <w:tc>
          <w:tcPr>
            <w:tcW w:w="817" w:type="dxa"/>
            <w:vAlign w:val="center"/>
          </w:tcPr>
          <w:p w:rsidR="00BC573C" w:rsidRDefault="000327C9">
            <w:pPr>
              <w:jc w:val="center"/>
            </w:pPr>
            <w:r>
              <w:rPr>
                <w:rFonts w:eastAsiaTheme="minorEastAsia"/>
                <w:kern w:val="0"/>
                <w:sz w:val="24"/>
                <w:szCs w:val="24"/>
              </w:rPr>
              <w:t>4</w:t>
            </w:r>
          </w:p>
        </w:tc>
        <w:tc>
          <w:tcPr>
            <w:tcW w:w="1276" w:type="dxa"/>
            <w:vAlign w:val="center"/>
          </w:tcPr>
          <w:p w:rsidR="00BC573C" w:rsidRDefault="000327C9">
            <w:pPr>
              <w:jc w:val="center"/>
            </w:pPr>
            <w:r>
              <w:rPr>
                <w:rFonts w:eastAsiaTheme="minorEastAsia"/>
                <w:kern w:val="0"/>
                <w:sz w:val="24"/>
                <w:szCs w:val="24"/>
              </w:rPr>
              <w:t>600123</w:t>
            </w:r>
          </w:p>
        </w:tc>
        <w:tc>
          <w:tcPr>
            <w:tcW w:w="1701" w:type="dxa"/>
            <w:vAlign w:val="center"/>
          </w:tcPr>
          <w:p w:rsidR="00BC573C" w:rsidRDefault="000327C9">
            <w:pPr>
              <w:jc w:val="center"/>
            </w:pPr>
            <w:r>
              <w:rPr>
                <w:rFonts w:eastAsiaTheme="minorEastAsia"/>
                <w:kern w:val="0"/>
                <w:sz w:val="24"/>
                <w:szCs w:val="24"/>
              </w:rPr>
              <w:t>兰花科创</w:t>
            </w:r>
          </w:p>
        </w:tc>
        <w:tc>
          <w:tcPr>
            <w:tcW w:w="1276" w:type="dxa"/>
            <w:vAlign w:val="center"/>
          </w:tcPr>
          <w:p w:rsidR="00BC573C" w:rsidRDefault="000327C9">
            <w:pPr>
              <w:jc w:val="right"/>
            </w:pPr>
            <w:r>
              <w:rPr>
                <w:rFonts w:eastAsiaTheme="minorEastAsia"/>
                <w:kern w:val="0"/>
                <w:sz w:val="24"/>
                <w:szCs w:val="24"/>
              </w:rPr>
              <w:t>299,600.00</w:t>
            </w:r>
          </w:p>
        </w:tc>
        <w:tc>
          <w:tcPr>
            <w:tcW w:w="1842" w:type="dxa"/>
            <w:vAlign w:val="center"/>
          </w:tcPr>
          <w:p w:rsidR="00BC573C" w:rsidRDefault="000327C9">
            <w:pPr>
              <w:jc w:val="right"/>
            </w:pPr>
            <w:r>
              <w:rPr>
                <w:rFonts w:eastAsiaTheme="minorEastAsia"/>
                <w:kern w:val="0"/>
                <w:sz w:val="24"/>
                <w:szCs w:val="24"/>
              </w:rPr>
              <w:t>3,792,936.00</w:t>
            </w:r>
          </w:p>
        </w:tc>
        <w:tc>
          <w:tcPr>
            <w:tcW w:w="1616" w:type="dxa"/>
            <w:vAlign w:val="center"/>
          </w:tcPr>
          <w:p w:rsidR="00BC573C" w:rsidRDefault="000327C9">
            <w:pPr>
              <w:jc w:val="right"/>
            </w:pPr>
            <w:r>
              <w:rPr>
                <w:rFonts w:eastAsiaTheme="minorEastAsia"/>
                <w:kern w:val="0"/>
                <w:sz w:val="24"/>
                <w:szCs w:val="24"/>
              </w:rPr>
              <w:t>3.28</w:t>
            </w:r>
          </w:p>
        </w:tc>
      </w:tr>
      <w:tr w:rsidR="00BC573C">
        <w:tc>
          <w:tcPr>
            <w:tcW w:w="817" w:type="dxa"/>
            <w:vAlign w:val="center"/>
          </w:tcPr>
          <w:p w:rsidR="00BC573C" w:rsidRDefault="000327C9">
            <w:pPr>
              <w:jc w:val="center"/>
            </w:pPr>
            <w:r>
              <w:rPr>
                <w:rFonts w:eastAsiaTheme="minorEastAsia"/>
                <w:kern w:val="0"/>
                <w:sz w:val="24"/>
                <w:szCs w:val="24"/>
              </w:rPr>
              <w:t>5</w:t>
            </w:r>
          </w:p>
        </w:tc>
        <w:tc>
          <w:tcPr>
            <w:tcW w:w="1276" w:type="dxa"/>
            <w:vAlign w:val="center"/>
          </w:tcPr>
          <w:p w:rsidR="00BC573C" w:rsidRDefault="000327C9">
            <w:pPr>
              <w:jc w:val="center"/>
            </w:pPr>
            <w:r>
              <w:rPr>
                <w:rFonts w:eastAsiaTheme="minorEastAsia"/>
                <w:kern w:val="0"/>
                <w:sz w:val="24"/>
                <w:szCs w:val="24"/>
              </w:rPr>
              <w:t>688330</w:t>
            </w:r>
          </w:p>
        </w:tc>
        <w:tc>
          <w:tcPr>
            <w:tcW w:w="1701" w:type="dxa"/>
            <w:vAlign w:val="center"/>
          </w:tcPr>
          <w:p w:rsidR="00BC573C" w:rsidRDefault="000327C9">
            <w:pPr>
              <w:jc w:val="center"/>
            </w:pPr>
            <w:r>
              <w:rPr>
                <w:rFonts w:eastAsiaTheme="minorEastAsia"/>
                <w:kern w:val="0"/>
                <w:sz w:val="24"/>
                <w:szCs w:val="24"/>
              </w:rPr>
              <w:t>宏力达</w:t>
            </w:r>
          </w:p>
        </w:tc>
        <w:tc>
          <w:tcPr>
            <w:tcW w:w="1276" w:type="dxa"/>
            <w:vAlign w:val="center"/>
          </w:tcPr>
          <w:p w:rsidR="00BC573C" w:rsidRDefault="000327C9">
            <w:pPr>
              <w:jc w:val="right"/>
            </w:pPr>
            <w:r>
              <w:rPr>
                <w:rFonts w:eastAsiaTheme="minorEastAsia"/>
                <w:kern w:val="0"/>
                <w:sz w:val="24"/>
                <w:szCs w:val="24"/>
              </w:rPr>
              <w:t>29,200.00</w:t>
            </w:r>
          </w:p>
        </w:tc>
        <w:tc>
          <w:tcPr>
            <w:tcW w:w="1842" w:type="dxa"/>
            <w:vAlign w:val="center"/>
          </w:tcPr>
          <w:p w:rsidR="00BC573C" w:rsidRDefault="000327C9">
            <w:pPr>
              <w:jc w:val="right"/>
            </w:pPr>
            <w:r>
              <w:rPr>
                <w:rFonts w:eastAsiaTheme="minorEastAsia"/>
                <w:kern w:val="0"/>
                <w:sz w:val="24"/>
                <w:szCs w:val="24"/>
              </w:rPr>
              <w:t>3,744,900.00</w:t>
            </w:r>
          </w:p>
        </w:tc>
        <w:tc>
          <w:tcPr>
            <w:tcW w:w="1616" w:type="dxa"/>
            <w:vAlign w:val="center"/>
          </w:tcPr>
          <w:p w:rsidR="00BC573C" w:rsidRDefault="000327C9">
            <w:pPr>
              <w:jc w:val="right"/>
            </w:pPr>
            <w:r>
              <w:rPr>
                <w:rFonts w:eastAsiaTheme="minorEastAsia"/>
                <w:kern w:val="0"/>
                <w:sz w:val="24"/>
                <w:szCs w:val="24"/>
              </w:rPr>
              <w:t>3.23</w:t>
            </w:r>
          </w:p>
        </w:tc>
      </w:tr>
      <w:tr w:rsidR="00BC573C">
        <w:tc>
          <w:tcPr>
            <w:tcW w:w="817" w:type="dxa"/>
            <w:vAlign w:val="center"/>
          </w:tcPr>
          <w:p w:rsidR="00BC573C" w:rsidRDefault="000327C9">
            <w:pPr>
              <w:jc w:val="center"/>
            </w:pPr>
            <w:r>
              <w:rPr>
                <w:rFonts w:eastAsiaTheme="minorEastAsia"/>
                <w:kern w:val="0"/>
                <w:sz w:val="24"/>
                <w:szCs w:val="24"/>
              </w:rPr>
              <w:t>6</w:t>
            </w:r>
          </w:p>
        </w:tc>
        <w:tc>
          <w:tcPr>
            <w:tcW w:w="1276" w:type="dxa"/>
            <w:vAlign w:val="center"/>
          </w:tcPr>
          <w:p w:rsidR="00BC573C" w:rsidRDefault="000327C9">
            <w:pPr>
              <w:jc w:val="center"/>
            </w:pPr>
            <w:r>
              <w:rPr>
                <w:rFonts w:eastAsiaTheme="minorEastAsia"/>
                <w:kern w:val="0"/>
                <w:sz w:val="24"/>
                <w:szCs w:val="24"/>
              </w:rPr>
              <w:t>002136</w:t>
            </w:r>
          </w:p>
        </w:tc>
        <w:tc>
          <w:tcPr>
            <w:tcW w:w="1701" w:type="dxa"/>
            <w:vAlign w:val="center"/>
          </w:tcPr>
          <w:p w:rsidR="00BC573C" w:rsidRDefault="000327C9">
            <w:pPr>
              <w:jc w:val="center"/>
            </w:pPr>
            <w:r>
              <w:rPr>
                <w:rFonts w:eastAsiaTheme="minorEastAsia"/>
                <w:kern w:val="0"/>
                <w:sz w:val="24"/>
                <w:szCs w:val="24"/>
              </w:rPr>
              <w:t>安纳达</w:t>
            </w:r>
          </w:p>
        </w:tc>
        <w:tc>
          <w:tcPr>
            <w:tcW w:w="1276" w:type="dxa"/>
            <w:vAlign w:val="center"/>
          </w:tcPr>
          <w:p w:rsidR="00BC573C" w:rsidRDefault="000327C9">
            <w:pPr>
              <w:jc w:val="right"/>
            </w:pPr>
            <w:r>
              <w:rPr>
                <w:rFonts w:eastAsiaTheme="minorEastAsia"/>
                <w:kern w:val="0"/>
                <w:sz w:val="24"/>
                <w:szCs w:val="24"/>
              </w:rPr>
              <w:t>199,500.00</w:t>
            </w:r>
          </w:p>
        </w:tc>
        <w:tc>
          <w:tcPr>
            <w:tcW w:w="1842" w:type="dxa"/>
            <w:vAlign w:val="center"/>
          </w:tcPr>
          <w:p w:rsidR="00BC573C" w:rsidRDefault="000327C9">
            <w:pPr>
              <w:jc w:val="right"/>
            </w:pPr>
            <w:r>
              <w:rPr>
                <w:rFonts w:eastAsiaTheme="minorEastAsia"/>
                <w:kern w:val="0"/>
                <w:sz w:val="24"/>
                <w:szCs w:val="24"/>
              </w:rPr>
              <w:t>3,704,715.00</w:t>
            </w:r>
          </w:p>
        </w:tc>
        <w:tc>
          <w:tcPr>
            <w:tcW w:w="1616" w:type="dxa"/>
            <w:vAlign w:val="center"/>
          </w:tcPr>
          <w:p w:rsidR="00BC573C" w:rsidRDefault="000327C9">
            <w:pPr>
              <w:jc w:val="right"/>
            </w:pPr>
            <w:r>
              <w:rPr>
                <w:rFonts w:eastAsiaTheme="minorEastAsia"/>
                <w:kern w:val="0"/>
                <w:sz w:val="24"/>
                <w:szCs w:val="24"/>
              </w:rPr>
              <w:t>3.20</w:t>
            </w:r>
          </w:p>
        </w:tc>
      </w:tr>
      <w:tr w:rsidR="00BC573C">
        <w:tc>
          <w:tcPr>
            <w:tcW w:w="817" w:type="dxa"/>
            <w:vAlign w:val="center"/>
          </w:tcPr>
          <w:p w:rsidR="00BC573C" w:rsidRDefault="000327C9">
            <w:pPr>
              <w:jc w:val="center"/>
            </w:pPr>
            <w:r>
              <w:rPr>
                <w:rFonts w:eastAsiaTheme="minorEastAsia"/>
                <w:kern w:val="0"/>
                <w:sz w:val="24"/>
                <w:szCs w:val="24"/>
              </w:rPr>
              <w:t>7</w:t>
            </w:r>
          </w:p>
        </w:tc>
        <w:tc>
          <w:tcPr>
            <w:tcW w:w="1276" w:type="dxa"/>
            <w:vAlign w:val="center"/>
          </w:tcPr>
          <w:p w:rsidR="00BC573C" w:rsidRDefault="000327C9">
            <w:pPr>
              <w:jc w:val="center"/>
            </w:pPr>
            <w:r>
              <w:rPr>
                <w:rFonts w:eastAsiaTheme="minorEastAsia"/>
                <w:kern w:val="0"/>
                <w:sz w:val="24"/>
                <w:szCs w:val="24"/>
              </w:rPr>
              <w:t>600438</w:t>
            </w:r>
          </w:p>
        </w:tc>
        <w:tc>
          <w:tcPr>
            <w:tcW w:w="1701" w:type="dxa"/>
            <w:vAlign w:val="center"/>
          </w:tcPr>
          <w:p w:rsidR="00BC573C" w:rsidRDefault="000327C9">
            <w:pPr>
              <w:jc w:val="center"/>
            </w:pPr>
            <w:r>
              <w:rPr>
                <w:rFonts w:eastAsiaTheme="minorEastAsia"/>
                <w:kern w:val="0"/>
                <w:sz w:val="24"/>
                <w:szCs w:val="24"/>
              </w:rPr>
              <w:t>通威股份</w:t>
            </w:r>
          </w:p>
        </w:tc>
        <w:tc>
          <w:tcPr>
            <w:tcW w:w="1276" w:type="dxa"/>
            <w:vAlign w:val="center"/>
          </w:tcPr>
          <w:p w:rsidR="00BC573C" w:rsidRDefault="000327C9">
            <w:pPr>
              <w:jc w:val="right"/>
            </w:pPr>
            <w:r>
              <w:rPr>
                <w:rFonts w:eastAsiaTheme="minorEastAsia"/>
                <w:kern w:val="0"/>
                <w:sz w:val="24"/>
                <w:szCs w:val="24"/>
              </w:rPr>
              <w:t>79,900.00</w:t>
            </w:r>
          </w:p>
        </w:tc>
        <w:tc>
          <w:tcPr>
            <w:tcW w:w="1842" w:type="dxa"/>
            <w:vAlign w:val="center"/>
          </w:tcPr>
          <w:p w:rsidR="00BC573C" w:rsidRDefault="000327C9">
            <w:pPr>
              <w:jc w:val="right"/>
            </w:pPr>
            <w:r>
              <w:rPr>
                <w:rFonts w:eastAsiaTheme="minorEastAsia"/>
                <w:kern w:val="0"/>
                <w:sz w:val="24"/>
                <w:szCs w:val="24"/>
              </w:rPr>
              <w:t>3,410,931.00</w:t>
            </w:r>
          </w:p>
        </w:tc>
        <w:tc>
          <w:tcPr>
            <w:tcW w:w="1616" w:type="dxa"/>
            <w:vAlign w:val="center"/>
          </w:tcPr>
          <w:p w:rsidR="00BC573C" w:rsidRDefault="000327C9">
            <w:pPr>
              <w:jc w:val="right"/>
            </w:pPr>
            <w:r>
              <w:rPr>
                <w:rFonts w:eastAsiaTheme="minorEastAsia"/>
                <w:kern w:val="0"/>
                <w:sz w:val="24"/>
                <w:szCs w:val="24"/>
              </w:rPr>
              <w:t>2.95</w:t>
            </w:r>
          </w:p>
        </w:tc>
      </w:tr>
      <w:tr w:rsidR="00BC573C">
        <w:tc>
          <w:tcPr>
            <w:tcW w:w="817" w:type="dxa"/>
            <w:vAlign w:val="center"/>
          </w:tcPr>
          <w:p w:rsidR="00BC573C" w:rsidRDefault="000327C9">
            <w:pPr>
              <w:jc w:val="center"/>
            </w:pPr>
            <w:r>
              <w:rPr>
                <w:rFonts w:eastAsiaTheme="minorEastAsia"/>
                <w:kern w:val="0"/>
                <w:sz w:val="24"/>
                <w:szCs w:val="24"/>
              </w:rPr>
              <w:t>8</w:t>
            </w:r>
          </w:p>
        </w:tc>
        <w:tc>
          <w:tcPr>
            <w:tcW w:w="1276" w:type="dxa"/>
            <w:vAlign w:val="center"/>
          </w:tcPr>
          <w:p w:rsidR="00BC573C" w:rsidRDefault="000327C9">
            <w:pPr>
              <w:jc w:val="center"/>
            </w:pPr>
            <w:r>
              <w:rPr>
                <w:rFonts w:eastAsiaTheme="minorEastAsia"/>
                <w:kern w:val="0"/>
                <w:sz w:val="24"/>
                <w:szCs w:val="24"/>
              </w:rPr>
              <w:t>600233</w:t>
            </w:r>
          </w:p>
        </w:tc>
        <w:tc>
          <w:tcPr>
            <w:tcW w:w="1701" w:type="dxa"/>
            <w:vAlign w:val="center"/>
          </w:tcPr>
          <w:p w:rsidR="00BC573C" w:rsidRDefault="000327C9">
            <w:pPr>
              <w:jc w:val="center"/>
            </w:pPr>
            <w:r>
              <w:rPr>
                <w:rFonts w:eastAsiaTheme="minorEastAsia"/>
                <w:kern w:val="0"/>
                <w:sz w:val="24"/>
                <w:szCs w:val="24"/>
              </w:rPr>
              <w:t>圆通速递</w:t>
            </w:r>
          </w:p>
        </w:tc>
        <w:tc>
          <w:tcPr>
            <w:tcW w:w="1276" w:type="dxa"/>
            <w:vAlign w:val="center"/>
          </w:tcPr>
          <w:p w:rsidR="00BC573C" w:rsidRDefault="000327C9">
            <w:pPr>
              <w:jc w:val="right"/>
            </w:pPr>
            <w:r>
              <w:rPr>
                <w:rFonts w:eastAsiaTheme="minorEastAsia"/>
                <w:kern w:val="0"/>
                <w:sz w:val="24"/>
                <w:szCs w:val="24"/>
              </w:rPr>
              <w:t>197,100.00</w:t>
            </w:r>
          </w:p>
        </w:tc>
        <w:tc>
          <w:tcPr>
            <w:tcW w:w="1842" w:type="dxa"/>
            <w:vAlign w:val="center"/>
          </w:tcPr>
          <w:p w:rsidR="00BC573C" w:rsidRDefault="000327C9">
            <w:pPr>
              <w:jc w:val="right"/>
            </w:pPr>
            <w:r>
              <w:rPr>
                <w:rFonts w:eastAsiaTheme="minorEastAsia"/>
                <w:kern w:val="0"/>
                <w:sz w:val="24"/>
                <w:szCs w:val="24"/>
              </w:rPr>
              <w:t>3,399,975.00</w:t>
            </w:r>
          </w:p>
        </w:tc>
        <w:tc>
          <w:tcPr>
            <w:tcW w:w="1616" w:type="dxa"/>
            <w:vAlign w:val="center"/>
          </w:tcPr>
          <w:p w:rsidR="00BC573C" w:rsidRDefault="000327C9">
            <w:pPr>
              <w:jc w:val="right"/>
            </w:pPr>
            <w:r>
              <w:rPr>
                <w:rFonts w:eastAsiaTheme="minorEastAsia"/>
                <w:kern w:val="0"/>
                <w:sz w:val="24"/>
                <w:szCs w:val="24"/>
              </w:rPr>
              <w:t>2.94</w:t>
            </w:r>
          </w:p>
        </w:tc>
      </w:tr>
      <w:tr w:rsidR="00BC573C">
        <w:tc>
          <w:tcPr>
            <w:tcW w:w="817" w:type="dxa"/>
            <w:vAlign w:val="center"/>
          </w:tcPr>
          <w:p w:rsidR="00BC573C" w:rsidRDefault="000327C9">
            <w:pPr>
              <w:jc w:val="center"/>
            </w:pPr>
            <w:r>
              <w:rPr>
                <w:rFonts w:eastAsiaTheme="minorEastAsia"/>
                <w:kern w:val="0"/>
                <w:sz w:val="24"/>
                <w:szCs w:val="24"/>
              </w:rPr>
              <w:t>9</w:t>
            </w:r>
          </w:p>
        </w:tc>
        <w:tc>
          <w:tcPr>
            <w:tcW w:w="1276" w:type="dxa"/>
            <w:vAlign w:val="center"/>
          </w:tcPr>
          <w:p w:rsidR="00BC573C" w:rsidRDefault="000327C9">
            <w:pPr>
              <w:jc w:val="center"/>
            </w:pPr>
            <w:r>
              <w:rPr>
                <w:rFonts w:eastAsiaTheme="minorEastAsia"/>
                <w:kern w:val="0"/>
                <w:sz w:val="24"/>
                <w:szCs w:val="24"/>
              </w:rPr>
              <w:t>002759</w:t>
            </w:r>
          </w:p>
        </w:tc>
        <w:tc>
          <w:tcPr>
            <w:tcW w:w="1701" w:type="dxa"/>
            <w:vAlign w:val="center"/>
          </w:tcPr>
          <w:p w:rsidR="00BC573C" w:rsidRDefault="000327C9">
            <w:pPr>
              <w:jc w:val="center"/>
            </w:pPr>
            <w:r>
              <w:rPr>
                <w:rFonts w:eastAsiaTheme="minorEastAsia"/>
                <w:kern w:val="0"/>
                <w:sz w:val="24"/>
                <w:szCs w:val="24"/>
              </w:rPr>
              <w:t>天际股份</w:t>
            </w:r>
          </w:p>
        </w:tc>
        <w:tc>
          <w:tcPr>
            <w:tcW w:w="1276" w:type="dxa"/>
            <w:vAlign w:val="center"/>
          </w:tcPr>
          <w:p w:rsidR="00BC573C" w:rsidRDefault="000327C9">
            <w:pPr>
              <w:jc w:val="right"/>
            </w:pPr>
            <w:r>
              <w:rPr>
                <w:rFonts w:eastAsiaTheme="minorEastAsia"/>
                <w:kern w:val="0"/>
                <w:sz w:val="24"/>
                <w:szCs w:val="24"/>
              </w:rPr>
              <w:t>123,300.00</w:t>
            </w:r>
          </w:p>
        </w:tc>
        <w:tc>
          <w:tcPr>
            <w:tcW w:w="1842" w:type="dxa"/>
            <w:vAlign w:val="center"/>
          </w:tcPr>
          <w:p w:rsidR="00BC573C" w:rsidRDefault="000327C9">
            <w:pPr>
              <w:jc w:val="right"/>
            </w:pPr>
            <w:r>
              <w:rPr>
                <w:rFonts w:eastAsiaTheme="minorEastAsia"/>
                <w:kern w:val="0"/>
                <w:sz w:val="24"/>
                <w:szCs w:val="24"/>
              </w:rPr>
              <w:t>3,373,488.00</w:t>
            </w:r>
          </w:p>
        </w:tc>
        <w:tc>
          <w:tcPr>
            <w:tcW w:w="1616" w:type="dxa"/>
            <w:vAlign w:val="center"/>
          </w:tcPr>
          <w:p w:rsidR="00BC573C" w:rsidRDefault="000327C9">
            <w:pPr>
              <w:jc w:val="right"/>
            </w:pPr>
            <w:r>
              <w:rPr>
                <w:rFonts w:eastAsiaTheme="minorEastAsia"/>
                <w:kern w:val="0"/>
                <w:sz w:val="24"/>
                <w:szCs w:val="24"/>
              </w:rPr>
              <w:t>2.91</w:t>
            </w:r>
          </w:p>
        </w:tc>
      </w:tr>
      <w:tr w:rsidR="00BC573C">
        <w:tc>
          <w:tcPr>
            <w:tcW w:w="817" w:type="dxa"/>
            <w:vAlign w:val="center"/>
          </w:tcPr>
          <w:p w:rsidR="00BC573C" w:rsidRDefault="000327C9">
            <w:pPr>
              <w:jc w:val="center"/>
            </w:pPr>
            <w:r>
              <w:rPr>
                <w:rFonts w:eastAsiaTheme="minorEastAsia"/>
                <w:kern w:val="0"/>
                <w:sz w:val="24"/>
                <w:szCs w:val="24"/>
              </w:rPr>
              <w:t>10</w:t>
            </w:r>
          </w:p>
        </w:tc>
        <w:tc>
          <w:tcPr>
            <w:tcW w:w="1276" w:type="dxa"/>
            <w:vAlign w:val="center"/>
          </w:tcPr>
          <w:p w:rsidR="00BC573C" w:rsidRDefault="000327C9">
            <w:pPr>
              <w:jc w:val="center"/>
            </w:pPr>
            <w:r>
              <w:rPr>
                <w:rFonts w:eastAsiaTheme="minorEastAsia"/>
                <w:kern w:val="0"/>
                <w:sz w:val="24"/>
                <w:szCs w:val="24"/>
              </w:rPr>
              <w:t>603585</w:t>
            </w:r>
          </w:p>
        </w:tc>
        <w:tc>
          <w:tcPr>
            <w:tcW w:w="1701" w:type="dxa"/>
            <w:vAlign w:val="center"/>
          </w:tcPr>
          <w:p w:rsidR="00BC573C" w:rsidRDefault="000327C9">
            <w:pPr>
              <w:jc w:val="center"/>
            </w:pPr>
            <w:r>
              <w:rPr>
                <w:rFonts w:eastAsiaTheme="minorEastAsia"/>
                <w:kern w:val="0"/>
                <w:sz w:val="24"/>
                <w:szCs w:val="24"/>
              </w:rPr>
              <w:t>苏利股份</w:t>
            </w:r>
          </w:p>
        </w:tc>
        <w:tc>
          <w:tcPr>
            <w:tcW w:w="1276" w:type="dxa"/>
            <w:vAlign w:val="center"/>
          </w:tcPr>
          <w:p w:rsidR="00BC573C" w:rsidRDefault="000327C9">
            <w:pPr>
              <w:jc w:val="right"/>
            </w:pPr>
            <w:r>
              <w:rPr>
                <w:rFonts w:eastAsiaTheme="minorEastAsia"/>
                <w:kern w:val="0"/>
                <w:sz w:val="24"/>
                <w:szCs w:val="24"/>
              </w:rPr>
              <w:t>190,100.00</w:t>
            </w:r>
          </w:p>
        </w:tc>
        <w:tc>
          <w:tcPr>
            <w:tcW w:w="1842" w:type="dxa"/>
            <w:vAlign w:val="center"/>
          </w:tcPr>
          <w:p w:rsidR="00BC573C" w:rsidRDefault="000327C9">
            <w:pPr>
              <w:jc w:val="right"/>
            </w:pPr>
            <w:r>
              <w:rPr>
                <w:rFonts w:eastAsiaTheme="minorEastAsia"/>
                <w:kern w:val="0"/>
                <w:sz w:val="24"/>
                <w:szCs w:val="24"/>
              </w:rPr>
              <w:t>3,294,433.00</w:t>
            </w:r>
          </w:p>
        </w:tc>
        <w:tc>
          <w:tcPr>
            <w:tcW w:w="1616" w:type="dxa"/>
            <w:vAlign w:val="center"/>
          </w:tcPr>
          <w:p w:rsidR="00BC573C" w:rsidRDefault="000327C9">
            <w:pPr>
              <w:jc w:val="right"/>
            </w:pPr>
            <w:r>
              <w:rPr>
                <w:rFonts w:eastAsiaTheme="minorEastAsia"/>
                <w:kern w:val="0"/>
                <w:sz w:val="24"/>
                <w:szCs w:val="24"/>
              </w:rPr>
              <w:t>2.85</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1,022,442.19</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0.88</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594,567.80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0.51</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1,617,009.99</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1.40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BC573C">
        <w:tc>
          <w:tcPr>
            <w:tcW w:w="1252" w:type="dxa"/>
            <w:vAlign w:val="center"/>
          </w:tcPr>
          <w:p w:rsidR="00BC573C" w:rsidRDefault="000327C9">
            <w:pPr>
              <w:jc w:val="center"/>
            </w:pPr>
            <w:r>
              <w:rPr>
                <w:rFonts w:eastAsiaTheme="minorEastAsia"/>
                <w:color w:val="000000" w:themeColor="text1"/>
                <w:kern w:val="0"/>
              </w:rPr>
              <w:t>1</w:t>
            </w:r>
          </w:p>
        </w:tc>
        <w:tc>
          <w:tcPr>
            <w:tcW w:w="1310" w:type="dxa"/>
            <w:vAlign w:val="center"/>
          </w:tcPr>
          <w:p w:rsidR="00BC573C" w:rsidRDefault="000327C9">
            <w:pPr>
              <w:jc w:val="center"/>
            </w:pPr>
            <w:r>
              <w:rPr>
                <w:rFonts w:eastAsiaTheme="minorEastAsia"/>
                <w:color w:val="000000" w:themeColor="text1"/>
                <w:kern w:val="0"/>
              </w:rPr>
              <w:t>019654</w:t>
            </w:r>
          </w:p>
        </w:tc>
        <w:tc>
          <w:tcPr>
            <w:tcW w:w="1282" w:type="dxa"/>
            <w:vAlign w:val="center"/>
          </w:tcPr>
          <w:p w:rsidR="00BC573C" w:rsidRDefault="000327C9">
            <w:pPr>
              <w:jc w:val="center"/>
            </w:pPr>
            <w:r>
              <w:rPr>
                <w:rFonts w:eastAsiaTheme="minorEastAsia"/>
                <w:color w:val="000000" w:themeColor="text1"/>
                <w:kern w:val="0"/>
              </w:rPr>
              <w:t>21</w:t>
            </w:r>
            <w:r>
              <w:rPr>
                <w:rFonts w:eastAsiaTheme="minorEastAsia"/>
                <w:color w:val="000000" w:themeColor="text1"/>
                <w:kern w:val="0"/>
              </w:rPr>
              <w:t>国债</w:t>
            </w:r>
            <w:r>
              <w:rPr>
                <w:rFonts w:eastAsiaTheme="minorEastAsia"/>
                <w:color w:val="000000" w:themeColor="text1"/>
                <w:kern w:val="0"/>
              </w:rPr>
              <w:t>06</w:t>
            </w:r>
          </w:p>
        </w:tc>
        <w:tc>
          <w:tcPr>
            <w:tcW w:w="1426" w:type="dxa"/>
            <w:vAlign w:val="center"/>
          </w:tcPr>
          <w:p w:rsidR="00BC573C" w:rsidRDefault="000327C9">
            <w:pPr>
              <w:jc w:val="right"/>
            </w:pPr>
            <w:r>
              <w:rPr>
                <w:rFonts w:eastAsiaTheme="minorEastAsia"/>
                <w:color w:val="000000" w:themeColor="text1"/>
                <w:kern w:val="0"/>
              </w:rPr>
              <w:t>10,000</w:t>
            </w:r>
          </w:p>
        </w:tc>
        <w:tc>
          <w:tcPr>
            <w:tcW w:w="1646" w:type="dxa"/>
            <w:vAlign w:val="center"/>
          </w:tcPr>
          <w:p w:rsidR="00BC573C" w:rsidRDefault="000327C9">
            <w:pPr>
              <w:jc w:val="right"/>
            </w:pPr>
            <w:r>
              <w:rPr>
                <w:rFonts w:eastAsiaTheme="minorEastAsia"/>
                <w:color w:val="000000" w:themeColor="text1"/>
                <w:kern w:val="0"/>
              </w:rPr>
              <w:t>1,022,442.19</w:t>
            </w:r>
          </w:p>
        </w:tc>
        <w:tc>
          <w:tcPr>
            <w:tcW w:w="1612" w:type="dxa"/>
            <w:vAlign w:val="center"/>
          </w:tcPr>
          <w:p w:rsidR="00BC573C" w:rsidRDefault="000327C9">
            <w:pPr>
              <w:jc w:val="right"/>
            </w:pPr>
            <w:r>
              <w:rPr>
                <w:rFonts w:eastAsiaTheme="minorEastAsia"/>
                <w:color w:val="000000" w:themeColor="text1"/>
                <w:kern w:val="0"/>
              </w:rPr>
              <w:t>0.88</w:t>
            </w:r>
          </w:p>
        </w:tc>
      </w:tr>
      <w:tr w:rsidR="00BC573C">
        <w:tc>
          <w:tcPr>
            <w:tcW w:w="1252" w:type="dxa"/>
            <w:vAlign w:val="center"/>
          </w:tcPr>
          <w:p w:rsidR="00BC573C" w:rsidRDefault="000327C9">
            <w:pPr>
              <w:jc w:val="center"/>
            </w:pPr>
            <w:r>
              <w:rPr>
                <w:rFonts w:eastAsiaTheme="minorEastAsia"/>
                <w:color w:val="000000" w:themeColor="text1"/>
                <w:kern w:val="0"/>
              </w:rPr>
              <w:t>2</w:t>
            </w:r>
          </w:p>
        </w:tc>
        <w:tc>
          <w:tcPr>
            <w:tcW w:w="1310" w:type="dxa"/>
            <w:vAlign w:val="center"/>
          </w:tcPr>
          <w:p w:rsidR="00BC573C" w:rsidRDefault="000327C9">
            <w:pPr>
              <w:jc w:val="center"/>
            </w:pPr>
            <w:r>
              <w:rPr>
                <w:rFonts w:eastAsiaTheme="minorEastAsia"/>
                <w:color w:val="000000" w:themeColor="text1"/>
                <w:kern w:val="0"/>
              </w:rPr>
              <w:t>113052</w:t>
            </w:r>
          </w:p>
        </w:tc>
        <w:tc>
          <w:tcPr>
            <w:tcW w:w="1282" w:type="dxa"/>
            <w:vAlign w:val="center"/>
          </w:tcPr>
          <w:p w:rsidR="00BC573C" w:rsidRDefault="000327C9">
            <w:pPr>
              <w:jc w:val="center"/>
            </w:pPr>
            <w:r>
              <w:rPr>
                <w:rFonts w:eastAsiaTheme="minorEastAsia"/>
                <w:color w:val="000000" w:themeColor="text1"/>
                <w:kern w:val="0"/>
              </w:rPr>
              <w:t>兴业转债</w:t>
            </w:r>
          </w:p>
        </w:tc>
        <w:tc>
          <w:tcPr>
            <w:tcW w:w="1426" w:type="dxa"/>
            <w:vAlign w:val="center"/>
          </w:tcPr>
          <w:p w:rsidR="00BC573C" w:rsidRDefault="000327C9">
            <w:pPr>
              <w:jc w:val="right"/>
            </w:pPr>
            <w:r>
              <w:rPr>
                <w:rFonts w:eastAsiaTheme="minorEastAsia"/>
                <w:color w:val="000000" w:themeColor="text1"/>
                <w:kern w:val="0"/>
              </w:rPr>
              <w:t>3,930</w:t>
            </w:r>
          </w:p>
        </w:tc>
        <w:tc>
          <w:tcPr>
            <w:tcW w:w="1646" w:type="dxa"/>
            <w:vAlign w:val="center"/>
          </w:tcPr>
          <w:p w:rsidR="00BC573C" w:rsidRDefault="000327C9">
            <w:pPr>
              <w:jc w:val="right"/>
            </w:pPr>
            <w:r>
              <w:rPr>
                <w:rFonts w:eastAsiaTheme="minorEastAsia"/>
                <w:color w:val="000000" w:themeColor="text1"/>
                <w:kern w:val="0"/>
              </w:rPr>
              <w:t>432,267.16</w:t>
            </w:r>
          </w:p>
        </w:tc>
        <w:tc>
          <w:tcPr>
            <w:tcW w:w="1612" w:type="dxa"/>
            <w:vAlign w:val="center"/>
          </w:tcPr>
          <w:p w:rsidR="00BC573C" w:rsidRDefault="000327C9">
            <w:pPr>
              <w:jc w:val="right"/>
            </w:pPr>
            <w:r>
              <w:rPr>
                <w:rFonts w:eastAsiaTheme="minorEastAsia"/>
                <w:color w:val="000000" w:themeColor="text1"/>
                <w:kern w:val="0"/>
              </w:rPr>
              <w:t>0.37</w:t>
            </w:r>
          </w:p>
        </w:tc>
      </w:tr>
      <w:tr w:rsidR="00BC573C">
        <w:tc>
          <w:tcPr>
            <w:tcW w:w="1252" w:type="dxa"/>
            <w:vAlign w:val="center"/>
          </w:tcPr>
          <w:p w:rsidR="00BC573C" w:rsidRDefault="000327C9">
            <w:pPr>
              <w:jc w:val="center"/>
            </w:pPr>
            <w:r>
              <w:rPr>
                <w:rFonts w:eastAsiaTheme="minorEastAsia"/>
                <w:color w:val="000000" w:themeColor="text1"/>
                <w:kern w:val="0"/>
              </w:rPr>
              <w:t>3</w:t>
            </w:r>
          </w:p>
        </w:tc>
        <w:tc>
          <w:tcPr>
            <w:tcW w:w="1310" w:type="dxa"/>
            <w:vAlign w:val="center"/>
          </w:tcPr>
          <w:p w:rsidR="00BC573C" w:rsidRDefault="000327C9">
            <w:pPr>
              <w:jc w:val="center"/>
            </w:pPr>
            <w:r>
              <w:rPr>
                <w:rFonts w:eastAsiaTheme="minorEastAsia"/>
                <w:color w:val="000000" w:themeColor="text1"/>
                <w:kern w:val="0"/>
              </w:rPr>
              <w:t>110085</w:t>
            </w:r>
          </w:p>
        </w:tc>
        <w:tc>
          <w:tcPr>
            <w:tcW w:w="1282" w:type="dxa"/>
            <w:vAlign w:val="center"/>
          </w:tcPr>
          <w:p w:rsidR="00BC573C" w:rsidRDefault="000327C9">
            <w:pPr>
              <w:jc w:val="center"/>
            </w:pPr>
            <w:r>
              <w:rPr>
                <w:rFonts w:eastAsiaTheme="minorEastAsia"/>
                <w:color w:val="000000" w:themeColor="text1"/>
                <w:kern w:val="0"/>
              </w:rPr>
              <w:t>通</w:t>
            </w:r>
            <w:r>
              <w:rPr>
                <w:rFonts w:eastAsiaTheme="minorEastAsia"/>
                <w:color w:val="000000" w:themeColor="text1"/>
                <w:kern w:val="0"/>
              </w:rPr>
              <w:t>22</w:t>
            </w:r>
            <w:r>
              <w:rPr>
                <w:rFonts w:eastAsiaTheme="minorEastAsia"/>
                <w:color w:val="000000" w:themeColor="text1"/>
                <w:kern w:val="0"/>
              </w:rPr>
              <w:t>转债</w:t>
            </w:r>
          </w:p>
        </w:tc>
        <w:tc>
          <w:tcPr>
            <w:tcW w:w="1426" w:type="dxa"/>
            <w:vAlign w:val="center"/>
          </w:tcPr>
          <w:p w:rsidR="00BC573C" w:rsidRDefault="000327C9">
            <w:pPr>
              <w:jc w:val="right"/>
            </w:pPr>
            <w:r>
              <w:rPr>
                <w:rFonts w:eastAsiaTheme="minorEastAsia"/>
                <w:color w:val="000000" w:themeColor="text1"/>
                <w:kern w:val="0"/>
              </w:rPr>
              <w:t>1,270</w:t>
            </w:r>
          </w:p>
        </w:tc>
        <w:tc>
          <w:tcPr>
            <w:tcW w:w="1646" w:type="dxa"/>
            <w:vAlign w:val="center"/>
          </w:tcPr>
          <w:p w:rsidR="00BC573C" w:rsidRDefault="000327C9">
            <w:pPr>
              <w:jc w:val="right"/>
            </w:pPr>
            <w:r>
              <w:rPr>
                <w:rFonts w:eastAsiaTheme="minorEastAsia"/>
                <w:color w:val="000000" w:themeColor="text1"/>
                <w:kern w:val="0"/>
              </w:rPr>
              <w:t>162,300.64</w:t>
            </w:r>
          </w:p>
        </w:tc>
        <w:tc>
          <w:tcPr>
            <w:tcW w:w="1612" w:type="dxa"/>
            <w:vAlign w:val="center"/>
          </w:tcPr>
          <w:p w:rsidR="00BC573C" w:rsidRDefault="000327C9">
            <w:pPr>
              <w:jc w:val="right"/>
            </w:pPr>
            <w:r>
              <w:rPr>
                <w:rFonts w:eastAsiaTheme="minorEastAsia"/>
                <w:color w:val="000000" w:themeColor="text1"/>
                <w:kern w:val="0"/>
              </w:rPr>
              <w:t>0.14</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60,195.77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1,046.32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0.02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61,242.11</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119,495,216.34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567,858.39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4,279,534.94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115,783,539.79</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BC573C" w:rsidRDefault="000327C9">
      <w:pPr>
        <w:spacing w:line="360" w:lineRule="auto"/>
        <w:ind w:firstLineChars="200" w:firstLine="420"/>
        <w:rPr>
          <w:rFonts w:eastAsiaTheme="minorEastAsia"/>
          <w:color w:val="000000" w:themeColor="text1"/>
        </w:rPr>
      </w:pPr>
      <w:r>
        <w:rPr>
          <w:rFonts w:eastAsiaTheme="minorEastAsia"/>
          <w:color w:val="000000" w:themeColor="text1"/>
        </w:rPr>
        <w:t>1</w:t>
      </w:r>
      <w:r>
        <w:rPr>
          <w:rFonts w:eastAsiaTheme="minorEastAsia"/>
          <w:color w:val="000000" w:themeColor="text1"/>
        </w:rPr>
        <w:t>、中国证监会准予上投摩根动态多因子策略灵活配置混合型证券投资基金募集注册的文件；</w:t>
      </w:r>
      <w:r>
        <w:rPr>
          <w:rFonts w:eastAsiaTheme="minorEastAsia"/>
          <w:color w:val="000000" w:themeColor="text1"/>
        </w:rPr>
        <w:t xml:space="preserve"> </w:t>
      </w:r>
    </w:p>
    <w:p w:rsidR="00BC573C" w:rsidRDefault="000327C9">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、《上投摩根动态多因子策略灵活配置混合型证券投资基金基金合同》；</w:t>
      </w:r>
      <w:r>
        <w:rPr>
          <w:rFonts w:eastAsiaTheme="minorEastAsia"/>
          <w:color w:val="000000" w:themeColor="text1"/>
        </w:rPr>
        <w:t xml:space="preserve"> </w:t>
      </w:r>
    </w:p>
    <w:p w:rsidR="00BC573C" w:rsidRDefault="000327C9">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、《上投摩根动态多因子策略灵活配置混合型证券投资基金托管协议》；</w:t>
      </w:r>
      <w:r>
        <w:rPr>
          <w:rFonts w:eastAsiaTheme="minorEastAsia"/>
          <w:color w:val="000000" w:themeColor="text1"/>
        </w:rPr>
        <w:t xml:space="preserve"> </w:t>
      </w:r>
    </w:p>
    <w:p w:rsidR="00BC573C" w:rsidRDefault="000327C9">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、《上投摩根开放式基金业务规则》；</w:t>
      </w:r>
      <w:r>
        <w:rPr>
          <w:rFonts w:eastAsiaTheme="minorEastAsia"/>
          <w:color w:val="000000" w:themeColor="text1"/>
        </w:rPr>
        <w:t xml:space="preserve"> </w:t>
      </w:r>
    </w:p>
    <w:p w:rsidR="00BC573C" w:rsidRDefault="000327C9">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、基金管理人业务资格批件、营业执照；</w:t>
      </w:r>
      <w:r>
        <w:rPr>
          <w:rFonts w:eastAsiaTheme="minorEastAsia"/>
          <w:color w:val="000000" w:themeColor="text1"/>
        </w:rPr>
        <w:t xml:space="preserve"> </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6</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二〇二二年四月二十二日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0327C9" w:rsidRPr="000327C9">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0327C9">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上投摩根动态多因子策略灵活配置混合型证券投资基金</w:t>
    </w:r>
    <w:r>
      <w:rPr>
        <w:rFonts w:hint="eastAsia"/>
      </w:rPr>
      <w:t>2022</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27C9"/>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573C"/>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847FD5-3D06-4EBF-A463-DD295EA9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1261</Words>
  <Characters>7190</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Wentian.Zhou@FA</cp:lastModifiedBy>
  <cp:revision>268</cp:revision>
  <dcterms:created xsi:type="dcterms:W3CDTF">2012-10-16T06:07:00Z</dcterms:created>
  <dcterms:modified xsi:type="dcterms:W3CDTF">2022-04-21T02:55:00Z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