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上投摩根动态多因子策略灵活配置混合型证券投资基金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上投摩根动态多因子混合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001219</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001219</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6</w:t>
            </w:r>
            <w:r w:rsidRPr="00FF6B9A">
              <w:rPr>
                <w:rFonts w:eastAsiaTheme="minorEastAsia"/>
                <w:color w:val="000000" w:themeColor="text1"/>
                <w:kern w:val="0"/>
              </w:rPr>
              <w:t>月</w:t>
            </w:r>
            <w:r w:rsidRPr="00FF6B9A">
              <w:rPr>
                <w:rFonts w:eastAsiaTheme="minorEastAsia"/>
                <w:color w:val="000000" w:themeColor="text1"/>
                <w:kern w:val="0"/>
              </w:rPr>
              <w:t>2</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150,016,486.28</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在严格控制风险的基础上，采用量化投资对基金资产进行积极管理，力争获取超越业绩基准的投资收益。</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本基金采用数量化选股模型驱动的选股策略进行个股选择，并结合适当的资产配置策略搭建基金投资组合。</w:t>
            </w:r>
          </w:p>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在资产配置过程中，本基金将从多角度综合评估各个行业的投资价值，对基金资产在行业间分配进行安排，同时将采用多种数量化的投资方法控制净值大幅回撤风险，改善</w:t>
            </w:r>
            <w:r>
              <w:rPr>
                <w:rFonts w:eastAsiaTheme="minorEastAsia"/>
                <w:color w:val="000000" w:themeColor="text1"/>
                <w:kern w:val="0"/>
              </w:rPr>
              <w:lastRenderedPageBreak/>
              <w:t>投资组合的风险收益特征。</w:t>
            </w:r>
          </w:p>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在股票投资过程中，本基金将保持通过动态多因子模型选股构建股票投资组合的投资策略，强调投资纪律、降低随意性投资带来的风险，力争实现基金资产的长期稳定增值。</w:t>
            </w:r>
          </w:p>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GDP</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动态优化投资组合。在资产配置过程中，本基金将采用多种数量化的投资方法控制净值大幅回撤的风险，改善投资组合的风险收益特性。</w:t>
            </w:r>
          </w:p>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通过基金管理人开发的动态多因子模型进行股票选择并据此构建股票投资组合。动态多因子模型在实际运行过程中将定期或不定期地进行修正，优化股票投资组合。</w:t>
            </w:r>
          </w:p>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、固定收益类投资策略</w:t>
            </w:r>
          </w:p>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对于固定收益类资产的选择，本基金将以价值分析为主线，在综合研究的基础上实施积极主动的组合管理，并主要通过类属配置与债券选择两个层次进行投资管理。</w:t>
            </w:r>
          </w:p>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在券种选择上，本基金以中长期利率趋势分析为基础，结合经济趋势、货币政策及不同债券品种的收益率水平、流</w:t>
            </w:r>
            <w:r>
              <w:rPr>
                <w:rFonts w:eastAsiaTheme="minorEastAsia"/>
                <w:color w:val="000000" w:themeColor="text1"/>
                <w:kern w:val="0"/>
              </w:rPr>
              <w:lastRenderedPageBreak/>
              <w:t>动性和信用风险等因素，重点选择那些流动性较好、风险水平合理、到期收益率与信用质量相对较高的债券品种。</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、其他投资策略：包括可转换债券投资策略、中小企业私募债投资策略、股指期货投资策略、资产支持证券投资策略、股票期权投资策略、存托凭证投资策略。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×60%+</w:t>
            </w:r>
            <w:r w:rsidRPr="00FF6B9A">
              <w:rPr>
                <w:rFonts w:eastAsiaTheme="minorEastAsia"/>
                <w:color w:val="000000" w:themeColor="text1"/>
                <w:kern w:val="0"/>
              </w:rPr>
              <w:t>中债总指数收益率</w:t>
            </w:r>
            <w:r w:rsidRPr="00FF6B9A">
              <w:rPr>
                <w:rFonts w:eastAsiaTheme="minorEastAsia"/>
                <w:color w:val="000000" w:themeColor="text1"/>
                <w:kern w:val="0"/>
              </w:rPr>
              <w:t>×40%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8B4425" w:rsidRDefault="00CF438B">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本基金属于混合型基金产品，预期风险和收益水平高于债券型基金和货币市场基金，低于股票型基金，属于较高风险收益水平的基金产品。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CF438B" w:rsidRPr="00FF6B9A" w:rsidTr="00CF438B">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CF438B" w:rsidRPr="00FF6B9A" w:rsidTr="00CF438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-5,989,628.61</w:t>
            </w:r>
          </w:p>
        </w:tc>
      </w:tr>
      <w:tr w:rsidR="00CF438B" w:rsidRPr="00FF6B9A" w:rsidTr="00CF438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-1,773,871.80</w:t>
            </w:r>
          </w:p>
        </w:tc>
      </w:tr>
      <w:tr w:rsidR="00CF438B" w:rsidRPr="00FF6B9A" w:rsidTr="00CF438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-0.0108</w:t>
            </w:r>
          </w:p>
        </w:tc>
      </w:tr>
      <w:tr w:rsidR="00CF438B" w:rsidRPr="00FF6B9A" w:rsidTr="00CF438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165,806,355.25</w:t>
            </w:r>
          </w:p>
        </w:tc>
      </w:tr>
      <w:tr w:rsidR="00CF438B" w:rsidRPr="00FF6B9A" w:rsidTr="00CF438B">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1.1053</w:t>
            </w:r>
          </w:p>
        </w:tc>
      </w:tr>
    </w:tbl>
    <w:p w:rsidR="008B4425" w:rsidRDefault="00CF438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注：本期已实现收益指基金本期利息收入、投资收益、其他收入（不含公允价值变动收益）扣除相关费用后的余额，本期利润为本期已实现收益加上本期公允价值变动收益。</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8B4425">
        <w:tc>
          <w:tcPr>
            <w:tcW w:w="1395" w:type="dxa"/>
            <w:vAlign w:val="center"/>
          </w:tcPr>
          <w:p w:rsidR="008B4425" w:rsidRDefault="00CF438B">
            <w:pPr>
              <w:jc w:val="left"/>
            </w:pPr>
            <w:r>
              <w:rPr>
                <w:rFonts w:eastAsiaTheme="minorEastAsia"/>
                <w:color w:val="000000" w:themeColor="text1"/>
                <w:kern w:val="0"/>
              </w:rPr>
              <w:t>过去三个月</w:t>
            </w:r>
          </w:p>
        </w:tc>
        <w:tc>
          <w:tcPr>
            <w:tcW w:w="1092" w:type="dxa"/>
            <w:vAlign w:val="center"/>
          </w:tcPr>
          <w:p w:rsidR="008B4425" w:rsidRDefault="00CF438B">
            <w:pPr>
              <w:jc w:val="center"/>
            </w:pPr>
            <w:r>
              <w:rPr>
                <w:rFonts w:eastAsiaTheme="minorEastAsia"/>
                <w:color w:val="000000" w:themeColor="text1"/>
                <w:kern w:val="0"/>
              </w:rPr>
              <w:t>-0.99%</w:t>
            </w:r>
          </w:p>
        </w:tc>
        <w:tc>
          <w:tcPr>
            <w:tcW w:w="1161" w:type="dxa"/>
            <w:vAlign w:val="center"/>
          </w:tcPr>
          <w:p w:rsidR="008B4425" w:rsidRDefault="00CF438B">
            <w:pPr>
              <w:jc w:val="center"/>
            </w:pPr>
            <w:r>
              <w:rPr>
                <w:rFonts w:eastAsiaTheme="minorEastAsia"/>
                <w:color w:val="000000" w:themeColor="text1"/>
                <w:kern w:val="0"/>
              </w:rPr>
              <w:t>0.26%</w:t>
            </w:r>
          </w:p>
        </w:tc>
        <w:tc>
          <w:tcPr>
            <w:tcW w:w="1181" w:type="dxa"/>
            <w:vAlign w:val="center"/>
          </w:tcPr>
          <w:p w:rsidR="008B4425" w:rsidRDefault="00CF438B">
            <w:pPr>
              <w:jc w:val="center"/>
            </w:pPr>
            <w:r>
              <w:rPr>
                <w:rFonts w:eastAsiaTheme="minorEastAsia"/>
                <w:color w:val="000000" w:themeColor="text1"/>
                <w:kern w:val="0"/>
              </w:rPr>
              <w:t>2.27%</w:t>
            </w:r>
          </w:p>
        </w:tc>
        <w:tc>
          <w:tcPr>
            <w:tcW w:w="1188" w:type="dxa"/>
            <w:vAlign w:val="center"/>
          </w:tcPr>
          <w:p w:rsidR="008B4425" w:rsidRDefault="00CF438B">
            <w:pPr>
              <w:jc w:val="center"/>
            </w:pPr>
            <w:r>
              <w:rPr>
                <w:rFonts w:eastAsiaTheme="minorEastAsia"/>
                <w:color w:val="000000" w:themeColor="text1"/>
                <w:kern w:val="0"/>
              </w:rPr>
              <w:t>0.59%</w:t>
            </w:r>
          </w:p>
        </w:tc>
        <w:tc>
          <w:tcPr>
            <w:tcW w:w="1199" w:type="dxa"/>
            <w:vAlign w:val="center"/>
          </w:tcPr>
          <w:p w:rsidR="008B4425" w:rsidRDefault="00CF438B">
            <w:pPr>
              <w:jc w:val="center"/>
            </w:pPr>
            <w:r>
              <w:rPr>
                <w:rFonts w:eastAsiaTheme="minorEastAsia"/>
                <w:color w:val="000000" w:themeColor="text1"/>
                <w:kern w:val="0"/>
              </w:rPr>
              <w:t>-3.26%</w:t>
            </w:r>
          </w:p>
        </w:tc>
        <w:tc>
          <w:tcPr>
            <w:tcW w:w="1204" w:type="dxa"/>
            <w:vAlign w:val="center"/>
          </w:tcPr>
          <w:p w:rsidR="008B4425" w:rsidRDefault="00CF438B">
            <w:pPr>
              <w:jc w:val="center"/>
            </w:pPr>
            <w:r>
              <w:rPr>
                <w:rFonts w:eastAsiaTheme="minorEastAsia"/>
                <w:color w:val="000000" w:themeColor="text1"/>
                <w:kern w:val="0"/>
              </w:rPr>
              <w:t>-0.33%</w:t>
            </w:r>
          </w:p>
        </w:tc>
      </w:tr>
      <w:tr w:rsidR="008B4425">
        <w:tc>
          <w:tcPr>
            <w:tcW w:w="1395" w:type="dxa"/>
            <w:vAlign w:val="center"/>
          </w:tcPr>
          <w:p w:rsidR="008B4425" w:rsidRDefault="00CF438B">
            <w:pPr>
              <w:jc w:val="left"/>
            </w:pPr>
            <w:r>
              <w:rPr>
                <w:rFonts w:eastAsiaTheme="minorEastAsia"/>
                <w:color w:val="000000" w:themeColor="text1"/>
                <w:kern w:val="0"/>
              </w:rPr>
              <w:t>过去六个月</w:t>
            </w:r>
          </w:p>
        </w:tc>
        <w:tc>
          <w:tcPr>
            <w:tcW w:w="1092" w:type="dxa"/>
            <w:vAlign w:val="center"/>
          </w:tcPr>
          <w:p w:rsidR="008B4425" w:rsidRDefault="00CF438B">
            <w:pPr>
              <w:jc w:val="center"/>
            </w:pPr>
            <w:r>
              <w:rPr>
                <w:rFonts w:eastAsiaTheme="minorEastAsia"/>
                <w:color w:val="000000" w:themeColor="text1"/>
                <w:kern w:val="0"/>
              </w:rPr>
              <w:t>-1.89%</w:t>
            </w:r>
          </w:p>
        </w:tc>
        <w:tc>
          <w:tcPr>
            <w:tcW w:w="1161" w:type="dxa"/>
            <w:vAlign w:val="center"/>
          </w:tcPr>
          <w:p w:rsidR="008B4425" w:rsidRDefault="00CF438B">
            <w:pPr>
              <w:jc w:val="center"/>
            </w:pPr>
            <w:r>
              <w:rPr>
                <w:rFonts w:eastAsiaTheme="minorEastAsia"/>
                <w:color w:val="000000" w:themeColor="text1"/>
                <w:kern w:val="0"/>
              </w:rPr>
              <w:t>0.74%</w:t>
            </w:r>
          </w:p>
        </w:tc>
        <w:tc>
          <w:tcPr>
            <w:tcW w:w="1181" w:type="dxa"/>
            <w:vAlign w:val="center"/>
          </w:tcPr>
          <w:p w:rsidR="008B4425" w:rsidRDefault="00CF438B">
            <w:pPr>
              <w:jc w:val="center"/>
            </w:pPr>
            <w:r>
              <w:rPr>
                <w:rFonts w:eastAsiaTheme="minorEastAsia"/>
                <w:color w:val="000000" w:themeColor="text1"/>
                <w:kern w:val="0"/>
              </w:rPr>
              <w:t>0.24%</w:t>
            </w:r>
          </w:p>
        </w:tc>
        <w:tc>
          <w:tcPr>
            <w:tcW w:w="1188" w:type="dxa"/>
            <w:vAlign w:val="center"/>
          </w:tcPr>
          <w:p w:rsidR="008B4425" w:rsidRDefault="00CF438B">
            <w:pPr>
              <w:jc w:val="center"/>
            </w:pPr>
            <w:r>
              <w:rPr>
                <w:rFonts w:eastAsiaTheme="minorEastAsia"/>
                <w:color w:val="000000" w:themeColor="text1"/>
                <w:kern w:val="0"/>
              </w:rPr>
              <w:t>0.79%</w:t>
            </w:r>
          </w:p>
        </w:tc>
        <w:tc>
          <w:tcPr>
            <w:tcW w:w="1199" w:type="dxa"/>
            <w:vAlign w:val="center"/>
          </w:tcPr>
          <w:p w:rsidR="008B4425" w:rsidRDefault="00CF438B">
            <w:pPr>
              <w:jc w:val="center"/>
            </w:pPr>
            <w:r>
              <w:rPr>
                <w:rFonts w:eastAsiaTheme="minorEastAsia"/>
                <w:color w:val="000000" w:themeColor="text1"/>
                <w:kern w:val="0"/>
              </w:rPr>
              <w:t>-2.13%</w:t>
            </w:r>
          </w:p>
        </w:tc>
        <w:tc>
          <w:tcPr>
            <w:tcW w:w="1204" w:type="dxa"/>
            <w:vAlign w:val="center"/>
          </w:tcPr>
          <w:p w:rsidR="008B4425" w:rsidRDefault="00CF438B">
            <w:pPr>
              <w:jc w:val="center"/>
            </w:pPr>
            <w:r>
              <w:rPr>
                <w:rFonts w:eastAsiaTheme="minorEastAsia"/>
                <w:color w:val="000000" w:themeColor="text1"/>
                <w:kern w:val="0"/>
              </w:rPr>
              <w:t>-0.05%</w:t>
            </w:r>
          </w:p>
        </w:tc>
      </w:tr>
      <w:tr w:rsidR="008B4425">
        <w:tc>
          <w:tcPr>
            <w:tcW w:w="1395" w:type="dxa"/>
            <w:vAlign w:val="center"/>
          </w:tcPr>
          <w:p w:rsidR="008B4425" w:rsidRDefault="00CF438B">
            <w:pPr>
              <w:jc w:val="left"/>
            </w:pPr>
            <w:r>
              <w:rPr>
                <w:rFonts w:eastAsiaTheme="minorEastAsia"/>
                <w:color w:val="000000" w:themeColor="text1"/>
                <w:kern w:val="0"/>
              </w:rPr>
              <w:t>过去一年</w:t>
            </w:r>
          </w:p>
        </w:tc>
        <w:tc>
          <w:tcPr>
            <w:tcW w:w="1092" w:type="dxa"/>
            <w:vAlign w:val="center"/>
          </w:tcPr>
          <w:p w:rsidR="008B4425" w:rsidRDefault="00CF438B">
            <w:pPr>
              <w:jc w:val="center"/>
            </w:pPr>
            <w:r>
              <w:rPr>
                <w:rFonts w:eastAsiaTheme="minorEastAsia"/>
                <w:color w:val="000000" w:themeColor="text1"/>
                <w:kern w:val="0"/>
              </w:rPr>
              <w:t>14.30%</w:t>
            </w:r>
          </w:p>
        </w:tc>
        <w:tc>
          <w:tcPr>
            <w:tcW w:w="1161" w:type="dxa"/>
            <w:vAlign w:val="center"/>
          </w:tcPr>
          <w:p w:rsidR="008B4425" w:rsidRDefault="00CF438B">
            <w:pPr>
              <w:jc w:val="center"/>
            </w:pPr>
            <w:r>
              <w:rPr>
                <w:rFonts w:eastAsiaTheme="minorEastAsia"/>
                <w:color w:val="000000" w:themeColor="text1"/>
                <w:kern w:val="0"/>
              </w:rPr>
              <w:t>1.10%</w:t>
            </w:r>
          </w:p>
        </w:tc>
        <w:tc>
          <w:tcPr>
            <w:tcW w:w="1181" w:type="dxa"/>
            <w:vAlign w:val="center"/>
          </w:tcPr>
          <w:p w:rsidR="008B4425" w:rsidRDefault="00CF438B">
            <w:pPr>
              <w:jc w:val="center"/>
            </w:pPr>
            <w:r>
              <w:rPr>
                <w:rFonts w:eastAsiaTheme="minorEastAsia"/>
                <w:color w:val="000000" w:themeColor="text1"/>
                <w:kern w:val="0"/>
              </w:rPr>
              <w:t>14.97%</w:t>
            </w:r>
          </w:p>
        </w:tc>
        <w:tc>
          <w:tcPr>
            <w:tcW w:w="1188" w:type="dxa"/>
            <w:vAlign w:val="center"/>
          </w:tcPr>
          <w:p w:rsidR="008B4425" w:rsidRDefault="00CF438B">
            <w:pPr>
              <w:jc w:val="center"/>
            </w:pPr>
            <w:r>
              <w:rPr>
                <w:rFonts w:eastAsiaTheme="minorEastAsia"/>
                <w:color w:val="000000" w:themeColor="text1"/>
                <w:kern w:val="0"/>
              </w:rPr>
              <w:t>0.79%</w:t>
            </w:r>
          </w:p>
        </w:tc>
        <w:tc>
          <w:tcPr>
            <w:tcW w:w="1199" w:type="dxa"/>
            <w:vAlign w:val="center"/>
          </w:tcPr>
          <w:p w:rsidR="008B4425" w:rsidRDefault="00CF438B">
            <w:pPr>
              <w:jc w:val="center"/>
            </w:pPr>
            <w:r>
              <w:rPr>
                <w:rFonts w:eastAsiaTheme="minorEastAsia"/>
                <w:color w:val="000000" w:themeColor="text1"/>
                <w:kern w:val="0"/>
              </w:rPr>
              <w:t>-0.67%</w:t>
            </w:r>
          </w:p>
        </w:tc>
        <w:tc>
          <w:tcPr>
            <w:tcW w:w="1204" w:type="dxa"/>
            <w:vAlign w:val="center"/>
          </w:tcPr>
          <w:p w:rsidR="008B4425" w:rsidRDefault="00CF438B">
            <w:pPr>
              <w:jc w:val="center"/>
            </w:pPr>
            <w:r>
              <w:rPr>
                <w:rFonts w:eastAsiaTheme="minorEastAsia"/>
                <w:color w:val="000000" w:themeColor="text1"/>
                <w:kern w:val="0"/>
              </w:rPr>
              <w:t>0.31%</w:t>
            </w:r>
          </w:p>
        </w:tc>
      </w:tr>
      <w:tr w:rsidR="008B4425">
        <w:tc>
          <w:tcPr>
            <w:tcW w:w="1395" w:type="dxa"/>
            <w:vAlign w:val="center"/>
          </w:tcPr>
          <w:p w:rsidR="008B4425" w:rsidRDefault="00CF438B">
            <w:pPr>
              <w:jc w:val="left"/>
            </w:pPr>
            <w:r>
              <w:rPr>
                <w:rFonts w:eastAsiaTheme="minorEastAsia"/>
                <w:color w:val="000000" w:themeColor="text1"/>
                <w:kern w:val="0"/>
              </w:rPr>
              <w:t>过去三年</w:t>
            </w:r>
          </w:p>
        </w:tc>
        <w:tc>
          <w:tcPr>
            <w:tcW w:w="1092" w:type="dxa"/>
            <w:vAlign w:val="center"/>
          </w:tcPr>
          <w:p w:rsidR="008B4425" w:rsidRDefault="00CF438B">
            <w:pPr>
              <w:jc w:val="center"/>
            </w:pPr>
            <w:r>
              <w:rPr>
                <w:rFonts w:eastAsiaTheme="minorEastAsia"/>
                <w:color w:val="000000" w:themeColor="text1"/>
                <w:kern w:val="0"/>
              </w:rPr>
              <w:t>48.96%</w:t>
            </w:r>
          </w:p>
        </w:tc>
        <w:tc>
          <w:tcPr>
            <w:tcW w:w="1161" w:type="dxa"/>
            <w:vAlign w:val="center"/>
          </w:tcPr>
          <w:p w:rsidR="008B4425" w:rsidRDefault="00CF438B">
            <w:pPr>
              <w:jc w:val="center"/>
            </w:pPr>
            <w:r>
              <w:rPr>
                <w:rFonts w:eastAsiaTheme="minorEastAsia"/>
                <w:color w:val="000000" w:themeColor="text1"/>
                <w:kern w:val="0"/>
              </w:rPr>
              <w:t>1.26%</w:t>
            </w:r>
          </w:p>
        </w:tc>
        <w:tc>
          <w:tcPr>
            <w:tcW w:w="1181" w:type="dxa"/>
            <w:vAlign w:val="center"/>
          </w:tcPr>
          <w:p w:rsidR="008B4425" w:rsidRDefault="00CF438B">
            <w:pPr>
              <w:jc w:val="center"/>
            </w:pPr>
            <w:r>
              <w:rPr>
                <w:rFonts w:eastAsiaTheme="minorEastAsia"/>
                <w:color w:val="000000" w:themeColor="text1"/>
                <w:kern w:val="0"/>
              </w:rPr>
              <w:t>30.99%</w:t>
            </w:r>
          </w:p>
        </w:tc>
        <w:tc>
          <w:tcPr>
            <w:tcW w:w="1188" w:type="dxa"/>
            <w:vAlign w:val="center"/>
          </w:tcPr>
          <w:p w:rsidR="008B4425" w:rsidRDefault="00CF438B">
            <w:pPr>
              <w:jc w:val="center"/>
            </w:pPr>
            <w:r>
              <w:rPr>
                <w:rFonts w:eastAsiaTheme="minorEastAsia"/>
                <w:color w:val="000000" w:themeColor="text1"/>
                <w:kern w:val="0"/>
              </w:rPr>
              <w:t>0.81%</w:t>
            </w:r>
          </w:p>
        </w:tc>
        <w:tc>
          <w:tcPr>
            <w:tcW w:w="1199" w:type="dxa"/>
            <w:vAlign w:val="center"/>
          </w:tcPr>
          <w:p w:rsidR="008B4425" w:rsidRDefault="00CF438B">
            <w:pPr>
              <w:jc w:val="center"/>
            </w:pPr>
            <w:r>
              <w:rPr>
                <w:rFonts w:eastAsiaTheme="minorEastAsia"/>
                <w:color w:val="000000" w:themeColor="text1"/>
                <w:kern w:val="0"/>
              </w:rPr>
              <w:t>17.97%</w:t>
            </w:r>
          </w:p>
        </w:tc>
        <w:tc>
          <w:tcPr>
            <w:tcW w:w="1204" w:type="dxa"/>
            <w:vAlign w:val="center"/>
          </w:tcPr>
          <w:p w:rsidR="008B4425" w:rsidRDefault="00CF438B">
            <w:pPr>
              <w:jc w:val="center"/>
            </w:pPr>
            <w:r>
              <w:rPr>
                <w:rFonts w:eastAsiaTheme="minorEastAsia"/>
                <w:color w:val="000000" w:themeColor="text1"/>
                <w:kern w:val="0"/>
              </w:rPr>
              <w:t>0.45%</w:t>
            </w:r>
          </w:p>
        </w:tc>
      </w:tr>
      <w:tr w:rsidR="008B4425">
        <w:tc>
          <w:tcPr>
            <w:tcW w:w="1395" w:type="dxa"/>
            <w:vAlign w:val="center"/>
          </w:tcPr>
          <w:p w:rsidR="008B4425" w:rsidRDefault="00CF438B">
            <w:pPr>
              <w:jc w:val="left"/>
            </w:pPr>
            <w:r>
              <w:rPr>
                <w:rFonts w:eastAsiaTheme="minorEastAsia"/>
                <w:color w:val="000000" w:themeColor="text1"/>
                <w:kern w:val="0"/>
              </w:rPr>
              <w:t>过去五年</w:t>
            </w:r>
          </w:p>
        </w:tc>
        <w:tc>
          <w:tcPr>
            <w:tcW w:w="1092" w:type="dxa"/>
            <w:vAlign w:val="center"/>
          </w:tcPr>
          <w:p w:rsidR="008B4425" w:rsidRDefault="00CF438B">
            <w:pPr>
              <w:jc w:val="center"/>
            </w:pPr>
            <w:r>
              <w:rPr>
                <w:rFonts w:eastAsiaTheme="minorEastAsia"/>
                <w:color w:val="000000" w:themeColor="text1"/>
                <w:kern w:val="0"/>
              </w:rPr>
              <w:t>30.96%</w:t>
            </w:r>
          </w:p>
        </w:tc>
        <w:tc>
          <w:tcPr>
            <w:tcW w:w="1161" w:type="dxa"/>
            <w:vAlign w:val="center"/>
          </w:tcPr>
          <w:p w:rsidR="008B4425" w:rsidRDefault="00CF438B">
            <w:pPr>
              <w:jc w:val="center"/>
            </w:pPr>
            <w:r>
              <w:rPr>
                <w:rFonts w:eastAsiaTheme="minorEastAsia"/>
                <w:color w:val="000000" w:themeColor="text1"/>
                <w:kern w:val="0"/>
              </w:rPr>
              <w:t>1.16%</w:t>
            </w:r>
          </w:p>
        </w:tc>
        <w:tc>
          <w:tcPr>
            <w:tcW w:w="1181" w:type="dxa"/>
            <w:vAlign w:val="center"/>
          </w:tcPr>
          <w:p w:rsidR="008B4425" w:rsidRDefault="00CF438B">
            <w:pPr>
              <w:jc w:val="center"/>
            </w:pPr>
            <w:r>
              <w:rPr>
                <w:rFonts w:eastAsiaTheme="minorEastAsia"/>
                <w:color w:val="000000" w:themeColor="text1"/>
                <w:kern w:val="0"/>
              </w:rPr>
              <w:t>39.96%</w:t>
            </w:r>
          </w:p>
        </w:tc>
        <w:tc>
          <w:tcPr>
            <w:tcW w:w="1188" w:type="dxa"/>
            <w:vAlign w:val="center"/>
          </w:tcPr>
          <w:p w:rsidR="008B4425" w:rsidRDefault="00CF438B">
            <w:pPr>
              <w:jc w:val="center"/>
            </w:pPr>
            <w:r>
              <w:rPr>
                <w:rFonts w:eastAsiaTheme="minorEastAsia"/>
                <w:color w:val="000000" w:themeColor="text1"/>
                <w:kern w:val="0"/>
              </w:rPr>
              <w:t>0.70%</w:t>
            </w:r>
          </w:p>
        </w:tc>
        <w:tc>
          <w:tcPr>
            <w:tcW w:w="1199" w:type="dxa"/>
            <w:vAlign w:val="center"/>
          </w:tcPr>
          <w:p w:rsidR="008B4425" w:rsidRDefault="00CF438B">
            <w:pPr>
              <w:jc w:val="center"/>
            </w:pPr>
            <w:r>
              <w:rPr>
                <w:rFonts w:eastAsiaTheme="minorEastAsia"/>
                <w:color w:val="000000" w:themeColor="text1"/>
                <w:kern w:val="0"/>
              </w:rPr>
              <w:t>-9.00%</w:t>
            </w:r>
          </w:p>
        </w:tc>
        <w:tc>
          <w:tcPr>
            <w:tcW w:w="1204" w:type="dxa"/>
            <w:vAlign w:val="center"/>
          </w:tcPr>
          <w:p w:rsidR="008B4425" w:rsidRDefault="00CF438B">
            <w:pPr>
              <w:jc w:val="center"/>
            </w:pPr>
            <w:r>
              <w:rPr>
                <w:rFonts w:eastAsiaTheme="minorEastAsia"/>
                <w:color w:val="000000" w:themeColor="text1"/>
                <w:kern w:val="0"/>
              </w:rPr>
              <w:t>0.46%</w:t>
            </w:r>
          </w:p>
        </w:tc>
      </w:tr>
      <w:tr w:rsidR="008B4425">
        <w:tc>
          <w:tcPr>
            <w:tcW w:w="1395" w:type="dxa"/>
            <w:vAlign w:val="center"/>
          </w:tcPr>
          <w:p w:rsidR="008B4425" w:rsidRDefault="00CF438B">
            <w:pPr>
              <w:jc w:val="left"/>
            </w:pPr>
            <w:r>
              <w:rPr>
                <w:rFonts w:eastAsiaTheme="minorEastAsia"/>
                <w:color w:val="000000" w:themeColor="text1"/>
                <w:kern w:val="0"/>
              </w:rPr>
              <w:t>自基金合同生效起至今</w:t>
            </w:r>
          </w:p>
        </w:tc>
        <w:tc>
          <w:tcPr>
            <w:tcW w:w="1092" w:type="dxa"/>
            <w:vAlign w:val="center"/>
          </w:tcPr>
          <w:p w:rsidR="008B4425" w:rsidRDefault="00CF438B">
            <w:pPr>
              <w:jc w:val="center"/>
            </w:pPr>
            <w:r>
              <w:rPr>
                <w:rFonts w:eastAsiaTheme="minorEastAsia"/>
                <w:color w:val="000000" w:themeColor="text1"/>
                <w:kern w:val="0"/>
              </w:rPr>
              <w:t>10.53%</w:t>
            </w:r>
          </w:p>
        </w:tc>
        <w:tc>
          <w:tcPr>
            <w:tcW w:w="1161" w:type="dxa"/>
            <w:vAlign w:val="center"/>
          </w:tcPr>
          <w:p w:rsidR="008B4425" w:rsidRDefault="00CF438B">
            <w:pPr>
              <w:jc w:val="center"/>
            </w:pPr>
            <w:r>
              <w:rPr>
                <w:rFonts w:eastAsiaTheme="minorEastAsia"/>
                <w:color w:val="000000" w:themeColor="text1"/>
                <w:kern w:val="0"/>
              </w:rPr>
              <w:t>1.43%</w:t>
            </w:r>
          </w:p>
        </w:tc>
        <w:tc>
          <w:tcPr>
            <w:tcW w:w="1181" w:type="dxa"/>
            <w:vAlign w:val="center"/>
          </w:tcPr>
          <w:p w:rsidR="008B4425" w:rsidRDefault="00CF438B">
            <w:pPr>
              <w:jc w:val="center"/>
            </w:pPr>
            <w:r>
              <w:rPr>
                <w:rFonts w:eastAsiaTheme="minorEastAsia"/>
                <w:color w:val="000000" w:themeColor="text1"/>
                <w:kern w:val="0"/>
              </w:rPr>
              <w:t>3.68%</w:t>
            </w:r>
          </w:p>
        </w:tc>
        <w:tc>
          <w:tcPr>
            <w:tcW w:w="1188" w:type="dxa"/>
            <w:vAlign w:val="center"/>
          </w:tcPr>
          <w:p w:rsidR="008B4425" w:rsidRDefault="00CF438B">
            <w:pPr>
              <w:jc w:val="center"/>
            </w:pPr>
            <w:r>
              <w:rPr>
                <w:rFonts w:eastAsiaTheme="minorEastAsia"/>
                <w:color w:val="000000" w:themeColor="text1"/>
                <w:kern w:val="0"/>
              </w:rPr>
              <w:t>0.88%</w:t>
            </w:r>
          </w:p>
        </w:tc>
        <w:tc>
          <w:tcPr>
            <w:tcW w:w="1199" w:type="dxa"/>
            <w:vAlign w:val="center"/>
          </w:tcPr>
          <w:p w:rsidR="008B4425" w:rsidRDefault="00CF438B">
            <w:pPr>
              <w:jc w:val="center"/>
            </w:pPr>
            <w:r>
              <w:rPr>
                <w:rFonts w:eastAsiaTheme="minorEastAsia"/>
                <w:color w:val="000000" w:themeColor="text1"/>
                <w:kern w:val="0"/>
              </w:rPr>
              <w:t>6.85%</w:t>
            </w:r>
          </w:p>
        </w:tc>
        <w:tc>
          <w:tcPr>
            <w:tcW w:w="1204" w:type="dxa"/>
            <w:vAlign w:val="center"/>
          </w:tcPr>
          <w:p w:rsidR="008B4425" w:rsidRDefault="00CF438B">
            <w:pPr>
              <w:jc w:val="center"/>
            </w:pPr>
            <w:r>
              <w:rPr>
                <w:rFonts w:eastAsiaTheme="minorEastAsia"/>
                <w:color w:val="000000" w:themeColor="text1"/>
                <w:kern w:val="0"/>
              </w:rPr>
              <w:t>0.55%</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上投摩根动态多因子策略灵活配置混合型证券投资基金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8B4425" w:rsidRDefault="00CF438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w:t>
      </w:r>
      <w:r>
        <w:rPr>
          <w:rFonts w:eastAsiaTheme="minorEastAsia"/>
          <w:color w:val="000000" w:themeColor="text1"/>
        </w:rPr>
        <w:t>2</w:t>
      </w:r>
      <w:r>
        <w:rPr>
          <w:rFonts w:eastAsiaTheme="minorEastAsia"/>
          <w:color w:val="000000" w:themeColor="text1"/>
        </w:rPr>
        <w:t>日，</w:t>
      </w:r>
      <w:r>
        <w:rPr>
          <w:rFonts w:eastAsiaTheme="minorEastAsia"/>
          <w:color w:val="000000" w:themeColor="text1"/>
        </w:rPr>
        <w:t xml:space="preserve"> </w:t>
      </w:r>
      <w:r>
        <w:rPr>
          <w:rFonts w:eastAsiaTheme="minorEastAsia"/>
          <w:color w:val="000000" w:themeColor="text1"/>
        </w:rPr>
        <w:t>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8B4425">
        <w:tc>
          <w:tcPr>
            <w:tcW w:w="851" w:type="dxa"/>
            <w:vAlign w:val="center"/>
          </w:tcPr>
          <w:p w:rsidR="008B4425" w:rsidRDefault="00CF438B">
            <w:pPr>
              <w:jc w:val="center"/>
            </w:pPr>
            <w:r>
              <w:rPr>
                <w:rFonts w:eastAsiaTheme="minorEastAsia"/>
                <w:color w:val="000000" w:themeColor="text1"/>
              </w:rPr>
              <w:t>胡迪</w:t>
            </w:r>
          </w:p>
        </w:tc>
        <w:tc>
          <w:tcPr>
            <w:tcW w:w="850" w:type="dxa"/>
            <w:vAlign w:val="center"/>
          </w:tcPr>
          <w:p w:rsidR="008B4425" w:rsidRDefault="00CF438B">
            <w:pPr>
              <w:jc w:val="center"/>
            </w:pPr>
            <w:r>
              <w:rPr>
                <w:rFonts w:eastAsiaTheme="minorEastAsia"/>
                <w:color w:val="000000" w:themeColor="text1"/>
              </w:rPr>
              <w:t>本基金基金经理、指数及量化投资部总监</w:t>
            </w:r>
          </w:p>
        </w:tc>
        <w:tc>
          <w:tcPr>
            <w:tcW w:w="1560" w:type="dxa"/>
            <w:vAlign w:val="center"/>
          </w:tcPr>
          <w:p w:rsidR="008B4425" w:rsidRDefault="00CF438B">
            <w:pPr>
              <w:jc w:val="center"/>
            </w:pPr>
            <w:r>
              <w:rPr>
                <w:rFonts w:eastAsiaTheme="minorEastAsia"/>
                <w:color w:val="000000" w:themeColor="text1"/>
              </w:rPr>
              <w:t>2021-01-07</w:t>
            </w:r>
          </w:p>
        </w:tc>
        <w:tc>
          <w:tcPr>
            <w:tcW w:w="1559" w:type="dxa"/>
            <w:vAlign w:val="center"/>
          </w:tcPr>
          <w:p w:rsidR="008B4425" w:rsidRDefault="00CF438B">
            <w:pPr>
              <w:jc w:val="center"/>
            </w:pPr>
            <w:r>
              <w:rPr>
                <w:rFonts w:eastAsiaTheme="minorEastAsia"/>
                <w:color w:val="000000" w:themeColor="text1"/>
              </w:rPr>
              <w:t>-</w:t>
            </w:r>
          </w:p>
        </w:tc>
        <w:tc>
          <w:tcPr>
            <w:tcW w:w="1417" w:type="dxa"/>
            <w:vAlign w:val="center"/>
          </w:tcPr>
          <w:p w:rsidR="008B4425" w:rsidRDefault="00CF438B">
            <w:pPr>
              <w:jc w:val="center"/>
            </w:pPr>
            <w:r>
              <w:rPr>
                <w:rFonts w:eastAsiaTheme="minorEastAsia"/>
                <w:color w:val="000000" w:themeColor="text1"/>
              </w:rPr>
              <w:t>13</w:t>
            </w:r>
            <w:r>
              <w:rPr>
                <w:rFonts w:eastAsiaTheme="minorEastAsia"/>
                <w:color w:val="000000" w:themeColor="text1"/>
              </w:rPr>
              <w:t>年</w:t>
            </w:r>
          </w:p>
        </w:tc>
        <w:tc>
          <w:tcPr>
            <w:tcW w:w="2694" w:type="dxa"/>
            <w:vAlign w:val="center"/>
          </w:tcPr>
          <w:p w:rsidR="008B4425" w:rsidRDefault="00CF438B">
            <w:r>
              <w:rPr>
                <w:rFonts w:eastAsiaTheme="minorEastAsia"/>
                <w:color w:val="000000" w:themeColor="text1"/>
              </w:rPr>
              <w:t>胡迪女士，</w:t>
            </w:r>
            <w:r>
              <w:rPr>
                <w:rFonts w:eastAsiaTheme="minorEastAsia"/>
                <w:color w:val="000000" w:themeColor="text1"/>
              </w:rPr>
              <w:t>CFA</w:t>
            </w:r>
            <w:r>
              <w:rPr>
                <w:rFonts w:eastAsiaTheme="minorEastAsia"/>
                <w:color w:val="000000" w:themeColor="text1"/>
              </w:rPr>
              <w:t>，</w:t>
            </w:r>
            <w:r>
              <w:rPr>
                <w:rFonts w:eastAsiaTheme="minorEastAsia"/>
                <w:color w:val="000000" w:themeColor="text1"/>
              </w:rPr>
              <w:t>FRM</w:t>
            </w:r>
            <w:r>
              <w:rPr>
                <w:rFonts w:eastAsiaTheme="minorEastAsia"/>
                <w:color w:val="000000" w:themeColor="text1"/>
              </w:rPr>
              <w:t>，美国哥伦比亚大学金融工程硕士，现任指数及量化投资部总监。胡迪女士自</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月在纽约美林证券担任全球资产管理部高级经理；自</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月在纽约标准普尔担任量化投资主管；自</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月在中国国际金融股份有限公司担任资产管理部执行总经理；自</w:t>
            </w:r>
            <w:r>
              <w:rPr>
                <w:rFonts w:eastAsiaTheme="minorEastAsia"/>
                <w:color w:val="000000" w:themeColor="text1"/>
              </w:rPr>
              <w:t>2020</w:t>
            </w:r>
            <w:r>
              <w:rPr>
                <w:rFonts w:eastAsiaTheme="minorEastAsia"/>
                <w:color w:val="000000" w:themeColor="text1"/>
              </w:rPr>
              <w:lastRenderedPageBreak/>
              <w:t>年</w:t>
            </w:r>
            <w:r>
              <w:rPr>
                <w:rFonts w:eastAsiaTheme="minorEastAsia"/>
                <w:color w:val="000000" w:themeColor="text1"/>
              </w:rPr>
              <w:t>5</w:t>
            </w:r>
            <w:r>
              <w:rPr>
                <w:rFonts w:eastAsiaTheme="minorEastAsia"/>
                <w:color w:val="000000" w:themeColor="text1"/>
              </w:rPr>
              <w:t>月加入上投摩根基金管理有限公司，现任指数及量化投资部总监，自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量化多因子灵活配置混合型证券投资基金、上投摩根优选多因子股票型证券投资基金、上投摩根动态多因子策略灵活配置混合型证券投资基金、上投摩根中证消费服务领先指数证券投资基金、上投摩根</w:t>
            </w:r>
            <w:r>
              <w:rPr>
                <w:rFonts w:eastAsiaTheme="minorEastAsia"/>
                <w:color w:val="000000" w:themeColor="text1"/>
              </w:rPr>
              <w:t>MSCI</w:t>
            </w:r>
            <w:r>
              <w:rPr>
                <w:rFonts w:eastAsiaTheme="minorEastAsia"/>
                <w:color w:val="000000" w:themeColor="text1"/>
              </w:rPr>
              <w:t>中国</w:t>
            </w:r>
            <w:r>
              <w:rPr>
                <w:rFonts w:eastAsiaTheme="minorEastAsia"/>
                <w:color w:val="000000" w:themeColor="text1"/>
              </w:rPr>
              <w:t>A</w:t>
            </w:r>
            <w:r>
              <w:rPr>
                <w:rFonts w:eastAsiaTheme="minorEastAsia"/>
                <w:color w:val="000000" w:themeColor="text1"/>
              </w:rPr>
              <w:t>股交易型开放式指数证券投资基金、上投摩根</w:t>
            </w:r>
            <w:r>
              <w:rPr>
                <w:rFonts w:eastAsiaTheme="minorEastAsia"/>
                <w:color w:val="000000" w:themeColor="text1"/>
              </w:rPr>
              <w:t>MSCI</w:t>
            </w:r>
            <w:r>
              <w:rPr>
                <w:rFonts w:eastAsiaTheme="minorEastAsia"/>
                <w:color w:val="000000" w:themeColor="text1"/>
              </w:rPr>
              <w:t>中国</w:t>
            </w:r>
            <w:r>
              <w:rPr>
                <w:rFonts w:eastAsiaTheme="minorEastAsia"/>
                <w:color w:val="000000" w:themeColor="text1"/>
              </w:rPr>
              <w:t>A</w:t>
            </w:r>
            <w:r>
              <w:rPr>
                <w:rFonts w:eastAsiaTheme="minorEastAsia"/>
                <w:color w:val="000000" w:themeColor="text1"/>
              </w:rPr>
              <w:t>股交易型开放式指数证券投资基金联接基金、上投摩根标普港股通低波红利指数型证券投资基金基金经理。</w:t>
            </w:r>
          </w:p>
        </w:tc>
      </w:tr>
    </w:tbl>
    <w:p w:rsidR="008B4425" w:rsidRDefault="00CF438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动态多因子策略灵活配置混合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w:t>
      </w:r>
      <w:r>
        <w:rPr>
          <w:rFonts w:eastAsiaTheme="minorEastAsia"/>
          <w:color w:val="000000" w:themeColor="text1"/>
        </w:rPr>
        <w:lastRenderedPageBreak/>
        <w:t>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2021</w:t>
      </w:r>
      <w:r>
        <w:rPr>
          <w:rFonts w:eastAsiaTheme="minorEastAsia"/>
          <w:color w:val="000000" w:themeColor="text1"/>
        </w:rPr>
        <w:t>年二季度，</w:t>
      </w:r>
      <w:r>
        <w:rPr>
          <w:rFonts w:eastAsiaTheme="minorEastAsia"/>
          <w:color w:val="000000" w:themeColor="text1"/>
        </w:rPr>
        <w:t>A</w:t>
      </w:r>
      <w:r>
        <w:rPr>
          <w:rFonts w:eastAsiaTheme="minorEastAsia"/>
          <w:color w:val="000000" w:themeColor="text1"/>
        </w:rPr>
        <w:t>股震荡上行。本季度成长风格崛起，显著跑赢受高估值拖累的大盘蓝筹，去年下半年起以消费股为代表的高质量白马股强势行情告一段落，显示规模、质量等风格的收益实际上出现了变化；债券市场，从一级市场供给看，</w:t>
      </w:r>
      <w:r>
        <w:rPr>
          <w:rFonts w:eastAsiaTheme="minorEastAsia"/>
          <w:color w:val="000000" w:themeColor="text1"/>
        </w:rPr>
        <w:t>4</w:t>
      </w:r>
      <w:r>
        <w:rPr>
          <w:rFonts w:eastAsiaTheme="minorEastAsia"/>
          <w:color w:val="000000" w:themeColor="text1"/>
        </w:rPr>
        <w:t>月与</w:t>
      </w:r>
      <w:r>
        <w:rPr>
          <w:rFonts w:eastAsiaTheme="minorEastAsia"/>
          <w:color w:val="000000" w:themeColor="text1"/>
        </w:rPr>
        <w:t>5</w:t>
      </w:r>
      <w:r>
        <w:rPr>
          <w:rFonts w:eastAsiaTheme="minorEastAsia"/>
          <w:color w:val="000000" w:themeColor="text1"/>
        </w:rPr>
        <w:t>月地方债发行较为缓和，流动性充足；</w:t>
      </w:r>
      <w:r>
        <w:rPr>
          <w:rFonts w:eastAsiaTheme="minorEastAsia"/>
          <w:color w:val="000000" w:themeColor="text1"/>
        </w:rPr>
        <w:t>6</w:t>
      </w:r>
      <w:r>
        <w:rPr>
          <w:rFonts w:eastAsiaTheme="minorEastAsia"/>
          <w:color w:val="000000" w:themeColor="text1"/>
        </w:rPr>
        <w:t>月开始，发行节奏稍有提升，流动性保持适中水平。在此期间，国债各主要期限利率本季度多数下降超</w:t>
      </w:r>
      <w:r>
        <w:rPr>
          <w:rFonts w:eastAsiaTheme="minorEastAsia"/>
          <w:color w:val="000000" w:themeColor="text1"/>
        </w:rPr>
        <w:t>10bp</w:t>
      </w:r>
      <w:r>
        <w:rPr>
          <w:rFonts w:eastAsiaTheme="minorEastAsia"/>
          <w:color w:val="000000" w:themeColor="text1"/>
        </w:rPr>
        <w:t>。</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展望三季度，</w:t>
      </w:r>
      <w:r w:rsidRPr="00FF6B9A">
        <w:rPr>
          <w:rFonts w:eastAsiaTheme="minorEastAsia"/>
          <w:color w:val="000000" w:themeColor="text1"/>
        </w:rPr>
        <w:t>A</w:t>
      </w:r>
      <w:r w:rsidRPr="00FF6B9A">
        <w:rPr>
          <w:rFonts w:eastAsiaTheme="minorEastAsia"/>
          <w:color w:val="000000" w:themeColor="text1"/>
        </w:rPr>
        <w:t>股配置的核心仍然将是更为注重性价比，走业绩为主、估值为辅的投资逻辑。具体而言，在食品、家电、医药、新能源等长期看较为优异的赛道内，需要时刻在核心资产和优质二线龙头间进行权衡。同时，在实际投资中，投资者一方面在选股上面临</w:t>
      </w:r>
      <w:r w:rsidRPr="00FF6B9A">
        <w:rPr>
          <w:rFonts w:eastAsiaTheme="minorEastAsia"/>
          <w:color w:val="000000" w:themeColor="text1"/>
        </w:rPr>
        <w:t xml:space="preserve"> “</w:t>
      </w:r>
      <w:r w:rsidRPr="00FF6B9A">
        <w:rPr>
          <w:rFonts w:eastAsiaTheme="minorEastAsia"/>
          <w:color w:val="000000" w:themeColor="text1"/>
        </w:rPr>
        <w:t>高质量的贵</w:t>
      </w:r>
      <w:r w:rsidRPr="00FF6B9A">
        <w:rPr>
          <w:rFonts w:eastAsiaTheme="minorEastAsia"/>
          <w:color w:val="000000" w:themeColor="text1"/>
        </w:rPr>
        <w:t>”</w:t>
      </w:r>
      <w:r w:rsidRPr="00FF6B9A">
        <w:rPr>
          <w:rFonts w:eastAsiaTheme="minorEastAsia"/>
          <w:color w:val="000000" w:themeColor="text1"/>
        </w:rPr>
        <w:t>和</w:t>
      </w:r>
      <w:r w:rsidRPr="00FF6B9A">
        <w:rPr>
          <w:rFonts w:eastAsiaTheme="minorEastAsia"/>
          <w:color w:val="000000" w:themeColor="text1"/>
        </w:rPr>
        <w:t>“</w:t>
      </w:r>
      <w:r w:rsidRPr="00FF6B9A">
        <w:rPr>
          <w:rFonts w:eastAsiaTheme="minorEastAsia"/>
          <w:color w:val="000000" w:themeColor="text1"/>
        </w:rPr>
        <w:t>有缺陷的便宜</w:t>
      </w:r>
      <w:r w:rsidRPr="00FF6B9A">
        <w:rPr>
          <w:rFonts w:eastAsiaTheme="minorEastAsia"/>
          <w:color w:val="000000" w:themeColor="text1"/>
        </w:rPr>
        <w:t>”</w:t>
      </w:r>
      <w:r w:rsidRPr="00FF6B9A">
        <w:rPr>
          <w:rFonts w:eastAsiaTheme="minorEastAsia"/>
          <w:color w:val="000000" w:themeColor="text1"/>
        </w:rPr>
        <w:t>之间的权衡，另一方面在赛道抉择上也面临市场对优质赛道的预期打得过于充足的烦恼，市场对交易能力的考验在提升。债券市场，</w:t>
      </w:r>
      <w:r w:rsidRPr="00FF6B9A">
        <w:rPr>
          <w:rFonts w:eastAsiaTheme="minorEastAsia"/>
          <w:color w:val="000000" w:themeColor="text1"/>
        </w:rPr>
        <w:t>5</w:t>
      </w:r>
      <w:r w:rsidRPr="00FF6B9A">
        <w:rPr>
          <w:rFonts w:eastAsiaTheme="minorEastAsia"/>
          <w:color w:val="000000" w:themeColor="text1"/>
        </w:rPr>
        <w:t>月金融稳定委员会要求政策不急转弯，预期三季度流动性方面政策仍以稳定为主，但流动性可能在边际上收紧。在此条件下，国债利率没有大幅走高的基础，但流动性的变化会略微推升债券利率，从而压制债券价格。另外，自二季度以来国内</w:t>
      </w:r>
      <w:r w:rsidRPr="00FF6B9A">
        <w:rPr>
          <w:rFonts w:eastAsiaTheme="minorEastAsia"/>
          <w:color w:val="000000" w:themeColor="text1"/>
        </w:rPr>
        <w:t>PPI</w:t>
      </w:r>
      <w:r w:rsidRPr="00FF6B9A">
        <w:rPr>
          <w:rFonts w:eastAsiaTheme="minorEastAsia"/>
          <w:color w:val="000000" w:themeColor="text1"/>
        </w:rPr>
        <w:t>屡创新高，美联储亦对通胀压力表示在</w:t>
      </w:r>
      <w:r w:rsidRPr="00FF6B9A">
        <w:rPr>
          <w:rFonts w:eastAsiaTheme="minorEastAsia"/>
          <w:color w:val="000000" w:themeColor="text1"/>
        </w:rPr>
        <w:t>2023</w:t>
      </w:r>
      <w:r w:rsidRPr="00FF6B9A">
        <w:rPr>
          <w:rFonts w:eastAsiaTheme="minorEastAsia"/>
          <w:color w:val="000000" w:themeColor="text1"/>
        </w:rPr>
        <w:t>年底进行加息，当前时间节点可能处于全球流动性拐点前夕。从中长期看，宏观流动性收紧所导致的金融资产承压风险不容忽视。在具体投资策略上，我们仍将以金融资产的风险收益性价比分析为基础，通过量化模型在严控风险的基础上，争取长期稳定收益。</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lastRenderedPageBreak/>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本报告期上投摩根动态多因子混合份额净值增长率为</w:t>
      </w:r>
      <w:r w:rsidRPr="00FF6B9A">
        <w:rPr>
          <w:rFonts w:eastAsiaTheme="minorEastAsia"/>
          <w:color w:val="000000" w:themeColor="text1"/>
        </w:rPr>
        <w:t>:-0.99%</w:t>
      </w:r>
      <w:r w:rsidRPr="00FF6B9A">
        <w:rPr>
          <w:rFonts w:eastAsiaTheme="minorEastAsia"/>
          <w:color w:val="000000" w:themeColor="text1"/>
        </w:rPr>
        <w:t>，同期业绩比较基准收益率为</w:t>
      </w:r>
      <w:r w:rsidRPr="00FF6B9A">
        <w:rPr>
          <w:rFonts w:eastAsiaTheme="minorEastAsia"/>
          <w:color w:val="000000" w:themeColor="text1"/>
        </w:rPr>
        <w:t>:2.27%</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36,039,816.78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21.51</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36,039,816.78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21.51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10,128,259.96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6.04</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10,128,259.96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6.04</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120,946,755.46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72.17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466,877.15</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0.28</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167,581,709.35</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w:t>
            </w:r>
            <w:r w:rsidRPr="00FF6B9A">
              <w:rPr>
                <w:rFonts w:eastAsiaTheme="minorEastAsia"/>
                <w:color w:val="000000" w:themeColor="text1"/>
                <w:kern w:val="0"/>
              </w:rPr>
              <w:lastRenderedPageBreak/>
              <w:t>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966,971.32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0.58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489,734.98</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0.30</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20,522,603.41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12.38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9,645.15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22,834.50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81,780.51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185,454.74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1,096,236.54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0.66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8,831,049.39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5.33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239,629.68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2,285,782.30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426,649.52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12,283.90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57,153.65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604,029.75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0.36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207,977.44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36,039,816.78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21.74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8B4425">
        <w:tc>
          <w:tcPr>
            <w:tcW w:w="817" w:type="dxa"/>
            <w:vAlign w:val="center"/>
          </w:tcPr>
          <w:p w:rsidR="008B4425" w:rsidRDefault="00CF438B">
            <w:pPr>
              <w:jc w:val="center"/>
            </w:pPr>
            <w:r>
              <w:rPr>
                <w:rFonts w:eastAsiaTheme="minorEastAsia"/>
                <w:kern w:val="0"/>
                <w:sz w:val="24"/>
                <w:szCs w:val="24"/>
              </w:rPr>
              <w:t>1</w:t>
            </w:r>
          </w:p>
        </w:tc>
        <w:tc>
          <w:tcPr>
            <w:tcW w:w="1276" w:type="dxa"/>
            <w:vAlign w:val="center"/>
          </w:tcPr>
          <w:p w:rsidR="008B4425" w:rsidRDefault="00CF438B">
            <w:pPr>
              <w:jc w:val="center"/>
            </w:pPr>
            <w:r>
              <w:rPr>
                <w:rFonts w:eastAsiaTheme="minorEastAsia"/>
                <w:kern w:val="0"/>
                <w:sz w:val="24"/>
                <w:szCs w:val="24"/>
              </w:rPr>
              <w:t>600519</w:t>
            </w:r>
          </w:p>
        </w:tc>
        <w:tc>
          <w:tcPr>
            <w:tcW w:w="1701" w:type="dxa"/>
            <w:vAlign w:val="center"/>
          </w:tcPr>
          <w:p w:rsidR="008B4425" w:rsidRDefault="00CF438B">
            <w:pPr>
              <w:jc w:val="center"/>
            </w:pPr>
            <w:r>
              <w:rPr>
                <w:rFonts w:eastAsiaTheme="minorEastAsia"/>
                <w:kern w:val="0"/>
                <w:sz w:val="24"/>
                <w:szCs w:val="24"/>
              </w:rPr>
              <w:t>贵州茅台</w:t>
            </w:r>
          </w:p>
        </w:tc>
        <w:tc>
          <w:tcPr>
            <w:tcW w:w="1276" w:type="dxa"/>
            <w:vAlign w:val="center"/>
          </w:tcPr>
          <w:p w:rsidR="008B4425" w:rsidRDefault="00CF438B">
            <w:pPr>
              <w:jc w:val="right"/>
            </w:pPr>
            <w:r>
              <w:rPr>
                <w:rFonts w:eastAsiaTheme="minorEastAsia"/>
                <w:kern w:val="0"/>
                <w:sz w:val="24"/>
                <w:szCs w:val="24"/>
              </w:rPr>
              <w:t>1,310.00</w:t>
            </w:r>
          </w:p>
        </w:tc>
        <w:tc>
          <w:tcPr>
            <w:tcW w:w="1842" w:type="dxa"/>
            <w:vAlign w:val="center"/>
          </w:tcPr>
          <w:p w:rsidR="008B4425" w:rsidRDefault="00CF438B">
            <w:pPr>
              <w:jc w:val="right"/>
            </w:pPr>
            <w:r>
              <w:rPr>
                <w:rFonts w:eastAsiaTheme="minorEastAsia"/>
                <w:kern w:val="0"/>
                <w:sz w:val="24"/>
                <w:szCs w:val="24"/>
              </w:rPr>
              <w:t>2,694,277.00</w:t>
            </w:r>
          </w:p>
        </w:tc>
        <w:tc>
          <w:tcPr>
            <w:tcW w:w="1616" w:type="dxa"/>
            <w:vAlign w:val="center"/>
          </w:tcPr>
          <w:p w:rsidR="008B4425" w:rsidRDefault="00CF438B">
            <w:pPr>
              <w:jc w:val="right"/>
            </w:pPr>
            <w:r>
              <w:rPr>
                <w:rFonts w:eastAsiaTheme="minorEastAsia"/>
                <w:kern w:val="0"/>
                <w:sz w:val="24"/>
                <w:szCs w:val="24"/>
              </w:rPr>
              <w:t>1.62</w:t>
            </w:r>
          </w:p>
        </w:tc>
      </w:tr>
      <w:tr w:rsidR="008B4425">
        <w:tc>
          <w:tcPr>
            <w:tcW w:w="817" w:type="dxa"/>
            <w:vAlign w:val="center"/>
          </w:tcPr>
          <w:p w:rsidR="008B4425" w:rsidRDefault="00CF438B">
            <w:pPr>
              <w:jc w:val="center"/>
            </w:pPr>
            <w:r>
              <w:rPr>
                <w:rFonts w:eastAsiaTheme="minorEastAsia"/>
                <w:kern w:val="0"/>
                <w:sz w:val="24"/>
                <w:szCs w:val="24"/>
              </w:rPr>
              <w:t>2</w:t>
            </w:r>
          </w:p>
        </w:tc>
        <w:tc>
          <w:tcPr>
            <w:tcW w:w="1276" w:type="dxa"/>
            <w:vAlign w:val="center"/>
          </w:tcPr>
          <w:p w:rsidR="008B4425" w:rsidRDefault="00CF438B">
            <w:pPr>
              <w:jc w:val="center"/>
            </w:pPr>
            <w:r>
              <w:rPr>
                <w:rFonts w:eastAsiaTheme="minorEastAsia"/>
                <w:kern w:val="0"/>
                <w:sz w:val="24"/>
                <w:szCs w:val="24"/>
              </w:rPr>
              <w:t>601888</w:t>
            </w:r>
          </w:p>
        </w:tc>
        <w:tc>
          <w:tcPr>
            <w:tcW w:w="1701" w:type="dxa"/>
            <w:vAlign w:val="center"/>
          </w:tcPr>
          <w:p w:rsidR="008B4425" w:rsidRDefault="00CF438B">
            <w:pPr>
              <w:jc w:val="center"/>
            </w:pPr>
            <w:r>
              <w:rPr>
                <w:rFonts w:eastAsiaTheme="minorEastAsia"/>
                <w:kern w:val="0"/>
                <w:sz w:val="24"/>
                <w:szCs w:val="24"/>
              </w:rPr>
              <w:t>中国中免</w:t>
            </w:r>
          </w:p>
        </w:tc>
        <w:tc>
          <w:tcPr>
            <w:tcW w:w="1276" w:type="dxa"/>
            <w:vAlign w:val="center"/>
          </w:tcPr>
          <w:p w:rsidR="008B4425" w:rsidRDefault="00CF438B">
            <w:pPr>
              <w:jc w:val="right"/>
            </w:pPr>
            <w:r>
              <w:rPr>
                <w:rFonts w:eastAsiaTheme="minorEastAsia"/>
                <w:kern w:val="0"/>
                <w:sz w:val="24"/>
                <w:szCs w:val="24"/>
              </w:rPr>
              <w:t>6,883.00</w:t>
            </w:r>
          </w:p>
        </w:tc>
        <w:tc>
          <w:tcPr>
            <w:tcW w:w="1842" w:type="dxa"/>
            <w:vAlign w:val="center"/>
          </w:tcPr>
          <w:p w:rsidR="008B4425" w:rsidRDefault="00CF438B">
            <w:pPr>
              <w:jc w:val="right"/>
            </w:pPr>
            <w:r>
              <w:rPr>
                <w:rFonts w:eastAsiaTheme="minorEastAsia"/>
                <w:kern w:val="0"/>
                <w:sz w:val="24"/>
                <w:szCs w:val="24"/>
              </w:rPr>
              <w:t>2,065,588.30</w:t>
            </w:r>
          </w:p>
        </w:tc>
        <w:tc>
          <w:tcPr>
            <w:tcW w:w="1616" w:type="dxa"/>
            <w:vAlign w:val="center"/>
          </w:tcPr>
          <w:p w:rsidR="008B4425" w:rsidRDefault="00CF438B">
            <w:pPr>
              <w:jc w:val="right"/>
            </w:pPr>
            <w:r>
              <w:rPr>
                <w:rFonts w:eastAsiaTheme="minorEastAsia"/>
                <w:kern w:val="0"/>
                <w:sz w:val="24"/>
                <w:szCs w:val="24"/>
              </w:rPr>
              <w:t>1.25</w:t>
            </w:r>
          </w:p>
        </w:tc>
      </w:tr>
      <w:tr w:rsidR="008B4425">
        <w:tc>
          <w:tcPr>
            <w:tcW w:w="817" w:type="dxa"/>
            <w:vAlign w:val="center"/>
          </w:tcPr>
          <w:p w:rsidR="008B4425" w:rsidRDefault="00CF438B">
            <w:pPr>
              <w:jc w:val="center"/>
            </w:pPr>
            <w:r>
              <w:rPr>
                <w:rFonts w:eastAsiaTheme="minorEastAsia"/>
                <w:kern w:val="0"/>
                <w:sz w:val="24"/>
                <w:szCs w:val="24"/>
              </w:rPr>
              <w:t>3</w:t>
            </w:r>
          </w:p>
        </w:tc>
        <w:tc>
          <w:tcPr>
            <w:tcW w:w="1276" w:type="dxa"/>
            <w:vAlign w:val="center"/>
          </w:tcPr>
          <w:p w:rsidR="008B4425" w:rsidRDefault="00CF438B">
            <w:pPr>
              <w:jc w:val="center"/>
            </w:pPr>
            <w:r>
              <w:rPr>
                <w:rFonts w:eastAsiaTheme="minorEastAsia"/>
                <w:kern w:val="0"/>
                <w:sz w:val="24"/>
                <w:szCs w:val="24"/>
              </w:rPr>
              <w:t>601318</w:t>
            </w:r>
          </w:p>
        </w:tc>
        <w:tc>
          <w:tcPr>
            <w:tcW w:w="1701" w:type="dxa"/>
            <w:vAlign w:val="center"/>
          </w:tcPr>
          <w:p w:rsidR="008B4425" w:rsidRDefault="00CF438B">
            <w:pPr>
              <w:jc w:val="center"/>
            </w:pPr>
            <w:r>
              <w:rPr>
                <w:rFonts w:eastAsiaTheme="minorEastAsia"/>
                <w:kern w:val="0"/>
                <w:sz w:val="24"/>
                <w:szCs w:val="24"/>
              </w:rPr>
              <w:t>中国平安</w:t>
            </w:r>
          </w:p>
        </w:tc>
        <w:tc>
          <w:tcPr>
            <w:tcW w:w="1276" w:type="dxa"/>
            <w:vAlign w:val="center"/>
          </w:tcPr>
          <w:p w:rsidR="008B4425" w:rsidRDefault="00CF438B">
            <w:pPr>
              <w:jc w:val="right"/>
            </w:pPr>
            <w:r>
              <w:rPr>
                <w:rFonts w:eastAsiaTheme="minorEastAsia"/>
                <w:kern w:val="0"/>
                <w:sz w:val="24"/>
                <w:szCs w:val="24"/>
              </w:rPr>
              <w:t>24,794.00</w:t>
            </w:r>
          </w:p>
        </w:tc>
        <w:tc>
          <w:tcPr>
            <w:tcW w:w="1842" w:type="dxa"/>
            <w:vAlign w:val="center"/>
          </w:tcPr>
          <w:p w:rsidR="008B4425" w:rsidRDefault="00CF438B">
            <w:pPr>
              <w:jc w:val="right"/>
            </w:pPr>
            <w:r>
              <w:rPr>
                <w:rFonts w:eastAsiaTheme="minorEastAsia"/>
                <w:kern w:val="0"/>
                <w:sz w:val="24"/>
                <w:szCs w:val="24"/>
              </w:rPr>
              <w:t>1,593,758.32</w:t>
            </w:r>
          </w:p>
        </w:tc>
        <w:tc>
          <w:tcPr>
            <w:tcW w:w="1616" w:type="dxa"/>
            <w:vAlign w:val="center"/>
          </w:tcPr>
          <w:p w:rsidR="008B4425" w:rsidRDefault="00CF438B">
            <w:pPr>
              <w:jc w:val="right"/>
            </w:pPr>
            <w:r>
              <w:rPr>
                <w:rFonts w:eastAsiaTheme="minorEastAsia"/>
                <w:kern w:val="0"/>
                <w:sz w:val="24"/>
                <w:szCs w:val="24"/>
              </w:rPr>
              <w:t>0.96</w:t>
            </w:r>
          </w:p>
        </w:tc>
      </w:tr>
      <w:tr w:rsidR="008B4425">
        <w:tc>
          <w:tcPr>
            <w:tcW w:w="817" w:type="dxa"/>
            <w:vAlign w:val="center"/>
          </w:tcPr>
          <w:p w:rsidR="008B4425" w:rsidRDefault="00CF438B">
            <w:pPr>
              <w:jc w:val="center"/>
            </w:pPr>
            <w:r>
              <w:rPr>
                <w:rFonts w:eastAsiaTheme="minorEastAsia"/>
                <w:kern w:val="0"/>
                <w:sz w:val="24"/>
                <w:szCs w:val="24"/>
              </w:rPr>
              <w:t>4</w:t>
            </w:r>
          </w:p>
        </w:tc>
        <w:tc>
          <w:tcPr>
            <w:tcW w:w="1276" w:type="dxa"/>
            <w:vAlign w:val="center"/>
          </w:tcPr>
          <w:p w:rsidR="008B4425" w:rsidRDefault="00CF438B">
            <w:pPr>
              <w:jc w:val="center"/>
            </w:pPr>
            <w:r>
              <w:rPr>
                <w:rFonts w:eastAsiaTheme="minorEastAsia"/>
                <w:kern w:val="0"/>
                <w:sz w:val="24"/>
                <w:szCs w:val="24"/>
              </w:rPr>
              <w:t>601995</w:t>
            </w:r>
          </w:p>
        </w:tc>
        <w:tc>
          <w:tcPr>
            <w:tcW w:w="1701" w:type="dxa"/>
            <w:vAlign w:val="center"/>
          </w:tcPr>
          <w:p w:rsidR="008B4425" w:rsidRDefault="00CF438B">
            <w:pPr>
              <w:jc w:val="center"/>
            </w:pPr>
            <w:r>
              <w:rPr>
                <w:rFonts w:eastAsiaTheme="minorEastAsia"/>
                <w:kern w:val="0"/>
                <w:sz w:val="24"/>
                <w:szCs w:val="24"/>
              </w:rPr>
              <w:t>中金公司</w:t>
            </w:r>
          </w:p>
        </w:tc>
        <w:tc>
          <w:tcPr>
            <w:tcW w:w="1276" w:type="dxa"/>
            <w:vAlign w:val="center"/>
          </w:tcPr>
          <w:p w:rsidR="008B4425" w:rsidRDefault="00CF438B">
            <w:pPr>
              <w:jc w:val="right"/>
            </w:pPr>
            <w:r>
              <w:rPr>
                <w:rFonts w:eastAsiaTheme="minorEastAsia"/>
                <w:kern w:val="0"/>
                <w:sz w:val="24"/>
                <w:szCs w:val="24"/>
              </w:rPr>
              <w:t>24,951.00</w:t>
            </w:r>
          </w:p>
        </w:tc>
        <w:tc>
          <w:tcPr>
            <w:tcW w:w="1842" w:type="dxa"/>
            <w:vAlign w:val="center"/>
          </w:tcPr>
          <w:p w:rsidR="008B4425" w:rsidRDefault="00CF438B">
            <w:pPr>
              <w:jc w:val="right"/>
            </w:pPr>
            <w:r>
              <w:rPr>
                <w:rFonts w:eastAsiaTheme="minorEastAsia"/>
                <w:kern w:val="0"/>
                <w:sz w:val="24"/>
                <w:szCs w:val="24"/>
              </w:rPr>
              <w:t>1,534,486.50</w:t>
            </w:r>
          </w:p>
        </w:tc>
        <w:tc>
          <w:tcPr>
            <w:tcW w:w="1616" w:type="dxa"/>
            <w:vAlign w:val="center"/>
          </w:tcPr>
          <w:p w:rsidR="008B4425" w:rsidRDefault="00CF438B">
            <w:pPr>
              <w:jc w:val="right"/>
            </w:pPr>
            <w:r>
              <w:rPr>
                <w:rFonts w:eastAsiaTheme="minorEastAsia"/>
                <w:kern w:val="0"/>
                <w:sz w:val="24"/>
                <w:szCs w:val="24"/>
              </w:rPr>
              <w:t>0.93</w:t>
            </w:r>
          </w:p>
        </w:tc>
      </w:tr>
      <w:tr w:rsidR="008B4425">
        <w:tc>
          <w:tcPr>
            <w:tcW w:w="817" w:type="dxa"/>
            <w:vAlign w:val="center"/>
          </w:tcPr>
          <w:p w:rsidR="008B4425" w:rsidRDefault="00CF438B">
            <w:pPr>
              <w:jc w:val="center"/>
            </w:pPr>
            <w:r>
              <w:rPr>
                <w:rFonts w:eastAsiaTheme="minorEastAsia"/>
                <w:kern w:val="0"/>
                <w:sz w:val="24"/>
                <w:szCs w:val="24"/>
              </w:rPr>
              <w:t>5</w:t>
            </w:r>
          </w:p>
        </w:tc>
        <w:tc>
          <w:tcPr>
            <w:tcW w:w="1276" w:type="dxa"/>
            <w:vAlign w:val="center"/>
          </w:tcPr>
          <w:p w:rsidR="008B4425" w:rsidRDefault="00CF438B">
            <w:pPr>
              <w:jc w:val="center"/>
            </w:pPr>
            <w:r>
              <w:rPr>
                <w:rFonts w:eastAsiaTheme="minorEastAsia"/>
                <w:kern w:val="0"/>
                <w:sz w:val="24"/>
                <w:szCs w:val="24"/>
              </w:rPr>
              <w:t>000858</w:t>
            </w:r>
          </w:p>
        </w:tc>
        <w:tc>
          <w:tcPr>
            <w:tcW w:w="1701" w:type="dxa"/>
            <w:vAlign w:val="center"/>
          </w:tcPr>
          <w:p w:rsidR="008B4425" w:rsidRDefault="00CF438B">
            <w:pPr>
              <w:jc w:val="center"/>
            </w:pPr>
            <w:r>
              <w:rPr>
                <w:rFonts w:eastAsiaTheme="minorEastAsia"/>
                <w:kern w:val="0"/>
                <w:sz w:val="24"/>
                <w:szCs w:val="24"/>
              </w:rPr>
              <w:t>五粮液</w:t>
            </w:r>
          </w:p>
        </w:tc>
        <w:tc>
          <w:tcPr>
            <w:tcW w:w="1276" w:type="dxa"/>
            <w:vAlign w:val="center"/>
          </w:tcPr>
          <w:p w:rsidR="008B4425" w:rsidRDefault="00CF438B">
            <w:pPr>
              <w:jc w:val="right"/>
            </w:pPr>
            <w:r>
              <w:rPr>
                <w:rFonts w:eastAsiaTheme="minorEastAsia"/>
                <w:kern w:val="0"/>
                <w:sz w:val="24"/>
                <w:szCs w:val="24"/>
              </w:rPr>
              <w:t>4,800.00</w:t>
            </w:r>
          </w:p>
        </w:tc>
        <w:tc>
          <w:tcPr>
            <w:tcW w:w="1842" w:type="dxa"/>
            <w:vAlign w:val="center"/>
          </w:tcPr>
          <w:p w:rsidR="008B4425" w:rsidRDefault="00CF438B">
            <w:pPr>
              <w:jc w:val="right"/>
            </w:pPr>
            <w:r>
              <w:rPr>
                <w:rFonts w:eastAsiaTheme="minorEastAsia"/>
                <w:kern w:val="0"/>
                <w:sz w:val="24"/>
                <w:szCs w:val="24"/>
              </w:rPr>
              <w:t>1,429,872.00</w:t>
            </w:r>
          </w:p>
        </w:tc>
        <w:tc>
          <w:tcPr>
            <w:tcW w:w="1616" w:type="dxa"/>
            <w:vAlign w:val="center"/>
          </w:tcPr>
          <w:p w:rsidR="008B4425" w:rsidRDefault="00CF438B">
            <w:pPr>
              <w:jc w:val="right"/>
            </w:pPr>
            <w:r>
              <w:rPr>
                <w:rFonts w:eastAsiaTheme="minorEastAsia"/>
                <w:kern w:val="0"/>
                <w:sz w:val="24"/>
                <w:szCs w:val="24"/>
              </w:rPr>
              <w:t>0.86</w:t>
            </w:r>
          </w:p>
        </w:tc>
      </w:tr>
      <w:tr w:rsidR="008B4425">
        <w:tc>
          <w:tcPr>
            <w:tcW w:w="817" w:type="dxa"/>
            <w:vAlign w:val="center"/>
          </w:tcPr>
          <w:p w:rsidR="008B4425" w:rsidRDefault="00CF438B">
            <w:pPr>
              <w:jc w:val="center"/>
            </w:pPr>
            <w:r>
              <w:rPr>
                <w:rFonts w:eastAsiaTheme="minorEastAsia"/>
                <w:kern w:val="0"/>
                <w:sz w:val="24"/>
                <w:szCs w:val="24"/>
              </w:rPr>
              <w:t>6</w:t>
            </w:r>
          </w:p>
        </w:tc>
        <w:tc>
          <w:tcPr>
            <w:tcW w:w="1276" w:type="dxa"/>
            <w:vAlign w:val="center"/>
          </w:tcPr>
          <w:p w:rsidR="008B4425" w:rsidRDefault="00CF438B">
            <w:pPr>
              <w:jc w:val="center"/>
            </w:pPr>
            <w:r>
              <w:rPr>
                <w:rFonts w:eastAsiaTheme="minorEastAsia"/>
                <w:kern w:val="0"/>
                <w:sz w:val="24"/>
                <w:szCs w:val="24"/>
              </w:rPr>
              <w:t>600036</w:t>
            </w:r>
          </w:p>
        </w:tc>
        <w:tc>
          <w:tcPr>
            <w:tcW w:w="1701" w:type="dxa"/>
            <w:vAlign w:val="center"/>
          </w:tcPr>
          <w:p w:rsidR="008B4425" w:rsidRDefault="00CF438B">
            <w:pPr>
              <w:jc w:val="center"/>
            </w:pPr>
            <w:r>
              <w:rPr>
                <w:rFonts w:eastAsiaTheme="minorEastAsia"/>
                <w:kern w:val="0"/>
                <w:sz w:val="24"/>
                <w:szCs w:val="24"/>
              </w:rPr>
              <w:t>招商银行</w:t>
            </w:r>
          </w:p>
        </w:tc>
        <w:tc>
          <w:tcPr>
            <w:tcW w:w="1276" w:type="dxa"/>
            <w:vAlign w:val="center"/>
          </w:tcPr>
          <w:p w:rsidR="008B4425" w:rsidRDefault="00CF438B">
            <w:pPr>
              <w:jc w:val="right"/>
            </w:pPr>
            <w:r>
              <w:rPr>
                <w:rFonts w:eastAsiaTheme="minorEastAsia"/>
                <w:kern w:val="0"/>
                <w:sz w:val="24"/>
                <w:szCs w:val="24"/>
              </w:rPr>
              <w:t>24,659.00</w:t>
            </w:r>
          </w:p>
        </w:tc>
        <w:tc>
          <w:tcPr>
            <w:tcW w:w="1842" w:type="dxa"/>
            <w:vAlign w:val="center"/>
          </w:tcPr>
          <w:p w:rsidR="008B4425" w:rsidRDefault="00CF438B">
            <w:pPr>
              <w:jc w:val="right"/>
            </w:pPr>
            <w:r>
              <w:rPr>
                <w:rFonts w:eastAsiaTheme="minorEastAsia"/>
                <w:kern w:val="0"/>
                <w:sz w:val="24"/>
                <w:szCs w:val="24"/>
              </w:rPr>
              <w:t>1,336,271.21</w:t>
            </w:r>
          </w:p>
        </w:tc>
        <w:tc>
          <w:tcPr>
            <w:tcW w:w="1616" w:type="dxa"/>
            <w:vAlign w:val="center"/>
          </w:tcPr>
          <w:p w:rsidR="008B4425" w:rsidRDefault="00CF438B">
            <w:pPr>
              <w:jc w:val="right"/>
            </w:pPr>
            <w:r>
              <w:rPr>
                <w:rFonts w:eastAsiaTheme="minorEastAsia"/>
                <w:kern w:val="0"/>
                <w:sz w:val="24"/>
                <w:szCs w:val="24"/>
              </w:rPr>
              <w:t>0.81</w:t>
            </w:r>
          </w:p>
        </w:tc>
      </w:tr>
      <w:tr w:rsidR="008B4425">
        <w:tc>
          <w:tcPr>
            <w:tcW w:w="817" w:type="dxa"/>
            <w:vAlign w:val="center"/>
          </w:tcPr>
          <w:p w:rsidR="008B4425" w:rsidRDefault="00CF438B">
            <w:pPr>
              <w:jc w:val="center"/>
            </w:pPr>
            <w:r>
              <w:rPr>
                <w:rFonts w:eastAsiaTheme="minorEastAsia"/>
                <w:kern w:val="0"/>
                <w:sz w:val="24"/>
                <w:szCs w:val="24"/>
              </w:rPr>
              <w:t>7</w:t>
            </w:r>
          </w:p>
        </w:tc>
        <w:tc>
          <w:tcPr>
            <w:tcW w:w="1276" w:type="dxa"/>
            <w:vAlign w:val="center"/>
          </w:tcPr>
          <w:p w:rsidR="008B4425" w:rsidRDefault="00CF438B">
            <w:pPr>
              <w:jc w:val="center"/>
            </w:pPr>
            <w:r>
              <w:rPr>
                <w:rFonts w:eastAsiaTheme="minorEastAsia"/>
                <w:kern w:val="0"/>
                <w:sz w:val="24"/>
                <w:szCs w:val="24"/>
              </w:rPr>
              <w:t>600893</w:t>
            </w:r>
          </w:p>
        </w:tc>
        <w:tc>
          <w:tcPr>
            <w:tcW w:w="1701" w:type="dxa"/>
            <w:vAlign w:val="center"/>
          </w:tcPr>
          <w:p w:rsidR="008B4425" w:rsidRDefault="00CF438B">
            <w:pPr>
              <w:jc w:val="center"/>
            </w:pPr>
            <w:r>
              <w:rPr>
                <w:rFonts w:eastAsiaTheme="minorEastAsia"/>
                <w:kern w:val="0"/>
                <w:sz w:val="24"/>
                <w:szCs w:val="24"/>
              </w:rPr>
              <w:t>航发动力</w:t>
            </w:r>
          </w:p>
        </w:tc>
        <w:tc>
          <w:tcPr>
            <w:tcW w:w="1276" w:type="dxa"/>
            <w:vAlign w:val="center"/>
          </w:tcPr>
          <w:p w:rsidR="008B4425" w:rsidRDefault="00CF438B">
            <w:pPr>
              <w:jc w:val="right"/>
            </w:pPr>
            <w:r>
              <w:rPr>
                <w:rFonts w:eastAsiaTheme="minorEastAsia"/>
                <w:kern w:val="0"/>
                <w:sz w:val="24"/>
                <w:szCs w:val="24"/>
              </w:rPr>
              <w:t>22,000.00</w:t>
            </w:r>
          </w:p>
        </w:tc>
        <w:tc>
          <w:tcPr>
            <w:tcW w:w="1842" w:type="dxa"/>
            <w:vAlign w:val="center"/>
          </w:tcPr>
          <w:p w:rsidR="008B4425" w:rsidRDefault="00CF438B">
            <w:pPr>
              <w:jc w:val="right"/>
            </w:pPr>
            <w:r>
              <w:rPr>
                <w:rFonts w:eastAsiaTheme="minorEastAsia"/>
                <w:kern w:val="0"/>
                <w:sz w:val="24"/>
                <w:szCs w:val="24"/>
              </w:rPr>
              <w:t>1,170,180.00</w:t>
            </w:r>
          </w:p>
        </w:tc>
        <w:tc>
          <w:tcPr>
            <w:tcW w:w="1616" w:type="dxa"/>
            <w:vAlign w:val="center"/>
          </w:tcPr>
          <w:p w:rsidR="008B4425" w:rsidRDefault="00CF438B">
            <w:pPr>
              <w:jc w:val="right"/>
            </w:pPr>
            <w:r>
              <w:rPr>
                <w:rFonts w:eastAsiaTheme="minorEastAsia"/>
                <w:kern w:val="0"/>
                <w:sz w:val="24"/>
                <w:szCs w:val="24"/>
              </w:rPr>
              <w:t>0.71</w:t>
            </w:r>
          </w:p>
        </w:tc>
      </w:tr>
      <w:tr w:rsidR="008B4425">
        <w:tc>
          <w:tcPr>
            <w:tcW w:w="817" w:type="dxa"/>
            <w:vAlign w:val="center"/>
          </w:tcPr>
          <w:p w:rsidR="008B4425" w:rsidRDefault="00CF438B">
            <w:pPr>
              <w:jc w:val="center"/>
            </w:pPr>
            <w:r>
              <w:rPr>
                <w:rFonts w:eastAsiaTheme="minorEastAsia"/>
                <w:kern w:val="0"/>
                <w:sz w:val="24"/>
                <w:szCs w:val="24"/>
              </w:rPr>
              <w:lastRenderedPageBreak/>
              <w:t>8</w:t>
            </w:r>
          </w:p>
        </w:tc>
        <w:tc>
          <w:tcPr>
            <w:tcW w:w="1276" w:type="dxa"/>
            <w:vAlign w:val="center"/>
          </w:tcPr>
          <w:p w:rsidR="008B4425" w:rsidRDefault="00CF438B">
            <w:pPr>
              <w:jc w:val="center"/>
            </w:pPr>
            <w:r>
              <w:rPr>
                <w:rFonts w:eastAsiaTheme="minorEastAsia"/>
                <w:kern w:val="0"/>
                <w:sz w:val="24"/>
                <w:szCs w:val="24"/>
              </w:rPr>
              <w:t>002179</w:t>
            </w:r>
          </w:p>
        </w:tc>
        <w:tc>
          <w:tcPr>
            <w:tcW w:w="1701" w:type="dxa"/>
            <w:vAlign w:val="center"/>
          </w:tcPr>
          <w:p w:rsidR="008B4425" w:rsidRDefault="00CF438B">
            <w:pPr>
              <w:jc w:val="center"/>
            </w:pPr>
            <w:r>
              <w:rPr>
                <w:rFonts w:eastAsiaTheme="minorEastAsia"/>
                <w:kern w:val="0"/>
                <w:sz w:val="24"/>
                <w:szCs w:val="24"/>
              </w:rPr>
              <w:t>中航光电</w:t>
            </w:r>
          </w:p>
        </w:tc>
        <w:tc>
          <w:tcPr>
            <w:tcW w:w="1276" w:type="dxa"/>
            <w:vAlign w:val="center"/>
          </w:tcPr>
          <w:p w:rsidR="008B4425" w:rsidRDefault="00CF438B">
            <w:pPr>
              <w:jc w:val="right"/>
            </w:pPr>
            <w:r>
              <w:rPr>
                <w:rFonts w:eastAsiaTheme="minorEastAsia"/>
                <w:kern w:val="0"/>
                <w:sz w:val="24"/>
                <w:szCs w:val="24"/>
              </w:rPr>
              <w:t>11,633.00</w:t>
            </w:r>
          </w:p>
        </w:tc>
        <w:tc>
          <w:tcPr>
            <w:tcW w:w="1842" w:type="dxa"/>
            <w:vAlign w:val="center"/>
          </w:tcPr>
          <w:p w:rsidR="008B4425" w:rsidRDefault="00CF438B">
            <w:pPr>
              <w:jc w:val="right"/>
            </w:pPr>
            <w:r>
              <w:rPr>
                <w:rFonts w:eastAsiaTheme="minorEastAsia"/>
                <w:kern w:val="0"/>
                <w:sz w:val="24"/>
                <w:szCs w:val="24"/>
              </w:rPr>
              <w:t>919,239.66</w:t>
            </w:r>
          </w:p>
        </w:tc>
        <w:tc>
          <w:tcPr>
            <w:tcW w:w="1616" w:type="dxa"/>
            <w:vAlign w:val="center"/>
          </w:tcPr>
          <w:p w:rsidR="008B4425" w:rsidRDefault="00CF438B">
            <w:pPr>
              <w:jc w:val="right"/>
            </w:pPr>
            <w:r>
              <w:rPr>
                <w:rFonts w:eastAsiaTheme="minorEastAsia"/>
                <w:kern w:val="0"/>
                <w:sz w:val="24"/>
                <w:szCs w:val="24"/>
              </w:rPr>
              <w:t>0.55</w:t>
            </w:r>
          </w:p>
        </w:tc>
      </w:tr>
      <w:tr w:rsidR="008B4425">
        <w:tc>
          <w:tcPr>
            <w:tcW w:w="817" w:type="dxa"/>
            <w:vAlign w:val="center"/>
          </w:tcPr>
          <w:p w:rsidR="008B4425" w:rsidRDefault="00CF438B">
            <w:pPr>
              <w:jc w:val="center"/>
            </w:pPr>
            <w:r>
              <w:rPr>
                <w:rFonts w:eastAsiaTheme="minorEastAsia"/>
                <w:kern w:val="0"/>
                <w:sz w:val="24"/>
                <w:szCs w:val="24"/>
              </w:rPr>
              <w:t>9</w:t>
            </w:r>
          </w:p>
        </w:tc>
        <w:tc>
          <w:tcPr>
            <w:tcW w:w="1276" w:type="dxa"/>
            <w:vAlign w:val="center"/>
          </w:tcPr>
          <w:p w:rsidR="008B4425" w:rsidRDefault="00CF438B">
            <w:pPr>
              <w:jc w:val="center"/>
            </w:pPr>
            <w:r>
              <w:rPr>
                <w:rFonts w:eastAsiaTheme="minorEastAsia"/>
                <w:kern w:val="0"/>
                <w:sz w:val="24"/>
                <w:szCs w:val="24"/>
              </w:rPr>
              <w:t>600760</w:t>
            </w:r>
          </w:p>
        </w:tc>
        <w:tc>
          <w:tcPr>
            <w:tcW w:w="1701" w:type="dxa"/>
            <w:vAlign w:val="center"/>
          </w:tcPr>
          <w:p w:rsidR="008B4425" w:rsidRDefault="00CF438B">
            <w:pPr>
              <w:jc w:val="center"/>
            </w:pPr>
            <w:r>
              <w:rPr>
                <w:rFonts w:eastAsiaTheme="minorEastAsia"/>
                <w:kern w:val="0"/>
                <w:sz w:val="24"/>
                <w:szCs w:val="24"/>
              </w:rPr>
              <w:t>中航沈飞</w:t>
            </w:r>
          </w:p>
        </w:tc>
        <w:tc>
          <w:tcPr>
            <w:tcW w:w="1276" w:type="dxa"/>
            <w:vAlign w:val="center"/>
          </w:tcPr>
          <w:p w:rsidR="008B4425" w:rsidRDefault="00CF438B">
            <w:pPr>
              <w:jc w:val="right"/>
            </w:pPr>
            <w:r>
              <w:rPr>
                <w:rFonts w:eastAsiaTheme="minorEastAsia"/>
                <w:kern w:val="0"/>
                <w:sz w:val="24"/>
                <w:szCs w:val="24"/>
              </w:rPr>
              <w:t>11,720.00</w:t>
            </w:r>
          </w:p>
        </w:tc>
        <w:tc>
          <w:tcPr>
            <w:tcW w:w="1842" w:type="dxa"/>
            <w:vAlign w:val="center"/>
          </w:tcPr>
          <w:p w:rsidR="008B4425" w:rsidRDefault="00CF438B">
            <w:pPr>
              <w:jc w:val="right"/>
            </w:pPr>
            <w:r>
              <w:rPr>
                <w:rFonts w:eastAsiaTheme="minorEastAsia"/>
                <w:kern w:val="0"/>
                <w:sz w:val="24"/>
                <w:szCs w:val="24"/>
              </w:rPr>
              <w:t>706,716.00</w:t>
            </w:r>
          </w:p>
        </w:tc>
        <w:tc>
          <w:tcPr>
            <w:tcW w:w="1616" w:type="dxa"/>
            <w:vAlign w:val="center"/>
          </w:tcPr>
          <w:p w:rsidR="008B4425" w:rsidRDefault="00CF438B">
            <w:pPr>
              <w:jc w:val="right"/>
            </w:pPr>
            <w:r>
              <w:rPr>
                <w:rFonts w:eastAsiaTheme="minorEastAsia"/>
                <w:kern w:val="0"/>
                <w:sz w:val="24"/>
                <w:szCs w:val="24"/>
              </w:rPr>
              <w:t>0.43</w:t>
            </w:r>
          </w:p>
        </w:tc>
      </w:tr>
      <w:tr w:rsidR="008B4425">
        <w:tc>
          <w:tcPr>
            <w:tcW w:w="817" w:type="dxa"/>
            <w:vAlign w:val="center"/>
          </w:tcPr>
          <w:p w:rsidR="008B4425" w:rsidRDefault="00CF438B">
            <w:pPr>
              <w:jc w:val="center"/>
            </w:pPr>
            <w:r>
              <w:rPr>
                <w:rFonts w:eastAsiaTheme="minorEastAsia"/>
                <w:kern w:val="0"/>
                <w:sz w:val="24"/>
                <w:szCs w:val="24"/>
              </w:rPr>
              <w:t>10</w:t>
            </w:r>
          </w:p>
        </w:tc>
        <w:tc>
          <w:tcPr>
            <w:tcW w:w="1276" w:type="dxa"/>
            <w:vAlign w:val="center"/>
          </w:tcPr>
          <w:p w:rsidR="008B4425" w:rsidRDefault="00CF438B">
            <w:pPr>
              <w:jc w:val="center"/>
            </w:pPr>
            <w:r>
              <w:rPr>
                <w:rFonts w:eastAsiaTheme="minorEastAsia"/>
                <w:kern w:val="0"/>
                <w:sz w:val="24"/>
                <w:szCs w:val="24"/>
              </w:rPr>
              <w:t>002714</w:t>
            </w:r>
          </w:p>
        </w:tc>
        <w:tc>
          <w:tcPr>
            <w:tcW w:w="1701" w:type="dxa"/>
            <w:vAlign w:val="center"/>
          </w:tcPr>
          <w:p w:rsidR="008B4425" w:rsidRDefault="00CF438B">
            <w:pPr>
              <w:jc w:val="center"/>
            </w:pPr>
            <w:r>
              <w:rPr>
                <w:rFonts w:eastAsiaTheme="minorEastAsia"/>
                <w:kern w:val="0"/>
                <w:sz w:val="24"/>
                <w:szCs w:val="24"/>
              </w:rPr>
              <w:t>牧原股份</w:t>
            </w:r>
          </w:p>
        </w:tc>
        <w:tc>
          <w:tcPr>
            <w:tcW w:w="1276" w:type="dxa"/>
            <w:vAlign w:val="center"/>
          </w:tcPr>
          <w:p w:rsidR="008B4425" w:rsidRDefault="00CF438B">
            <w:pPr>
              <w:jc w:val="right"/>
            </w:pPr>
            <w:r>
              <w:rPr>
                <w:rFonts w:eastAsiaTheme="minorEastAsia"/>
                <w:kern w:val="0"/>
                <w:sz w:val="24"/>
                <w:szCs w:val="24"/>
              </w:rPr>
              <w:t>11,220.00</w:t>
            </w:r>
          </w:p>
        </w:tc>
        <w:tc>
          <w:tcPr>
            <w:tcW w:w="1842" w:type="dxa"/>
            <w:vAlign w:val="center"/>
          </w:tcPr>
          <w:p w:rsidR="008B4425" w:rsidRDefault="00CF438B">
            <w:pPr>
              <w:jc w:val="right"/>
            </w:pPr>
            <w:r>
              <w:rPr>
                <w:rFonts w:eastAsiaTheme="minorEastAsia"/>
                <w:kern w:val="0"/>
                <w:sz w:val="24"/>
                <w:szCs w:val="24"/>
              </w:rPr>
              <w:t>682,400.40</w:t>
            </w:r>
          </w:p>
        </w:tc>
        <w:tc>
          <w:tcPr>
            <w:tcW w:w="1616" w:type="dxa"/>
            <w:vAlign w:val="center"/>
          </w:tcPr>
          <w:p w:rsidR="008B4425" w:rsidRDefault="00CF438B">
            <w:pPr>
              <w:jc w:val="right"/>
            </w:pPr>
            <w:r>
              <w:rPr>
                <w:rFonts w:eastAsiaTheme="minorEastAsia"/>
                <w:kern w:val="0"/>
                <w:sz w:val="24"/>
                <w:szCs w:val="24"/>
              </w:rPr>
              <w:t>0.41</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10,028,000.00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6.05</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10,028,000.00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6.05</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100,259.96</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0.06</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10,128,259.96</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6.11</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8B4425">
        <w:tc>
          <w:tcPr>
            <w:tcW w:w="1252" w:type="dxa"/>
            <w:vAlign w:val="center"/>
          </w:tcPr>
          <w:p w:rsidR="008B4425" w:rsidRDefault="00CF438B">
            <w:pPr>
              <w:jc w:val="center"/>
            </w:pPr>
            <w:r>
              <w:rPr>
                <w:rFonts w:eastAsiaTheme="minorEastAsia"/>
                <w:color w:val="000000" w:themeColor="text1"/>
                <w:kern w:val="0"/>
              </w:rPr>
              <w:t>1</w:t>
            </w:r>
          </w:p>
        </w:tc>
        <w:tc>
          <w:tcPr>
            <w:tcW w:w="1310" w:type="dxa"/>
            <w:vAlign w:val="center"/>
          </w:tcPr>
          <w:p w:rsidR="008B4425" w:rsidRDefault="00CF438B">
            <w:pPr>
              <w:jc w:val="center"/>
            </w:pPr>
            <w:r>
              <w:rPr>
                <w:rFonts w:eastAsiaTheme="minorEastAsia"/>
                <w:color w:val="000000" w:themeColor="text1"/>
                <w:kern w:val="0"/>
              </w:rPr>
              <w:t>200207</w:t>
            </w:r>
          </w:p>
        </w:tc>
        <w:tc>
          <w:tcPr>
            <w:tcW w:w="1282" w:type="dxa"/>
            <w:vAlign w:val="center"/>
          </w:tcPr>
          <w:p w:rsidR="008B4425" w:rsidRDefault="00CF438B">
            <w:pPr>
              <w:jc w:val="center"/>
            </w:pPr>
            <w:r>
              <w:rPr>
                <w:rFonts w:eastAsiaTheme="minorEastAsia"/>
                <w:color w:val="000000" w:themeColor="text1"/>
                <w:kern w:val="0"/>
              </w:rPr>
              <w:t>20</w:t>
            </w:r>
            <w:r>
              <w:rPr>
                <w:rFonts w:eastAsiaTheme="minorEastAsia"/>
                <w:color w:val="000000" w:themeColor="text1"/>
                <w:kern w:val="0"/>
              </w:rPr>
              <w:t>国开</w:t>
            </w:r>
            <w:r>
              <w:rPr>
                <w:rFonts w:eastAsiaTheme="minorEastAsia"/>
                <w:color w:val="000000" w:themeColor="text1"/>
                <w:kern w:val="0"/>
              </w:rPr>
              <w:t>07</w:t>
            </w:r>
          </w:p>
        </w:tc>
        <w:tc>
          <w:tcPr>
            <w:tcW w:w="1426" w:type="dxa"/>
            <w:vAlign w:val="center"/>
          </w:tcPr>
          <w:p w:rsidR="008B4425" w:rsidRDefault="00CF438B">
            <w:pPr>
              <w:jc w:val="right"/>
            </w:pPr>
            <w:r>
              <w:rPr>
                <w:rFonts w:eastAsiaTheme="minorEastAsia"/>
                <w:color w:val="000000" w:themeColor="text1"/>
                <w:kern w:val="0"/>
              </w:rPr>
              <w:t>100,000</w:t>
            </w:r>
          </w:p>
        </w:tc>
        <w:tc>
          <w:tcPr>
            <w:tcW w:w="1646" w:type="dxa"/>
            <w:vAlign w:val="center"/>
          </w:tcPr>
          <w:p w:rsidR="008B4425" w:rsidRDefault="00CF438B">
            <w:pPr>
              <w:jc w:val="right"/>
            </w:pPr>
            <w:r>
              <w:rPr>
                <w:rFonts w:eastAsiaTheme="minorEastAsia"/>
                <w:color w:val="000000" w:themeColor="text1"/>
                <w:kern w:val="0"/>
              </w:rPr>
              <w:t>10,028,000.00</w:t>
            </w:r>
          </w:p>
        </w:tc>
        <w:tc>
          <w:tcPr>
            <w:tcW w:w="1612" w:type="dxa"/>
            <w:vAlign w:val="center"/>
          </w:tcPr>
          <w:p w:rsidR="008B4425" w:rsidRDefault="00CF438B">
            <w:pPr>
              <w:jc w:val="right"/>
            </w:pPr>
            <w:r>
              <w:rPr>
                <w:rFonts w:eastAsiaTheme="minorEastAsia"/>
                <w:color w:val="000000" w:themeColor="text1"/>
                <w:kern w:val="0"/>
              </w:rPr>
              <w:t>6.05</w:t>
            </w:r>
          </w:p>
        </w:tc>
      </w:tr>
      <w:tr w:rsidR="008B4425">
        <w:tc>
          <w:tcPr>
            <w:tcW w:w="1252" w:type="dxa"/>
            <w:vAlign w:val="center"/>
          </w:tcPr>
          <w:p w:rsidR="008B4425" w:rsidRDefault="00CF438B">
            <w:pPr>
              <w:jc w:val="center"/>
            </w:pPr>
            <w:r>
              <w:rPr>
                <w:rFonts w:eastAsiaTheme="minorEastAsia"/>
                <w:color w:val="000000" w:themeColor="text1"/>
                <w:kern w:val="0"/>
              </w:rPr>
              <w:t>2</w:t>
            </w:r>
          </w:p>
        </w:tc>
        <w:tc>
          <w:tcPr>
            <w:tcW w:w="1310" w:type="dxa"/>
            <w:vAlign w:val="center"/>
          </w:tcPr>
          <w:p w:rsidR="008B4425" w:rsidRDefault="00CF438B">
            <w:pPr>
              <w:jc w:val="center"/>
            </w:pPr>
            <w:r>
              <w:rPr>
                <w:rFonts w:eastAsiaTheme="minorEastAsia"/>
                <w:color w:val="000000" w:themeColor="text1"/>
                <w:kern w:val="0"/>
              </w:rPr>
              <w:t>123107</w:t>
            </w:r>
          </w:p>
        </w:tc>
        <w:tc>
          <w:tcPr>
            <w:tcW w:w="1282" w:type="dxa"/>
            <w:vAlign w:val="center"/>
          </w:tcPr>
          <w:p w:rsidR="008B4425" w:rsidRDefault="00CF438B">
            <w:pPr>
              <w:jc w:val="center"/>
            </w:pPr>
            <w:r>
              <w:rPr>
                <w:rFonts w:eastAsiaTheme="minorEastAsia"/>
                <w:color w:val="000000" w:themeColor="text1"/>
                <w:kern w:val="0"/>
              </w:rPr>
              <w:t>温氏转债</w:t>
            </w:r>
          </w:p>
        </w:tc>
        <w:tc>
          <w:tcPr>
            <w:tcW w:w="1426" w:type="dxa"/>
            <w:vAlign w:val="center"/>
          </w:tcPr>
          <w:p w:rsidR="008B4425" w:rsidRDefault="00CF438B">
            <w:pPr>
              <w:jc w:val="right"/>
            </w:pPr>
            <w:r>
              <w:rPr>
                <w:rFonts w:eastAsiaTheme="minorEastAsia"/>
                <w:color w:val="000000" w:themeColor="text1"/>
                <w:kern w:val="0"/>
              </w:rPr>
              <w:t>636</w:t>
            </w:r>
          </w:p>
        </w:tc>
        <w:tc>
          <w:tcPr>
            <w:tcW w:w="1646" w:type="dxa"/>
            <w:vAlign w:val="center"/>
          </w:tcPr>
          <w:p w:rsidR="008B4425" w:rsidRDefault="00CF438B">
            <w:pPr>
              <w:jc w:val="right"/>
            </w:pPr>
            <w:r>
              <w:rPr>
                <w:rFonts w:eastAsiaTheme="minorEastAsia"/>
                <w:color w:val="000000" w:themeColor="text1"/>
                <w:kern w:val="0"/>
              </w:rPr>
              <w:t>68,376.36</w:t>
            </w:r>
          </w:p>
        </w:tc>
        <w:tc>
          <w:tcPr>
            <w:tcW w:w="1612" w:type="dxa"/>
            <w:vAlign w:val="center"/>
          </w:tcPr>
          <w:p w:rsidR="008B4425" w:rsidRDefault="00CF438B">
            <w:pPr>
              <w:jc w:val="right"/>
            </w:pPr>
            <w:r>
              <w:rPr>
                <w:rFonts w:eastAsiaTheme="minorEastAsia"/>
                <w:color w:val="000000" w:themeColor="text1"/>
                <w:kern w:val="0"/>
              </w:rPr>
              <w:t>0.04</w:t>
            </w:r>
          </w:p>
        </w:tc>
      </w:tr>
      <w:tr w:rsidR="008B4425">
        <w:tc>
          <w:tcPr>
            <w:tcW w:w="1252" w:type="dxa"/>
            <w:vAlign w:val="center"/>
          </w:tcPr>
          <w:p w:rsidR="008B4425" w:rsidRDefault="00CF438B">
            <w:pPr>
              <w:jc w:val="center"/>
            </w:pPr>
            <w:r>
              <w:rPr>
                <w:rFonts w:eastAsiaTheme="minorEastAsia"/>
                <w:color w:val="000000" w:themeColor="text1"/>
                <w:kern w:val="0"/>
              </w:rPr>
              <w:t>3</w:t>
            </w:r>
          </w:p>
        </w:tc>
        <w:tc>
          <w:tcPr>
            <w:tcW w:w="1310" w:type="dxa"/>
            <w:vAlign w:val="center"/>
          </w:tcPr>
          <w:p w:rsidR="008B4425" w:rsidRDefault="00CF438B">
            <w:pPr>
              <w:jc w:val="center"/>
            </w:pPr>
            <w:r>
              <w:rPr>
                <w:rFonts w:eastAsiaTheme="minorEastAsia"/>
                <w:color w:val="000000" w:themeColor="text1"/>
                <w:kern w:val="0"/>
              </w:rPr>
              <w:t>110079</w:t>
            </w:r>
          </w:p>
        </w:tc>
        <w:tc>
          <w:tcPr>
            <w:tcW w:w="1282" w:type="dxa"/>
            <w:vAlign w:val="center"/>
          </w:tcPr>
          <w:p w:rsidR="008B4425" w:rsidRDefault="00CF438B">
            <w:pPr>
              <w:jc w:val="center"/>
            </w:pPr>
            <w:r>
              <w:rPr>
                <w:rFonts w:eastAsiaTheme="minorEastAsia"/>
                <w:color w:val="000000" w:themeColor="text1"/>
                <w:kern w:val="0"/>
              </w:rPr>
              <w:t>杭银转债</w:t>
            </w:r>
          </w:p>
        </w:tc>
        <w:tc>
          <w:tcPr>
            <w:tcW w:w="1426" w:type="dxa"/>
            <w:vAlign w:val="center"/>
          </w:tcPr>
          <w:p w:rsidR="008B4425" w:rsidRDefault="00CF438B">
            <w:pPr>
              <w:jc w:val="right"/>
            </w:pPr>
            <w:r>
              <w:rPr>
                <w:rFonts w:eastAsiaTheme="minorEastAsia"/>
                <w:color w:val="000000" w:themeColor="text1"/>
                <w:kern w:val="0"/>
              </w:rPr>
              <w:t>280</w:t>
            </w:r>
          </w:p>
        </w:tc>
        <w:tc>
          <w:tcPr>
            <w:tcW w:w="1646" w:type="dxa"/>
            <w:vAlign w:val="center"/>
          </w:tcPr>
          <w:p w:rsidR="008B4425" w:rsidRDefault="00CF438B">
            <w:pPr>
              <w:jc w:val="right"/>
            </w:pPr>
            <w:r>
              <w:rPr>
                <w:rFonts w:eastAsiaTheme="minorEastAsia"/>
                <w:color w:val="000000" w:themeColor="text1"/>
                <w:kern w:val="0"/>
              </w:rPr>
              <w:t>31,883.60</w:t>
            </w:r>
          </w:p>
        </w:tc>
        <w:tc>
          <w:tcPr>
            <w:tcW w:w="1612" w:type="dxa"/>
            <w:vAlign w:val="center"/>
          </w:tcPr>
          <w:p w:rsidR="008B4425" w:rsidRDefault="00CF438B">
            <w:pPr>
              <w:jc w:val="right"/>
            </w:pPr>
            <w:r>
              <w:rPr>
                <w:rFonts w:eastAsiaTheme="minorEastAsia"/>
                <w:color w:val="000000" w:themeColor="text1"/>
                <w:kern w:val="0"/>
              </w:rPr>
              <w:t>0.02</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166,410.26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16,874.02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282,914.95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677.92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466,877.15</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173,596,136.52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625,635.05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24,205,285.29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150,016,486.28</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、中国证监会准予上投摩根动态多因子策略灵活配置混合型证券投资基金募集注册的文件；</w:t>
      </w:r>
      <w:r>
        <w:rPr>
          <w:rFonts w:eastAsiaTheme="minorEastAsia"/>
          <w:color w:val="000000" w:themeColor="text1"/>
        </w:rPr>
        <w:t xml:space="preserve"> </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、《上投摩根动态多因子策略灵活配置混合型证券投资基金基金合同》；</w:t>
      </w:r>
      <w:r>
        <w:rPr>
          <w:rFonts w:eastAsiaTheme="minorEastAsia"/>
          <w:color w:val="000000" w:themeColor="text1"/>
        </w:rPr>
        <w:t xml:space="preserve"> </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、《上投摩根动态多因子策略灵活配置混合型证券投资基金托管协议》；</w:t>
      </w:r>
      <w:r>
        <w:rPr>
          <w:rFonts w:eastAsiaTheme="minorEastAsia"/>
          <w:color w:val="000000" w:themeColor="text1"/>
        </w:rPr>
        <w:t xml:space="preserve"> </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lastRenderedPageBreak/>
        <w:t>4</w:t>
      </w:r>
      <w:r>
        <w:rPr>
          <w:rFonts w:eastAsiaTheme="minorEastAsia"/>
          <w:color w:val="000000" w:themeColor="text1"/>
        </w:rPr>
        <w:t>、《上投摩根开放式基金业务规则》；</w:t>
      </w:r>
      <w:r>
        <w:rPr>
          <w:rFonts w:eastAsiaTheme="minorEastAsia"/>
          <w:color w:val="000000" w:themeColor="text1"/>
        </w:rPr>
        <w:t xml:space="preserve"> </w:t>
      </w:r>
    </w:p>
    <w:p w:rsidR="008B4425" w:rsidRDefault="00CF438B">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r>
        <w:rPr>
          <w:rFonts w:eastAsiaTheme="minorEastAsia"/>
          <w:color w:val="000000" w:themeColor="text1"/>
        </w:rPr>
        <w:t xml:space="preserve"> </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6</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0615D" w:rsidRPr="00A0615D">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0615D">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上投摩根动态多因子策略灵活配置混合型证券投资基金</w:t>
    </w:r>
    <w:r>
      <w:rPr>
        <w:rFonts w:hint="eastAsia"/>
      </w:rPr>
      <w:t>2021</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B4425"/>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0615D"/>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438B"/>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9C93A-FE95-494A-BFAF-51082E8D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269</cp:revision>
  <dcterms:created xsi:type="dcterms:W3CDTF">2012-10-16T06:07:00Z</dcterms:created>
  <dcterms:modified xsi:type="dcterms:W3CDTF">2021-07-20T08:05:00Z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