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A7ECD" w:rsidRDefault="003A7ECD">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3A7ECD" w:rsidRDefault="003A7ECD">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3A7ECD" w:rsidRDefault="003A7ECD">
      <w:pPr>
        <w:spacing w:line="360" w:lineRule="auto"/>
        <w:jc w:val="center"/>
        <w:rPr>
          <w:rFonts w:hint="eastAsia"/>
        </w:rPr>
      </w:pPr>
      <w:r>
        <w:rPr>
          <w:rFonts w:ascii="宋体" w:hAnsi="宋体" w:hint="eastAsia"/>
          <w:b/>
          <w:bCs/>
          <w:color w:val="000000" w:themeColor="text1"/>
          <w:sz w:val="48"/>
          <w:szCs w:val="30"/>
        </w:rPr>
        <w:t>摩根整合驱动灵活配置混合型证券投资基金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3A7ECD" w:rsidRDefault="003A7EC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3A7ECD" w:rsidRDefault="003A7EC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A7ECD" w:rsidRDefault="003A7ECD">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3A7ECD" w:rsidRDefault="003A7ECD">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3A7ECD" w:rsidRDefault="003A7ECD">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3A7ECD" w:rsidRDefault="003A7ECD">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3A7ECD" w:rsidRDefault="003A7ECD">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3A7ECD" w:rsidRDefault="003A7ECD">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483857771"/>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3A7ECD" w:rsidRDefault="003A7ECD">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szCs w:val="24"/>
                <w:lang w:eastAsia="zh-Hans"/>
              </w:rPr>
              <w:t>摩根整合驱动混</w:t>
            </w:r>
            <w:r>
              <w:rPr>
                <w:rFonts w:ascii="宋体" w:hAnsi="宋体" w:hint="eastAsia"/>
                <w:szCs w:val="24"/>
                <w:lang w:eastAsia="zh-Hans"/>
              </w:rPr>
              <w:t>合</w:t>
            </w:r>
            <w:r>
              <w:rPr>
                <w:rFonts w:ascii="宋体" w:hAnsi="宋体" w:hint="eastAsia"/>
                <w:lang w:eastAsia="zh-Hans"/>
              </w:rPr>
              <w:t xml:space="preserve"> </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00119</w:t>
            </w:r>
            <w:r>
              <w:rPr>
                <w:rFonts w:ascii="宋体" w:hAnsi="宋体" w:hint="eastAsia"/>
                <w:lang w:eastAsia="zh-Hans"/>
              </w:rPr>
              <w:t>2</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契约型开放</w:t>
            </w:r>
            <w:r>
              <w:rPr>
                <w:rFonts w:ascii="宋体" w:hAnsi="宋体" w:hint="eastAsia"/>
                <w:lang w:eastAsia="zh-Hans"/>
              </w:rPr>
              <w:t>式</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436,747,086.9</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通过深入细致的基本面研究，把握企业整合发展带来的投资机会，在严格的风险控制前提下，力争实现基金资产的长期增值</w:t>
            </w:r>
            <w:r>
              <w:rPr>
                <w:rFonts w:ascii="宋体" w:hAnsi="宋体" w:hint="eastAsia"/>
                <w:lang w:eastAsia="zh-Hans"/>
              </w:rPr>
              <w:t>。</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本基金通过自上而下和自下而上相结合、定性分析和定量分析互相补充的方法，在股票、债券和现金等资产类别之间进行相对灵活的配置。</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重点投资于整合主题相关的上市公司。在个股选择层面，首先将根据本基金对于整合主题的界定构建初选股票池，在此基础上剔除不具有投资价值的股票建立备选股票池。本基金将深入分析公司的并购重组行为对未来经营可能产生的影响，综合评估其是否会带来经营业绩的改善。通过对并购重组带来的行业增长及公司协同效应的综合分析，精选未来具有较高成长潜力的公司。</w:t>
            </w:r>
            <w:r>
              <w:rPr>
                <w:rFonts w:ascii="宋体" w:hAnsi="宋体" w:hint="eastAsia"/>
                <w:lang w:eastAsia="zh-Hans"/>
              </w:rPr>
              <w:br/>
              <w:t>3</w:t>
            </w:r>
            <w:r>
              <w:rPr>
                <w:rFonts w:ascii="宋体" w:hAnsi="宋体" w:hint="eastAsia"/>
                <w:lang w:eastAsia="zh-Hans"/>
              </w:rPr>
              <w:t>、债券配置策略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对于固定收益类资产的选择，本基金将以价值分析为主线，在综合研究的基础上实施积极主动的组合管理，并主要通过类属配置与债券选择两个层次进行投资管理。</w:t>
            </w:r>
            <w:r>
              <w:rPr>
                <w:rFonts w:ascii="宋体" w:hAnsi="宋体" w:hint="eastAsia"/>
                <w:lang w:eastAsia="zh-Hans"/>
              </w:rPr>
              <w:br/>
              <w:t>4</w:t>
            </w:r>
            <w:r>
              <w:rPr>
                <w:rFonts w:ascii="宋体" w:hAnsi="宋体" w:hint="eastAsia"/>
                <w:lang w:eastAsia="zh-Hans"/>
              </w:rPr>
              <w:t>、其他投资策略：包括可转换债券投资策略、中小企业私募债投资策略、股指期货投资策略、股票期权投资策略、存托凭证投资策略</w:t>
            </w:r>
            <w:r>
              <w:rPr>
                <w:rFonts w:ascii="宋体" w:hAnsi="宋体" w:hint="eastAsia"/>
                <w:lang w:eastAsia="zh-Hans"/>
              </w:rPr>
              <w:t>。</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*60%+</w:t>
            </w:r>
            <w:r>
              <w:rPr>
                <w:rFonts w:ascii="宋体" w:hAnsi="宋体" w:hint="eastAsia"/>
                <w:lang w:eastAsia="zh-Hans"/>
              </w:rPr>
              <w:t>中债总指数收益率</w:t>
            </w:r>
            <w:r>
              <w:rPr>
                <w:rFonts w:ascii="宋体" w:hAnsi="宋体" w:hint="eastAsia"/>
                <w:lang w:eastAsia="zh-Hans"/>
              </w:rPr>
              <w:t>*40</w:t>
            </w:r>
            <w:r>
              <w:rPr>
                <w:rFonts w:ascii="宋体" w:hAnsi="宋体" w:hint="eastAsia"/>
                <w:lang w:eastAsia="zh-Hans"/>
              </w:rPr>
              <w:t>%</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本基金属于混合型基金产品，预期风险和收益水平高于债券型基金和货币市场基金，低于股票型基金，属于较高风险收益水平的基金产品。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483857771"/>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48385777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lang w:eastAsia="zh-Hans"/>
              </w:rPr>
              <w:t>摩根整合驱动混合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lang w:eastAsia="zh-Hans"/>
              </w:rPr>
              <w:t>摩根整合驱动混合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48385777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lang w:eastAsia="zh-Hans"/>
              </w:rPr>
              <w:t>00119</w:t>
            </w:r>
            <w:r>
              <w:rPr>
                <w:rFonts w:ascii="宋体" w:hAnsi="宋体" w:hint="eastAsia"/>
                <w:lang w:eastAsia="zh-Hans"/>
              </w:rPr>
              <w:t>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lang w:eastAsia="zh-Hans"/>
              </w:rPr>
              <w:t>01692</w:t>
            </w:r>
            <w:r>
              <w:rPr>
                <w:rFonts w:ascii="宋体" w:hAnsi="宋体" w:hint="eastAsia"/>
                <w:lang w:eastAsia="zh-Hans"/>
              </w:rPr>
              <w:t>0</w:t>
            </w:r>
            <w:r>
              <w:rPr>
                <w:rFonts w:ascii="宋体" w:hAnsi="宋体" w:hint="eastAsia"/>
                <w:kern w:val="0"/>
                <w:sz w:val="20"/>
                <w:lang w:eastAsia="zh-Hans"/>
              </w:rPr>
              <w:t xml:space="preserve"> </w:t>
            </w:r>
          </w:p>
        </w:tc>
      </w:tr>
      <w:bookmarkEnd w:id="32"/>
      <w:bookmarkEnd w:id="33"/>
      <w:tr w:rsidR="00000000">
        <w:trPr>
          <w:divId w:val="483857771"/>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3A7ECD" w:rsidRDefault="003A7ECD">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lang w:eastAsia="zh-Hans"/>
              </w:rPr>
              <w:t>434,416,337.6</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lang w:eastAsia="zh-Hans"/>
              </w:rPr>
              <w:t>2,330,749.3</w:t>
            </w:r>
            <w:r>
              <w:rPr>
                <w:rFonts w:ascii="宋体" w:hAnsi="宋体" w:hint="eastAsia"/>
                <w:lang w:eastAsia="zh-Hans"/>
              </w:rPr>
              <w:t>2</w:t>
            </w:r>
            <w:r>
              <w:rPr>
                <w:rFonts w:hint="eastAsia"/>
              </w:rPr>
              <w:t>份</w:t>
            </w:r>
            <w:r>
              <w:rPr>
                <w:rFonts w:ascii="宋体" w:hAnsi="宋体" w:hint="eastAsia"/>
                <w:lang w:eastAsia="zh-Hans"/>
              </w:rPr>
              <w:t xml:space="preserve"> </w:t>
            </w:r>
          </w:p>
        </w:tc>
      </w:tr>
    </w:tbl>
    <w:p w:rsidR="003A7ECD" w:rsidRDefault="003A7ECD">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3A7ECD" w:rsidRDefault="003A7ECD">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3A7ECD" w:rsidRDefault="003A7ECD">
      <w:pPr>
        <w:jc w:val="right"/>
        <w:divId w:val="21419645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21419645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A7ECD" w:rsidRDefault="003A7ECD">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3A7ECD" w:rsidRDefault="003A7ECD">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21419645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7ECD" w:rsidRDefault="003A7ECD">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A7ECD" w:rsidRDefault="003A7ECD">
            <w:pPr>
              <w:jc w:val="center"/>
              <w:rPr>
                <w:rFonts w:hint="eastAsia"/>
              </w:rPr>
            </w:pPr>
            <w:r>
              <w:rPr>
                <w:rFonts w:ascii="宋体" w:hAnsi="宋体" w:hint="eastAsia"/>
                <w:szCs w:val="24"/>
                <w:lang w:eastAsia="zh-Hans"/>
              </w:rPr>
              <w:t>摩根整合驱动混合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3A7ECD" w:rsidRDefault="003A7ECD">
            <w:pPr>
              <w:jc w:val="center"/>
            </w:pPr>
            <w:r>
              <w:rPr>
                <w:rFonts w:ascii="宋体" w:hAnsi="宋体" w:hint="eastAsia"/>
                <w:szCs w:val="24"/>
                <w:lang w:eastAsia="zh-Hans"/>
              </w:rPr>
              <w:t>摩根整合驱动混合</w:t>
            </w:r>
            <w:r>
              <w:rPr>
                <w:rFonts w:ascii="宋体" w:hAnsi="宋体" w:hint="eastAsia"/>
                <w:szCs w:val="24"/>
                <w:lang w:eastAsia="zh-Hans"/>
              </w:rPr>
              <w:t>C</w:t>
            </w:r>
          </w:p>
        </w:tc>
      </w:tr>
      <w:tr w:rsidR="00000000">
        <w:trPr>
          <w:divId w:val="2141964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rPr>
                <w:rFonts w:hint="eastAsia"/>
              </w:rPr>
            </w:pPr>
            <w:r>
              <w:rPr>
                <w:rFonts w:ascii="宋体" w:hAnsi="宋体" w:hint="eastAsia"/>
                <w:szCs w:val="24"/>
                <w:lang w:eastAsia="zh-Hans"/>
              </w:rPr>
              <w:t>42,195,568.1</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pPr>
            <w:r>
              <w:rPr>
                <w:rFonts w:ascii="宋体" w:hAnsi="宋体" w:hint="eastAsia"/>
                <w:szCs w:val="24"/>
                <w:lang w:eastAsia="zh-Hans"/>
              </w:rPr>
              <w:t>149,791.6</w:t>
            </w:r>
            <w:r>
              <w:rPr>
                <w:rFonts w:ascii="宋体" w:hAnsi="宋体" w:hint="eastAsia"/>
                <w:szCs w:val="24"/>
                <w:lang w:eastAsia="zh-Hans"/>
              </w:rPr>
              <w:t>0</w:t>
            </w:r>
          </w:p>
        </w:tc>
      </w:tr>
      <w:tr w:rsidR="00000000">
        <w:trPr>
          <w:divId w:val="2141964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rPr>
                <w:rFonts w:hint="eastAsia"/>
              </w:rPr>
            </w:pPr>
            <w:r>
              <w:rPr>
                <w:rFonts w:ascii="宋体" w:hAnsi="宋体" w:hint="eastAsia"/>
                <w:szCs w:val="24"/>
                <w:lang w:eastAsia="zh-Hans"/>
              </w:rPr>
              <w:t>138,281,922.5</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pPr>
            <w:r>
              <w:rPr>
                <w:rFonts w:ascii="宋体" w:hAnsi="宋体" w:hint="eastAsia"/>
                <w:szCs w:val="24"/>
                <w:lang w:eastAsia="zh-Hans"/>
              </w:rPr>
              <w:t>565,672.4</w:t>
            </w:r>
            <w:r>
              <w:rPr>
                <w:rFonts w:ascii="宋体" w:hAnsi="宋体" w:hint="eastAsia"/>
                <w:szCs w:val="24"/>
                <w:lang w:eastAsia="zh-Hans"/>
              </w:rPr>
              <w:t>9</w:t>
            </w:r>
          </w:p>
        </w:tc>
      </w:tr>
      <w:tr w:rsidR="00000000">
        <w:trPr>
          <w:divId w:val="2141964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rPr>
                <w:rFonts w:hint="eastAsia"/>
              </w:rPr>
            </w:pPr>
            <w:r>
              <w:rPr>
                <w:rFonts w:ascii="宋体" w:hAnsi="宋体" w:hint="eastAsia"/>
                <w:szCs w:val="24"/>
                <w:lang w:eastAsia="zh-Hans"/>
              </w:rPr>
              <w:t>0.315</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pPr>
            <w:r>
              <w:rPr>
                <w:rFonts w:ascii="宋体" w:hAnsi="宋体" w:hint="eastAsia"/>
                <w:szCs w:val="24"/>
                <w:lang w:eastAsia="zh-Hans"/>
              </w:rPr>
              <w:t>0.335</w:t>
            </w:r>
            <w:r>
              <w:rPr>
                <w:rFonts w:ascii="宋体" w:hAnsi="宋体" w:hint="eastAsia"/>
                <w:szCs w:val="24"/>
                <w:lang w:eastAsia="zh-Hans"/>
              </w:rPr>
              <w:t>0</w:t>
            </w:r>
          </w:p>
        </w:tc>
      </w:tr>
      <w:tr w:rsidR="00000000">
        <w:trPr>
          <w:divId w:val="2141964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rPr>
                <w:rFonts w:hint="eastAsia"/>
              </w:rPr>
            </w:pPr>
            <w:r>
              <w:rPr>
                <w:rFonts w:ascii="宋体" w:hAnsi="宋体" w:hint="eastAsia"/>
                <w:szCs w:val="24"/>
                <w:lang w:eastAsia="zh-Hans"/>
              </w:rPr>
              <w:t>373,754,292.6</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pPr>
            <w:r>
              <w:rPr>
                <w:rFonts w:ascii="宋体" w:hAnsi="宋体" w:hint="eastAsia"/>
                <w:szCs w:val="24"/>
                <w:lang w:eastAsia="zh-Hans"/>
              </w:rPr>
              <w:t>1,969,983.6</w:t>
            </w:r>
            <w:r>
              <w:rPr>
                <w:rFonts w:ascii="宋体" w:hAnsi="宋体" w:hint="eastAsia"/>
                <w:szCs w:val="24"/>
                <w:lang w:eastAsia="zh-Hans"/>
              </w:rPr>
              <w:t>7</w:t>
            </w:r>
          </w:p>
        </w:tc>
      </w:tr>
      <w:tr w:rsidR="00000000">
        <w:trPr>
          <w:divId w:val="21419645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rPr>
                <w:rFonts w:hint="eastAsia"/>
              </w:rPr>
            </w:pPr>
            <w:r>
              <w:rPr>
                <w:rFonts w:ascii="宋体" w:hAnsi="宋体" w:hint="eastAsia"/>
                <w:szCs w:val="24"/>
                <w:lang w:eastAsia="zh-Hans"/>
              </w:rPr>
              <w:t>0.860</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3A7ECD" w:rsidRDefault="003A7ECD">
            <w:pPr>
              <w:jc w:val="right"/>
            </w:pPr>
            <w:r>
              <w:rPr>
                <w:rFonts w:ascii="宋体" w:hAnsi="宋体" w:hint="eastAsia"/>
                <w:szCs w:val="24"/>
                <w:lang w:eastAsia="zh-Hans"/>
              </w:rPr>
              <w:t>0.845</w:t>
            </w:r>
            <w:r>
              <w:rPr>
                <w:rFonts w:ascii="宋体" w:hAnsi="宋体" w:hint="eastAsia"/>
                <w:szCs w:val="24"/>
                <w:lang w:eastAsia="zh-Hans"/>
              </w:rPr>
              <w:t>2</w:t>
            </w:r>
          </w:p>
        </w:tc>
      </w:tr>
    </w:tbl>
    <w:p w:rsidR="003A7ECD" w:rsidRDefault="003A7ECD">
      <w:pPr>
        <w:wordWrap w:val="0"/>
        <w:spacing w:line="360" w:lineRule="auto"/>
        <w:jc w:val="left"/>
        <w:divId w:val="1476723131"/>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3A7ECD" w:rsidRDefault="003A7ECD">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3A7ECD" w:rsidRDefault="003A7ECD">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3A7ECD" w:rsidRDefault="003A7ECD">
      <w:pPr>
        <w:spacing w:line="360" w:lineRule="auto"/>
        <w:jc w:val="center"/>
        <w:divId w:val="1840464099"/>
        <w:rPr>
          <w:rFonts w:hint="eastAsia"/>
        </w:rPr>
      </w:pPr>
      <w:r>
        <w:rPr>
          <w:rFonts w:ascii="宋体" w:hAnsi="宋体" w:hint="eastAsia"/>
        </w:rPr>
        <w:t>摩根整合驱动混合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4046409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②－④</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57.7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8.4</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49.3</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1.5</w:t>
            </w:r>
            <w:r>
              <w:rPr>
                <w:rFonts w:ascii="宋体" w:hAnsi="宋体" w:hint="eastAsia"/>
              </w:rPr>
              <w:t>5</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58.7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6.9</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51.8</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1.2</w:t>
            </w:r>
            <w:r>
              <w:rPr>
                <w:rFonts w:ascii="宋体" w:hAnsi="宋体" w:hint="eastAsia"/>
              </w:rPr>
              <w:t>9</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124.0</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19.4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104.5</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46.4</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1.7</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22.8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23.6</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-14.7</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5.3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-20.0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51.4</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1.6</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28.8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0.7</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22.6</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25.6</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36.4</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-10.8</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0.8</w:t>
            </w:r>
            <w:r>
              <w:rPr>
                <w:rFonts w:ascii="宋体" w:hAnsi="宋体" w:hint="eastAsia"/>
              </w:rPr>
              <w:t>5</w:t>
            </w:r>
            <w:r>
              <w:rPr>
                <w:rFonts w:ascii="宋体" w:hAnsi="宋体" w:hint="eastAsia"/>
              </w:rPr>
              <w:t xml:space="preserve">% </w:t>
            </w:r>
          </w:p>
        </w:tc>
      </w:tr>
      <w:tr w:rsidR="00000000">
        <w:trPr>
          <w:divId w:val="184046409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-13.9</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8.6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-22.6</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r>
    </w:tbl>
    <w:p w:rsidR="003A7ECD" w:rsidRDefault="003A7ECD">
      <w:pPr>
        <w:spacing w:line="360" w:lineRule="auto"/>
        <w:jc w:val="center"/>
        <w:divId w:val="35855673"/>
      </w:pPr>
      <w:r>
        <w:rPr>
          <w:rFonts w:ascii="宋体" w:hAnsi="宋体" w:hint="eastAsia"/>
        </w:rPr>
        <w:t>摩根整合驱动混合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585567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358556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57.5</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8.4</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49.1</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r>
      <w:tr w:rsidR="00000000">
        <w:trPr>
          <w:divId w:val="358556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58.3</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6.9</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51.4</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1.2</w:t>
            </w:r>
            <w:r>
              <w:rPr>
                <w:rFonts w:ascii="宋体" w:hAnsi="宋体" w:hint="eastAsia"/>
              </w:rPr>
              <w:t>9</w:t>
            </w:r>
            <w:r>
              <w:rPr>
                <w:rFonts w:ascii="宋体" w:hAnsi="宋体" w:hint="eastAsia"/>
              </w:rPr>
              <w:t>%</w:t>
            </w:r>
            <w:r>
              <w:rPr>
                <w:rFonts w:ascii="宋体" w:hAnsi="宋体" w:hint="eastAsia"/>
              </w:rPr>
              <w:t xml:space="preserve"> </w:t>
            </w:r>
          </w:p>
        </w:tc>
      </w:tr>
      <w:tr w:rsidR="00000000">
        <w:trPr>
          <w:divId w:val="358556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122.8</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19.4</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0.6</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103.3</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1.3</w:t>
            </w:r>
            <w:r>
              <w:rPr>
                <w:rFonts w:ascii="宋体" w:hAnsi="宋体" w:hint="eastAsia"/>
              </w:rPr>
              <w:t>1</w:t>
            </w:r>
            <w:r>
              <w:rPr>
                <w:rFonts w:ascii="宋体" w:hAnsi="宋体" w:hint="eastAsia"/>
              </w:rPr>
              <w:t>%</w:t>
            </w:r>
            <w:r>
              <w:rPr>
                <w:rFonts w:ascii="宋体" w:hAnsi="宋体" w:hint="eastAsia"/>
              </w:rPr>
              <w:t xml:space="preserve"> </w:t>
            </w:r>
          </w:p>
        </w:tc>
      </w:tr>
      <w:tr w:rsidR="00000000">
        <w:trPr>
          <w:divId w:val="358556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44.2</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1.7</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22.8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0.7</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21.4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r>
      <w:tr w:rsidR="00000000">
        <w:trPr>
          <w:divId w:val="3585567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39.4</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29.1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0.6</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3A7ECD" w:rsidRDefault="003A7ECD">
            <w:pPr>
              <w:spacing w:line="360" w:lineRule="auto"/>
              <w:jc w:val="right"/>
            </w:pPr>
            <w:r>
              <w:rPr>
                <w:rFonts w:ascii="宋体" w:hAnsi="宋体" w:hint="eastAsia"/>
              </w:rPr>
              <w:t>10.2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spacing w:line="360" w:lineRule="auto"/>
              <w:jc w:val="right"/>
            </w:pPr>
            <w:r>
              <w:rPr>
                <w:rFonts w:ascii="宋体" w:hAnsi="宋体" w:hint="eastAsia"/>
              </w:rPr>
              <w:t>1.0</w:t>
            </w:r>
            <w:r>
              <w:rPr>
                <w:rFonts w:ascii="宋体" w:hAnsi="宋体" w:hint="eastAsia"/>
              </w:rPr>
              <w:t>7</w:t>
            </w:r>
            <w:r>
              <w:rPr>
                <w:rFonts w:ascii="宋体" w:hAnsi="宋体" w:hint="eastAsia"/>
              </w:rPr>
              <w:t>%</w:t>
            </w:r>
            <w:r>
              <w:rPr>
                <w:rFonts w:ascii="宋体" w:hAnsi="宋体" w:hint="eastAsia"/>
              </w:rPr>
              <w:t xml:space="preserve"> </w:t>
            </w:r>
          </w:p>
        </w:tc>
      </w:tr>
    </w:tbl>
    <w:p w:rsidR="003A7ECD" w:rsidRDefault="003A7ECD">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3A7ECD" w:rsidRDefault="003A7ECD">
      <w:pPr>
        <w:spacing w:line="360" w:lineRule="auto"/>
        <w:jc w:val="left"/>
        <w:divId w:val="2078279410"/>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A7ECD" w:rsidRDefault="003A7ECD">
      <w:pPr>
        <w:spacing w:line="360" w:lineRule="auto"/>
        <w:jc w:val="left"/>
        <w:divId w:val="209443145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A7ECD" w:rsidRDefault="003A7ECD">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4</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28</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3A7ECD" w:rsidRDefault="003A7ECD">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3A7ECD" w:rsidRDefault="003A7ECD">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54351655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54351655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7ECD" w:rsidRDefault="003A7EC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CD" w:rsidRDefault="003A7EC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CD" w:rsidRDefault="003A7EC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A7ECD" w:rsidRDefault="003A7ECD">
            <w:pPr>
              <w:widowControl/>
              <w:jc w:val="left"/>
            </w:pPr>
          </w:p>
        </w:tc>
      </w:tr>
      <w:tr w:rsidR="00000000">
        <w:trPr>
          <w:divId w:val="54351655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杨景</w:t>
            </w:r>
            <w:r>
              <w:rPr>
                <w:rFonts w:ascii="宋体" w:hAnsi="宋体" w:hint="eastAsia"/>
                <w:szCs w:val="24"/>
                <w:lang w:eastAsia="zh-Hans"/>
              </w:rPr>
              <w:t>喻</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w:t>
            </w:r>
            <w:r>
              <w:rPr>
                <w:rFonts w:ascii="宋体" w:hAnsi="宋体" w:hint="eastAsia"/>
                <w:szCs w:val="24"/>
                <w:lang w:eastAsia="zh-Hans"/>
              </w:rPr>
              <w:t>24</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szCs w:val="24"/>
                <w:lang w:eastAsia="zh-Hans"/>
              </w:rPr>
              <w:t>杨景喻先生曾任广发基金管理有限公司研究员。</w:t>
            </w: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，历任行业专家、基金经理助理、基金经理，现任高级基金经理</w:t>
            </w:r>
            <w:r>
              <w:rPr>
                <w:rFonts w:ascii="宋体" w:hAnsi="宋体" w:hint="eastAsia"/>
                <w:szCs w:val="24"/>
                <w:lang w:eastAsia="zh-Hans"/>
              </w:rPr>
              <w:t>。</w:t>
            </w:r>
          </w:p>
        </w:tc>
      </w:tr>
    </w:tbl>
    <w:p w:rsidR="003A7ECD" w:rsidRDefault="003A7ECD">
      <w:pPr>
        <w:wordWrap w:val="0"/>
        <w:spacing w:line="360" w:lineRule="auto"/>
        <w:jc w:val="left"/>
        <w:divId w:val="1164509549"/>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3A7ECD" w:rsidRDefault="003A7ECD">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3A7ECD" w:rsidRDefault="003A7ECD">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3A7ECD" w:rsidRDefault="003A7ECD">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3A7ECD" w:rsidRDefault="003A7ECD">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3A7ECD" w:rsidRDefault="003A7ECD">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3A7ECD" w:rsidRDefault="003A7ECD">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3A7ECD" w:rsidRDefault="003A7ECD">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3A7ECD" w:rsidRDefault="003A7ECD">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3A7ECD" w:rsidRDefault="003A7ECD">
      <w:pPr>
        <w:spacing w:line="360" w:lineRule="auto"/>
        <w:ind w:firstLineChars="200" w:firstLine="420"/>
        <w:jc w:val="left"/>
        <w:rPr>
          <w:rFonts w:hint="eastAsia"/>
        </w:rPr>
      </w:pPr>
      <w:r>
        <w:rPr>
          <w:rFonts w:ascii="宋体" w:hAnsi="宋体" w:cs="宋体" w:hint="eastAsia"/>
          <w:color w:val="000000"/>
          <w:kern w:val="0"/>
        </w:rPr>
        <w:t>本季度市场整体上涨，沪深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，创业板指上涨</w:t>
      </w:r>
      <w:r>
        <w:rPr>
          <w:rFonts w:ascii="宋体" w:hAnsi="宋体" w:cs="宋体" w:hint="eastAsia"/>
          <w:color w:val="000000"/>
          <w:kern w:val="0"/>
        </w:rPr>
        <w:t>36.35%</w:t>
      </w:r>
      <w:r>
        <w:rPr>
          <w:rFonts w:ascii="宋体" w:hAnsi="宋体" w:cs="宋体" w:hint="eastAsia"/>
          <w:color w:val="000000"/>
          <w:kern w:val="0"/>
        </w:rPr>
        <w:t>，科创板综指上涨</w:t>
      </w:r>
      <w:r>
        <w:rPr>
          <w:rFonts w:ascii="宋体" w:hAnsi="宋体" w:cs="宋体" w:hint="eastAsia"/>
          <w:color w:val="000000"/>
          <w:kern w:val="0"/>
        </w:rPr>
        <w:t>55.71%</w:t>
      </w:r>
      <w:r>
        <w:rPr>
          <w:rFonts w:ascii="宋体" w:hAnsi="宋体" w:cs="宋体" w:hint="eastAsia"/>
          <w:color w:val="000000"/>
          <w:kern w:val="0"/>
        </w:rPr>
        <w:t>。市场结构分化极为明显，行业上看，受到</w:t>
      </w:r>
      <w:r>
        <w:rPr>
          <w:rFonts w:ascii="宋体" w:hAnsi="宋体" w:cs="宋体" w:hint="eastAsia"/>
          <w:color w:val="000000"/>
          <w:kern w:val="0"/>
        </w:rPr>
        <w:t>AI</w:t>
      </w:r>
      <w:r>
        <w:rPr>
          <w:rFonts w:ascii="宋体" w:hAnsi="宋体" w:cs="宋体" w:hint="eastAsia"/>
          <w:color w:val="000000"/>
          <w:kern w:val="0"/>
        </w:rPr>
        <w:t>需求带动的电子、通信等科技板块大幅上涨，但传统行业则多数下跌。</w:t>
      </w:r>
      <w:r>
        <w:rPr>
          <w:rFonts w:ascii="宋体" w:hAnsi="宋体" w:cs="宋体" w:hint="eastAsia"/>
          <w:color w:val="000000"/>
          <w:kern w:val="0"/>
        </w:rPr>
        <w:t>6</w:t>
      </w:r>
      <w:r>
        <w:rPr>
          <w:rFonts w:ascii="宋体" w:hAnsi="宋体" w:cs="宋体" w:hint="eastAsia"/>
          <w:color w:val="000000"/>
          <w:kern w:val="0"/>
        </w:rPr>
        <w:t>月下旬开始，市场波动率显著增大，部分前期大幅上涨的板块出现日度的暴跌。在二季度我们增加了对通信、半导体等科技公司的投资，获得了超额收益。</w:t>
      </w:r>
      <w:r>
        <w:rPr>
          <w:rFonts w:ascii="宋体" w:hAnsi="宋体" w:cs="宋体" w:hint="eastAsia"/>
          <w:color w:val="000000"/>
          <w:kern w:val="0"/>
        </w:rPr>
        <w:br/>
      </w:r>
      <w:r>
        <w:rPr>
          <w:rFonts w:ascii="宋体" w:hAnsi="宋体" w:cs="宋体" w:hint="eastAsia"/>
          <w:color w:val="000000"/>
          <w:kern w:val="0"/>
        </w:rPr>
        <w:t xml:space="preserve">　　相对疲弱的宏观经济和如火如荼的全球</w:t>
      </w:r>
      <w:r>
        <w:rPr>
          <w:rFonts w:ascii="宋体" w:hAnsi="宋体" w:cs="宋体" w:hint="eastAsia"/>
          <w:color w:val="000000"/>
          <w:kern w:val="0"/>
        </w:rPr>
        <w:t>AI</w:t>
      </w:r>
      <w:r>
        <w:rPr>
          <w:rFonts w:ascii="宋体" w:hAnsi="宋体" w:cs="宋体" w:hint="eastAsia"/>
          <w:color w:val="000000"/>
          <w:kern w:val="0"/>
        </w:rPr>
        <w:t>需求共同带来了这一个季度的结构行情。从估值的角度，板块之间的割裂程度持续放大、呈现</w:t>
      </w:r>
      <w:r>
        <w:rPr>
          <w:rFonts w:ascii="宋体" w:hAnsi="宋体" w:cs="宋体" w:hint="eastAsia"/>
          <w:color w:val="000000"/>
          <w:kern w:val="0"/>
        </w:rPr>
        <w:t>K</w:t>
      </w:r>
      <w:r>
        <w:rPr>
          <w:rFonts w:ascii="宋体" w:hAnsi="宋体" w:cs="宋体" w:hint="eastAsia"/>
          <w:color w:val="000000"/>
          <w:kern w:val="0"/>
        </w:rPr>
        <w:t>型分化。</w:t>
      </w:r>
      <w:r>
        <w:rPr>
          <w:rFonts w:ascii="宋体" w:hAnsi="宋体" w:cs="宋体" w:hint="eastAsia"/>
          <w:color w:val="000000"/>
          <w:kern w:val="0"/>
        </w:rPr>
        <w:t>K</w:t>
      </w:r>
      <w:r>
        <w:rPr>
          <w:rFonts w:ascii="宋体" w:hAnsi="宋体" w:cs="宋体" w:hint="eastAsia"/>
          <w:color w:val="000000"/>
          <w:kern w:val="0"/>
        </w:rPr>
        <w:t>型向上的板块持续往更远端的年度提升估值，而</w:t>
      </w:r>
      <w:r>
        <w:rPr>
          <w:rFonts w:ascii="宋体" w:hAnsi="宋体" w:cs="宋体" w:hint="eastAsia"/>
          <w:color w:val="000000"/>
          <w:kern w:val="0"/>
        </w:rPr>
        <w:t>K</w:t>
      </w:r>
      <w:r>
        <w:rPr>
          <w:rFonts w:ascii="宋体" w:hAnsi="宋体" w:cs="宋体" w:hint="eastAsia"/>
          <w:color w:val="000000"/>
          <w:kern w:val="0"/>
        </w:rPr>
        <w:t>型向下的板块则在今年已经不贵的估值基础上继续降低。部分参与行情的资金带有量化属性，并非完全的基本面驱动，因此在这个位置市场出现调整也将是正常现象。</w:t>
      </w:r>
      <w:r>
        <w:rPr>
          <w:rFonts w:ascii="宋体" w:hAnsi="宋体" w:cs="宋体" w:hint="eastAsia"/>
          <w:color w:val="000000"/>
          <w:kern w:val="0"/>
        </w:rPr>
        <w:br/>
      </w:r>
      <w:r>
        <w:rPr>
          <w:rFonts w:ascii="宋体" w:hAnsi="宋体" w:cs="宋体" w:hint="eastAsia"/>
          <w:color w:val="000000"/>
          <w:kern w:val="0"/>
        </w:rPr>
        <w:t xml:space="preserve">　　面对短期的潜在调整，我们看到不仅在国内，在美国、韩国都出现了“</w:t>
      </w:r>
      <w:r>
        <w:rPr>
          <w:rFonts w:ascii="宋体" w:hAnsi="宋体" w:cs="宋体" w:hint="eastAsia"/>
          <w:color w:val="000000"/>
          <w:kern w:val="0"/>
        </w:rPr>
        <w:t>AI</w:t>
      </w:r>
      <w:r>
        <w:rPr>
          <w:rFonts w:ascii="宋体" w:hAnsi="宋体" w:cs="宋体" w:hint="eastAsia"/>
          <w:color w:val="000000"/>
          <w:kern w:val="0"/>
        </w:rPr>
        <w:t>泡沫论”，将本轮行情和</w:t>
      </w:r>
      <w:r>
        <w:rPr>
          <w:rFonts w:ascii="宋体" w:hAnsi="宋体" w:cs="宋体" w:hint="eastAsia"/>
          <w:color w:val="000000"/>
          <w:kern w:val="0"/>
        </w:rPr>
        <w:t>2000</w:t>
      </w:r>
      <w:r>
        <w:rPr>
          <w:rFonts w:ascii="宋体" w:hAnsi="宋体" w:cs="宋体" w:hint="eastAsia"/>
          <w:color w:val="000000"/>
          <w:kern w:val="0"/>
        </w:rPr>
        <w:t>年科网泡沫相提并论。我们一向认为，历史屡屡重复，但不能简单类比，需要对历史事件的全过程进行复盘对比，方能得到相对可靠的结论。如美国</w:t>
      </w:r>
      <w:r>
        <w:rPr>
          <w:rFonts w:ascii="宋体" w:hAnsi="宋体" w:cs="宋体" w:hint="eastAsia"/>
          <w:color w:val="000000"/>
          <w:kern w:val="0"/>
        </w:rPr>
        <w:t>2000</w:t>
      </w:r>
      <w:r>
        <w:rPr>
          <w:rFonts w:ascii="宋体" w:hAnsi="宋体" w:cs="宋体" w:hint="eastAsia"/>
          <w:color w:val="000000"/>
          <w:kern w:val="0"/>
        </w:rPr>
        <w:t>年的科网泡沫，起始点并不在</w:t>
      </w:r>
      <w:r>
        <w:rPr>
          <w:rFonts w:ascii="宋体" w:hAnsi="宋体" w:cs="宋体" w:hint="eastAsia"/>
          <w:color w:val="000000"/>
          <w:kern w:val="0"/>
        </w:rPr>
        <w:t>1999</w:t>
      </w:r>
      <w:r>
        <w:rPr>
          <w:rFonts w:ascii="宋体" w:hAnsi="宋体" w:cs="宋体" w:hint="eastAsia"/>
          <w:color w:val="000000"/>
          <w:kern w:val="0"/>
        </w:rPr>
        <w:t>年，而是源自</w:t>
      </w:r>
      <w:r>
        <w:rPr>
          <w:rFonts w:ascii="宋体" w:hAnsi="宋体" w:cs="宋体" w:hint="eastAsia"/>
          <w:color w:val="000000"/>
          <w:kern w:val="0"/>
        </w:rPr>
        <w:t>1993</w:t>
      </w:r>
      <w:r>
        <w:rPr>
          <w:rFonts w:ascii="宋体" w:hAnsi="宋体" w:cs="宋体" w:hint="eastAsia"/>
          <w:color w:val="000000"/>
          <w:kern w:val="0"/>
        </w:rPr>
        <w:t>年克林顿政府正式推出的“信息高速公路”计划，其规划长达</w:t>
      </w:r>
      <w:r>
        <w:rPr>
          <w:rFonts w:ascii="宋体" w:hAnsi="宋体" w:cs="宋体" w:hint="eastAsia"/>
          <w:color w:val="000000"/>
          <w:kern w:val="0"/>
        </w:rPr>
        <w:t>20</w:t>
      </w:r>
      <w:r>
        <w:rPr>
          <w:rFonts w:ascii="宋体" w:hAnsi="宋体" w:cs="宋体" w:hint="eastAsia"/>
          <w:color w:val="000000"/>
          <w:kern w:val="0"/>
        </w:rPr>
        <w:t>年，期间推动了美国电信法案的修改，以及全球发达国家信息基础设施的大力投资。市场所记得的，往往是科网泡沫代表龙头白马企业思科和高通，其在泡沫破灭的前一年即</w:t>
      </w:r>
      <w:r>
        <w:rPr>
          <w:rFonts w:ascii="宋体" w:hAnsi="宋体" w:cs="宋体" w:hint="eastAsia"/>
          <w:color w:val="000000"/>
          <w:kern w:val="0"/>
        </w:rPr>
        <w:t>1999</w:t>
      </w:r>
      <w:r>
        <w:rPr>
          <w:rFonts w:ascii="宋体" w:hAnsi="宋体" w:cs="宋体" w:hint="eastAsia"/>
          <w:color w:val="000000"/>
          <w:kern w:val="0"/>
        </w:rPr>
        <w:t>年分别上涨</w:t>
      </w:r>
      <w:r>
        <w:rPr>
          <w:rFonts w:ascii="宋体" w:hAnsi="宋体" w:cs="宋体" w:hint="eastAsia"/>
          <w:color w:val="000000"/>
          <w:kern w:val="0"/>
        </w:rPr>
        <w:t>131%</w:t>
      </w:r>
      <w:r>
        <w:rPr>
          <w:rFonts w:ascii="宋体" w:hAnsi="宋体" w:cs="宋体" w:hint="eastAsia"/>
          <w:color w:val="000000"/>
          <w:kern w:val="0"/>
        </w:rPr>
        <w:t>和</w:t>
      </w:r>
      <w:r>
        <w:rPr>
          <w:rFonts w:ascii="宋体" w:hAnsi="宋体" w:cs="宋体" w:hint="eastAsia"/>
          <w:color w:val="000000"/>
          <w:kern w:val="0"/>
        </w:rPr>
        <w:t>2620%</w:t>
      </w:r>
      <w:r>
        <w:rPr>
          <w:rFonts w:ascii="宋体" w:hAnsi="宋体" w:cs="宋体" w:hint="eastAsia"/>
          <w:color w:val="000000"/>
          <w:kern w:val="0"/>
        </w:rPr>
        <w:t>。然而，市场较少提及思科从</w:t>
      </w:r>
      <w:r>
        <w:rPr>
          <w:rFonts w:ascii="宋体" w:hAnsi="宋体" w:cs="宋体" w:hint="eastAsia"/>
          <w:color w:val="000000"/>
          <w:kern w:val="0"/>
        </w:rPr>
        <w:t>1993</w:t>
      </w:r>
      <w:r>
        <w:rPr>
          <w:rFonts w:ascii="宋体" w:hAnsi="宋体" w:cs="宋体" w:hint="eastAsia"/>
          <w:color w:val="000000"/>
          <w:kern w:val="0"/>
        </w:rPr>
        <w:t>年开始每年都持续上涨，到</w:t>
      </w:r>
      <w:r>
        <w:rPr>
          <w:rFonts w:ascii="宋体" w:hAnsi="宋体" w:cs="宋体" w:hint="eastAsia"/>
          <w:color w:val="000000"/>
          <w:kern w:val="0"/>
        </w:rPr>
        <w:t>1999</w:t>
      </w:r>
      <w:r>
        <w:rPr>
          <w:rFonts w:ascii="宋体" w:hAnsi="宋体" w:cs="宋体" w:hint="eastAsia"/>
          <w:color w:val="000000"/>
          <w:kern w:val="0"/>
        </w:rPr>
        <w:t>年累计涨幅高达</w:t>
      </w:r>
      <w:r>
        <w:rPr>
          <w:rFonts w:ascii="宋体" w:hAnsi="宋体" w:cs="宋体" w:hint="eastAsia"/>
          <w:color w:val="000000"/>
          <w:kern w:val="0"/>
        </w:rPr>
        <w:t>48</w:t>
      </w:r>
      <w:r>
        <w:rPr>
          <w:rFonts w:ascii="宋体" w:hAnsi="宋体" w:cs="宋体" w:hint="eastAsia"/>
          <w:color w:val="000000"/>
          <w:kern w:val="0"/>
        </w:rPr>
        <w:t>倍。高通也类似，累计涨幅高达</w:t>
      </w:r>
      <w:r>
        <w:rPr>
          <w:rFonts w:ascii="宋体" w:hAnsi="宋体" w:cs="宋体" w:hint="eastAsia"/>
          <w:color w:val="000000"/>
          <w:kern w:val="0"/>
        </w:rPr>
        <w:t>115</w:t>
      </w:r>
      <w:r>
        <w:rPr>
          <w:rFonts w:ascii="宋体" w:hAnsi="宋体" w:cs="宋体" w:hint="eastAsia"/>
          <w:color w:val="000000"/>
          <w:kern w:val="0"/>
        </w:rPr>
        <w:t>倍。另一方面，</w:t>
      </w:r>
      <w:r>
        <w:rPr>
          <w:rFonts w:ascii="宋体" w:hAnsi="宋体" w:cs="宋体" w:hint="eastAsia"/>
          <w:color w:val="000000"/>
          <w:kern w:val="0"/>
        </w:rPr>
        <w:t xml:space="preserve"> 1999</w:t>
      </w:r>
      <w:r>
        <w:rPr>
          <w:rFonts w:ascii="宋体" w:hAnsi="宋体" w:cs="宋体" w:hint="eastAsia"/>
          <w:color w:val="000000"/>
          <w:kern w:val="0"/>
        </w:rPr>
        <w:t>年泡沫的信号已较为明确，一个上市企业只需要开设一个网站便能获得大幅上涨。而本轮的</w:t>
      </w:r>
      <w:r>
        <w:rPr>
          <w:rFonts w:ascii="宋体" w:hAnsi="宋体" w:cs="宋体" w:hint="eastAsia"/>
          <w:color w:val="000000"/>
          <w:kern w:val="0"/>
        </w:rPr>
        <w:t>AI</w:t>
      </w:r>
      <w:r>
        <w:rPr>
          <w:rFonts w:ascii="宋体" w:hAnsi="宋体" w:cs="宋体" w:hint="eastAsia"/>
          <w:color w:val="000000"/>
          <w:kern w:val="0"/>
        </w:rPr>
        <w:t>需求，已经直接体现在部分企业功能中对人力的高效替代，并且对云厂商和部分大模型企业带来巨量的收入，从海量投入到功能提升，再到收入提升反哺投入的飞轮效应隐约成型。我们有理由相信，到目前，</w:t>
      </w:r>
      <w:r>
        <w:rPr>
          <w:rFonts w:ascii="宋体" w:hAnsi="宋体" w:cs="宋体" w:hint="eastAsia"/>
          <w:color w:val="000000"/>
          <w:kern w:val="0"/>
        </w:rPr>
        <w:t>AI</w:t>
      </w:r>
      <w:r>
        <w:rPr>
          <w:rFonts w:ascii="宋体" w:hAnsi="宋体" w:cs="宋体" w:hint="eastAsia"/>
          <w:color w:val="000000"/>
          <w:kern w:val="0"/>
        </w:rPr>
        <w:t>的需求是实实在在的，仍然具备相当大的提升空间。</w:t>
      </w:r>
      <w:r>
        <w:rPr>
          <w:rFonts w:ascii="宋体" w:hAnsi="宋体" w:cs="宋体" w:hint="eastAsia"/>
          <w:color w:val="000000"/>
          <w:kern w:val="0"/>
        </w:rPr>
        <w:br/>
      </w:r>
      <w:r>
        <w:rPr>
          <w:rFonts w:ascii="宋体" w:hAnsi="宋体" w:cs="宋体" w:hint="eastAsia"/>
          <w:color w:val="000000"/>
          <w:kern w:val="0"/>
        </w:rPr>
        <w:t xml:space="preserve">　　此外，在中国政府的各项政策中，对科技产业的支持极为明确，“科技立国”的观念深入人心。同时，面对较弱的宏观经济，国内也会有更大的政策力度来应对，如果政策能够带来改善，那么市场也会变得更为均衡。</w:t>
      </w:r>
      <w:r>
        <w:rPr>
          <w:rFonts w:ascii="宋体" w:hAnsi="宋体" w:cs="宋体" w:hint="eastAsia"/>
          <w:color w:val="000000"/>
          <w:kern w:val="0"/>
        </w:rPr>
        <w:br/>
      </w:r>
      <w:r>
        <w:rPr>
          <w:rFonts w:ascii="宋体" w:hAnsi="宋体" w:cs="宋体" w:hint="eastAsia"/>
          <w:color w:val="000000"/>
          <w:kern w:val="0"/>
        </w:rPr>
        <w:t xml:space="preserve">　　我们继续看好以</w:t>
      </w:r>
      <w:r>
        <w:rPr>
          <w:rFonts w:ascii="宋体" w:hAnsi="宋体" w:cs="宋体" w:hint="eastAsia"/>
          <w:color w:val="000000"/>
          <w:kern w:val="0"/>
        </w:rPr>
        <w:t>AI</w:t>
      </w:r>
      <w:r>
        <w:rPr>
          <w:rFonts w:ascii="宋体" w:hAnsi="宋体" w:cs="宋体" w:hint="eastAsia"/>
          <w:color w:val="000000"/>
          <w:kern w:val="0"/>
        </w:rPr>
        <w:t>为代表的优质科技企业，同时也会对非基本面因素驱动的估值过度提升保持警惕，市场中仍然存在较多被低估的机会，包括但不局限在科技领域，我们将加大对这些机会的发掘和布局</w:t>
      </w:r>
      <w:r>
        <w:rPr>
          <w:rFonts w:ascii="宋体" w:hAnsi="宋体" w:cs="宋体" w:hint="eastAsia"/>
          <w:color w:val="000000"/>
          <w:kern w:val="0"/>
        </w:rPr>
        <w:t>。</w:t>
      </w:r>
    </w:p>
    <w:p w:rsidR="003A7ECD" w:rsidRDefault="003A7ECD">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3A7ECD" w:rsidRDefault="003A7ECD">
      <w:pPr>
        <w:spacing w:line="360" w:lineRule="auto"/>
        <w:ind w:firstLineChars="200" w:firstLine="420"/>
        <w:rPr>
          <w:rFonts w:hint="eastAsia"/>
        </w:rPr>
      </w:pPr>
      <w:r>
        <w:rPr>
          <w:rFonts w:ascii="宋体" w:hAnsi="宋体" w:hint="eastAsia"/>
        </w:rPr>
        <w:t>本报告期摩根整合驱动混合</w:t>
      </w:r>
      <w:r>
        <w:rPr>
          <w:rFonts w:ascii="宋体" w:hAnsi="宋体" w:hint="eastAsia"/>
        </w:rPr>
        <w:t>A</w:t>
      </w:r>
      <w:r>
        <w:rPr>
          <w:rFonts w:ascii="宋体" w:hAnsi="宋体" w:hint="eastAsia"/>
        </w:rPr>
        <w:t>份额净值增长率为：</w:t>
      </w:r>
      <w:r>
        <w:rPr>
          <w:rFonts w:ascii="宋体" w:hAnsi="宋体" w:hint="eastAsia"/>
        </w:rPr>
        <w:t>57.76%</w:t>
      </w:r>
      <w:r>
        <w:rPr>
          <w:rFonts w:ascii="宋体" w:hAnsi="宋体" w:hint="eastAsia"/>
        </w:rPr>
        <w:t>，同期业绩比较基准收益率为：</w:t>
      </w:r>
      <w:r>
        <w:rPr>
          <w:rFonts w:ascii="宋体" w:hAnsi="宋体" w:hint="eastAsia"/>
        </w:rPr>
        <w:t>8.43%</w:t>
      </w:r>
      <w:r>
        <w:rPr>
          <w:rFonts w:ascii="宋体" w:hAnsi="宋体" w:hint="eastAsia"/>
        </w:rPr>
        <w:t>；</w:t>
      </w:r>
      <w:r>
        <w:rPr>
          <w:rFonts w:ascii="宋体" w:hAnsi="宋体" w:hint="eastAsia"/>
        </w:rPr>
        <w:br/>
      </w:r>
      <w:r>
        <w:rPr>
          <w:rFonts w:ascii="宋体" w:hAnsi="宋体" w:hint="eastAsia"/>
        </w:rPr>
        <w:t xml:space="preserve">　　摩根整合驱动混合</w:t>
      </w:r>
      <w:r>
        <w:rPr>
          <w:rFonts w:ascii="宋体" w:hAnsi="宋体" w:hint="eastAsia"/>
        </w:rPr>
        <w:t>C</w:t>
      </w:r>
      <w:r>
        <w:rPr>
          <w:rFonts w:ascii="宋体" w:hAnsi="宋体" w:hint="eastAsia"/>
        </w:rPr>
        <w:t>份额净值增长率为：</w:t>
      </w:r>
      <w:r>
        <w:rPr>
          <w:rFonts w:ascii="宋体" w:hAnsi="宋体" w:hint="eastAsia"/>
        </w:rPr>
        <w:t>57.54%</w:t>
      </w:r>
      <w:r>
        <w:rPr>
          <w:rFonts w:ascii="宋体" w:hAnsi="宋体" w:hint="eastAsia"/>
        </w:rPr>
        <w:t>，同期业绩比较基准收益率为：</w:t>
      </w:r>
      <w:r>
        <w:rPr>
          <w:rFonts w:ascii="宋体" w:hAnsi="宋体" w:hint="eastAsia"/>
        </w:rPr>
        <w:t>8.43%</w:t>
      </w:r>
      <w:r>
        <w:rPr>
          <w:rFonts w:ascii="宋体" w:hAnsi="宋体" w:hint="eastAsia"/>
        </w:rPr>
        <w:t>。</w:t>
      </w:r>
    </w:p>
    <w:p w:rsidR="003A7ECD" w:rsidRDefault="003A7ECD">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3A7ECD" w:rsidRDefault="003A7ECD">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3A7ECD" w:rsidRDefault="003A7ECD">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3A7ECD" w:rsidRDefault="003A7ECD">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335,635,539.5</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88.8</w:t>
            </w:r>
            <w:r>
              <w:rPr>
                <w:rFonts w:ascii="宋体" w:hAnsi="宋体" w:hint="eastAsia"/>
                <w:szCs w:val="24"/>
                <w:lang w:eastAsia="zh-Hans"/>
              </w:rPr>
              <w:t>7</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335,635,539.5</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88.8</w:t>
            </w:r>
            <w:r>
              <w:rPr>
                <w:rFonts w:ascii="宋体" w:hAnsi="宋体" w:hint="eastAsia"/>
                <w:szCs w:val="24"/>
                <w:lang w:eastAsia="zh-Hans"/>
              </w:rPr>
              <w:t>7</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142,004.3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142,004.3</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40,184,375.1</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10.6</w:t>
            </w:r>
            <w:r>
              <w:rPr>
                <w:rFonts w:ascii="宋体" w:hAnsi="宋体" w:hint="eastAsia"/>
                <w:szCs w:val="24"/>
                <w:lang w:eastAsia="zh-Hans"/>
              </w:rPr>
              <w:t>4</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1,713,337.1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1091662754"/>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3A7ECD" w:rsidRDefault="003A7EC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377,675,256.2</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100.0</w:t>
            </w:r>
            <w:r>
              <w:rPr>
                <w:rFonts w:ascii="宋体" w:hAnsi="宋体" w:hint="eastAsia"/>
                <w:szCs w:val="24"/>
                <w:lang w:eastAsia="zh-Hans"/>
              </w:rPr>
              <w:t>0</w:t>
            </w:r>
          </w:p>
        </w:tc>
      </w:tr>
    </w:tbl>
    <w:p w:rsidR="003A7ECD" w:rsidRDefault="003A7ECD">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3A7ECD" w:rsidRDefault="003A7ECD">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29028143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A7ECD" w:rsidRDefault="003A7ECD">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3A7ECD" w:rsidRDefault="003A7ECD">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101.6</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321,363,295.5</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85.5</w:t>
            </w:r>
            <w:r>
              <w:rPr>
                <w:rFonts w:ascii="宋体" w:hAnsi="宋体" w:hint="eastAsia"/>
                <w:szCs w:val="24"/>
                <w:lang w:eastAsia="zh-Hans"/>
              </w:rPr>
              <w:t>3</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8,947,844.4</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2.3</w:t>
            </w:r>
            <w:r>
              <w:rPr>
                <w:rFonts w:ascii="宋体" w:hAnsi="宋体" w:hint="eastAsia"/>
                <w:szCs w:val="24"/>
                <w:lang w:eastAsia="zh-Hans"/>
              </w:rPr>
              <w:t>8</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4,408,194.0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1.1</w:t>
            </w:r>
            <w:r>
              <w:rPr>
                <w:rFonts w:ascii="宋体" w:hAnsi="宋体" w:hint="eastAsia"/>
                <w:szCs w:val="24"/>
                <w:lang w:eastAsia="zh-Hans"/>
              </w:rPr>
              <w:t>7</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916,104.0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0.2</w:t>
            </w:r>
            <w:r>
              <w:rPr>
                <w:rFonts w:ascii="宋体" w:hAnsi="宋体" w:hint="eastAsia"/>
                <w:szCs w:val="24"/>
                <w:lang w:eastAsia="zh-Hans"/>
              </w:rPr>
              <w:t>4</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w:t>
            </w:r>
          </w:p>
        </w:tc>
      </w:tr>
      <w:tr w:rsidR="00000000">
        <w:trPr>
          <w:divId w:val="29028143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A7ECD" w:rsidRDefault="003A7ECD">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A7ECD" w:rsidRDefault="003A7ECD">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A7ECD" w:rsidRDefault="003A7ECD">
            <w:pPr>
              <w:jc w:val="right"/>
            </w:pPr>
            <w:r>
              <w:rPr>
                <w:rFonts w:ascii="宋体" w:hAnsi="宋体" w:hint="eastAsia"/>
                <w:szCs w:val="24"/>
                <w:lang w:eastAsia="zh-Hans"/>
              </w:rPr>
              <w:t>335,635,539.5</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A7ECD" w:rsidRDefault="003A7ECD">
            <w:pPr>
              <w:jc w:val="right"/>
            </w:pPr>
            <w:r>
              <w:rPr>
                <w:rFonts w:ascii="宋体" w:hAnsi="宋体" w:hint="eastAsia"/>
                <w:szCs w:val="24"/>
                <w:lang w:eastAsia="zh-Hans"/>
              </w:rPr>
              <w:t>89.3</w:t>
            </w:r>
            <w:r>
              <w:rPr>
                <w:rFonts w:ascii="宋体" w:hAnsi="宋体" w:hint="eastAsia"/>
                <w:szCs w:val="24"/>
                <w:lang w:eastAsia="zh-Hans"/>
              </w:rPr>
              <w:t>3</w:t>
            </w:r>
          </w:p>
        </w:tc>
      </w:tr>
    </w:tbl>
    <w:p w:rsidR="003A7ECD" w:rsidRDefault="003A7ECD">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3A7ECD" w:rsidRDefault="003A7ECD">
      <w:pPr>
        <w:spacing w:line="360" w:lineRule="auto"/>
        <w:ind w:firstLineChars="200" w:firstLine="420"/>
        <w:divId w:val="905798435"/>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3A7ECD" w:rsidRDefault="003A7ECD">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3A7ECD" w:rsidRDefault="003A7ECD">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59135224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129,01</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33,846,560.5</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9.0</w:t>
            </w:r>
            <w:r>
              <w:rPr>
                <w:rFonts w:ascii="宋体" w:hAnsi="宋体" w:hint="eastAsia"/>
                <w:szCs w:val="24"/>
                <w:lang w:eastAsia="zh-Hans"/>
              </w:rPr>
              <w:t>1</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24,62</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31,272,480.0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8.3</w:t>
            </w:r>
            <w:r>
              <w:rPr>
                <w:rFonts w:ascii="宋体" w:hAnsi="宋体" w:hint="eastAsia"/>
                <w:szCs w:val="24"/>
                <w:lang w:eastAsia="zh-Hans"/>
              </w:rPr>
              <w:t>2</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36,71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22,287,219.0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5.9</w:t>
            </w:r>
            <w:r>
              <w:rPr>
                <w:rFonts w:ascii="宋体" w:hAnsi="宋体" w:hint="eastAsia"/>
                <w:szCs w:val="24"/>
                <w:lang w:eastAsia="zh-Hans"/>
              </w:rPr>
              <w:t>3</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148,90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13,923,639.0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3.7</w:t>
            </w:r>
            <w:r>
              <w:rPr>
                <w:rFonts w:ascii="宋体" w:hAnsi="宋体" w:hint="eastAsia"/>
                <w:szCs w:val="24"/>
                <w:lang w:eastAsia="zh-Hans"/>
              </w:rPr>
              <w:t>1</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75,50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12,600,950.0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3.3</w:t>
            </w:r>
            <w:r>
              <w:rPr>
                <w:rFonts w:ascii="宋体" w:hAnsi="宋体" w:hint="eastAsia"/>
                <w:szCs w:val="24"/>
                <w:lang w:eastAsia="zh-Hans"/>
              </w:rPr>
              <w:t>5</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68834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36,01</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12,111,508.2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3.2</w:t>
            </w:r>
            <w:r>
              <w:rPr>
                <w:rFonts w:ascii="宋体" w:hAnsi="宋体" w:hint="eastAsia"/>
                <w:szCs w:val="24"/>
                <w:lang w:eastAsia="zh-Hans"/>
              </w:rPr>
              <w:t>2</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60054</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厦门钨</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123,90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10,556,280.0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2.8</w:t>
            </w:r>
            <w:r>
              <w:rPr>
                <w:rFonts w:ascii="宋体" w:hAnsi="宋体" w:hint="eastAsia"/>
                <w:szCs w:val="24"/>
                <w:lang w:eastAsia="zh-Hans"/>
              </w:rPr>
              <w:t>1</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60018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生益科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60,50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10,490,700.0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2.7</w:t>
            </w:r>
            <w:r>
              <w:rPr>
                <w:rFonts w:ascii="宋体" w:hAnsi="宋体" w:hint="eastAsia"/>
                <w:szCs w:val="24"/>
                <w:lang w:eastAsia="zh-Hans"/>
              </w:rPr>
              <w:t>9</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30,70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10,481,594.0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2.7</w:t>
            </w:r>
            <w:r>
              <w:rPr>
                <w:rFonts w:ascii="宋体" w:hAnsi="宋体" w:hint="eastAsia"/>
                <w:szCs w:val="24"/>
                <w:lang w:eastAsia="zh-Hans"/>
              </w:rPr>
              <w:t>9</w:t>
            </w:r>
          </w:p>
        </w:tc>
      </w:tr>
      <w:tr w:rsidR="00000000">
        <w:trPr>
          <w:divId w:val="59135224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60398</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兆易创</w:t>
            </w:r>
            <w:r>
              <w:rPr>
                <w:rFonts w:ascii="宋体" w:hAnsi="宋体" w:hint="eastAsia"/>
                <w:szCs w:val="24"/>
                <w:lang w:eastAsia="zh-Hans"/>
              </w:rPr>
              <w:t>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12,70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10,350,500.0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2.7</w:t>
            </w:r>
            <w:r>
              <w:rPr>
                <w:rFonts w:ascii="宋体" w:hAnsi="宋体" w:hint="eastAsia"/>
                <w:szCs w:val="24"/>
                <w:lang w:eastAsia="zh-Hans"/>
              </w:rPr>
              <w:t>5</w:t>
            </w:r>
          </w:p>
        </w:tc>
      </w:tr>
    </w:tbl>
    <w:p w:rsidR="003A7ECD" w:rsidRDefault="003A7ECD">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142,004.3</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w:t>
            </w:r>
          </w:p>
        </w:tc>
      </w:tr>
      <w:tr w:rsidR="00000000">
        <w:trPr>
          <w:divId w:val="18313654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3A7ECD" w:rsidRDefault="003A7ECD">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142,004.3</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3A7ECD" w:rsidRDefault="003A7ECD">
            <w:pPr>
              <w:jc w:val="right"/>
            </w:pPr>
            <w:r>
              <w:rPr>
                <w:rFonts w:ascii="宋体" w:hAnsi="宋体" w:hint="eastAsia"/>
                <w:szCs w:val="24"/>
                <w:lang w:eastAsia="zh-Hans"/>
              </w:rPr>
              <w:t>0.0</w:t>
            </w:r>
            <w:r>
              <w:rPr>
                <w:rFonts w:ascii="宋体" w:hAnsi="宋体" w:hint="eastAsia"/>
                <w:szCs w:val="24"/>
                <w:lang w:eastAsia="zh-Hans"/>
              </w:rPr>
              <w:t>4</w:t>
            </w:r>
          </w:p>
        </w:tc>
      </w:tr>
    </w:tbl>
    <w:p w:rsidR="003A7ECD" w:rsidRDefault="003A7ECD">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31071749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1071749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1,42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142,004.3</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0.0</w:t>
            </w:r>
            <w:r>
              <w:rPr>
                <w:rFonts w:ascii="宋体" w:hAnsi="宋体" w:hint="eastAsia"/>
                <w:szCs w:val="24"/>
                <w:lang w:eastAsia="zh-Hans"/>
              </w:rPr>
              <w:t>4</w:t>
            </w:r>
          </w:p>
        </w:tc>
      </w:tr>
    </w:tbl>
    <w:p w:rsidR="003A7ECD" w:rsidRDefault="003A7ECD">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3A7ECD" w:rsidRDefault="003A7ECD">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3A7ECD" w:rsidRDefault="003A7ECD">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3A7ECD" w:rsidRDefault="003A7ECD">
      <w:pPr>
        <w:spacing w:line="360" w:lineRule="auto"/>
        <w:ind w:firstLineChars="200" w:firstLine="420"/>
        <w:divId w:val="1910648023"/>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3A7ECD" w:rsidRDefault="003A7ECD">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3A7ECD" w:rsidRDefault="003A7ECD">
      <w:pPr>
        <w:spacing w:line="360" w:lineRule="auto"/>
        <w:ind w:firstLineChars="200" w:firstLine="420"/>
        <w:divId w:val="1357535703"/>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3A7ECD" w:rsidRDefault="003A7ECD">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3A7ECD" w:rsidRDefault="003A7ECD">
      <w:pPr>
        <w:spacing w:line="360" w:lineRule="auto"/>
        <w:ind w:firstLineChars="200" w:firstLine="420"/>
        <w:divId w:val="1043753189"/>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3A7ECD" w:rsidRDefault="003A7ECD">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3A7ECD" w:rsidRDefault="003A7ECD">
      <w:pPr>
        <w:spacing w:line="360" w:lineRule="auto"/>
        <w:ind w:firstLineChars="200" w:firstLine="420"/>
        <w:divId w:val="1020283590"/>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3A7ECD" w:rsidRDefault="003A7ECD">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3A7ECD" w:rsidRDefault="003A7ECD">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3A7ECD" w:rsidRDefault="003A7ECD">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3A7ECD" w:rsidRDefault="003A7ECD">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3A7ECD" w:rsidRDefault="003A7ECD">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3A7ECD" w:rsidRDefault="003A7ECD">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38502941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A7ECD" w:rsidRDefault="003A7ECD">
            <w:pPr>
              <w:jc w:val="center"/>
            </w:pPr>
            <w:r>
              <w:rPr>
                <w:rFonts w:ascii="宋体" w:hAnsi="宋体" w:hint="eastAsia"/>
              </w:rPr>
              <w:t>金额（元</w:t>
            </w:r>
            <w:r>
              <w:rPr>
                <w:rFonts w:ascii="宋体" w:hAnsi="宋体" w:hint="eastAsia"/>
              </w:rPr>
              <w:t>）</w:t>
            </w:r>
            <w:r>
              <w:t xml:space="preserve"> </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86,201.4</w:t>
            </w:r>
            <w:r>
              <w:rPr>
                <w:rFonts w:ascii="宋体" w:hAnsi="宋体" w:hint="eastAsia"/>
              </w:rPr>
              <w:t>8</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368,097.0</w:t>
            </w:r>
            <w:r>
              <w:rPr>
                <w:rFonts w:ascii="宋体" w:hAnsi="宋体" w:hint="eastAsia"/>
              </w:rPr>
              <w:t>6</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1,259,038.6</w:t>
            </w:r>
            <w:r>
              <w:rPr>
                <w:rFonts w:ascii="宋体" w:hAnsi="宋体" w:hint="eastAsia"/>
              </w:rPr>
              <w:t>2</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w:t>
            </w:r>
          </w:p>
        </w:tc>
      </w:tr>
      <w:tr w:rsidR="00000000">
        <w:trPr>
          <w:divId w:val="38502941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1,713,337.1</w:t>
            </w:r>
            <w:r>
              <w:rPr>
                <w:rFonts w:ascii="宋体" w:hAnsi="宋体" w:hint="eastAsia"/>
              </w:rPr>
              <w:t>6</w:t>
            </w:r>
          </w:p>
        </w:tc>
      </w:tr>
    </w:tbl>
    <w:p w:rsidR="003A7ECD" w:rsidRDefault="003A7ECD">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3A7ECD" w:rsidRDefault="003A7ECD">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3A7ECD" w:rsidRDefault="003A7ECD">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3A7ECD" w:rsidRDefault="003A7ECD">
      <w:pPr>
        <w:spacing w:line="360" w:lineRule="auto"/>
        <w:ind w:firstLineChars="200" w:firstLine="420"/>
        <w:jc w:val="left"/>
        <w:divId w:val="846604328"/>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3A7ECD" w:rsidRDefault="003A7ECD">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3A7ECD" w:rsidRDefault="003A7ECD">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3A7ECD" w:rsidRDefault="003A7ECD">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3A7ECD" w:rsidRDefault="003A7ECD">
      <w:pPr>
        <w:wordWrap w:val="0"/>
        <w:spacing w:line="360" w:lineRule="auto"/>
        <w:jc w:val="right"/>
        <w:divId w:val="2131851907"/>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86"/>
        <w:gridCol w:w="2535"/>
      </w:tblGrid>
      <w:tr w:rsidR="00000000">
        <w:trPr>
          <w:divId w:val="213185190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A7ECD" w:rsidRDefault="003A7ECD">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ind w:right="3"/>
              <w:jc w:val="center"/>
            </w:pPr>
            <w:r>
              <w:rPr>
                <w:rFonts w:ascii="宋体" w:hAnsi="宋体" w:hint="eastAsia"/>
                <w:lang w:eastAsia="zh-Hans"/>
              </w:rPr>
              <w:t>摩根整合驱动混合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A7ECD" w:rsidRDefault="003A7ECD">
            <w:pPr>
              <w:ind w:right="3"/>
              <w:jc w:val="center"/>
            </w:pPr>
            <w:r>
              <w:rPr>
                <w:rFonts w:ascii="宋体" w:hAnsi="宋体" w:hint="eastAsia"/>
                <w:lang w:eastAsia="zh-Hans"/>
              </w:rPr>
              <w:t>摩根整合驱动混合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13185190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445,828,620.4</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1,966,288.8</w:t>
            </w:r>
            <w:r>
              <w:rPr>
                <w:rFonts w:ascii="宋体" w:hAnsi="宋体" w:hint="eastAsia"/>
              </w:rPr>
              <w:t>1</w:t>
            </w:r>
          </w:p>
        </w:tc>
      </w:tr>
      <w:tr w:rsidR="00000000">
        <w:trPr>
          <w:divId w:val="213185190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25,775,353.4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2,349,452.5</w:t>
            </w:r>
            <w:r>
              <w:rPr>
                <w:rFonts w:ascii="宋体" w:hAnsi="宋体" w:hint="eastAsia"/>
              </w:rPr>
              <w:t>6</w:t>
            </w:r>
          </w:p>
        </w:tc>
      </w:tr>
      <w:tr w:rsidR="00000000">
        <w:trPr>
          <w:divId w:val="213185190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37,187,636.2</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1,984,992.0</w:t>
            </w:r>
            <w:r>
              <w:rPr>
                <w:rFonts w:ascii="宋体" w:hAnsi="宋体" w:hint="eastAsia"/>
              </w:rPr>
              <w:t>5</w:t>
            </w:r>
          </w:p>
        </w:tc>
      </w:tr>
      <w:tr w:rsidR="00000000">
        <w:trPr>
          <w:divId w:val="213185190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w:t>
            </w:r>
          </w:p>
        </w:tc>
      </w:tr>
      <w:tr w:rsidR="00000000">
        <w:trPr>
          <w:divId w:val="213185190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434,416,337.6</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A7ECD" w:rsidRDefault="003A7ECD">
            <w:pPr>
              <w:jc w:val="right"/>
            </w:pPr>
            <w:r>
              <w:rPr>
                <w:rFonts w:ascii="宋体" w:hAnsi="宋体" w:hint="eastAsia"/>
              </w:rPr>
              <w:t>2,330,749.3</w:t>
            </w:r>
            <w:r>
              <w:rPr>
                <w:rFonts w:ascii="宋体" w:hAnsi="宋体" w:hint="eastAsia"/>
              </w:rPr>
              <w:t>2</w:t>
            </w:r>
          </w:p>
        </w:tc>
      </w:tr>
    </w:tbl>
    <w:p w:rsidR="003A7ECD" w:rsidRDefault="003A7ECD">
      <w:pPr>
        <w:spacing w:line="360" w:lineRule="auto"/>
        <w:jc w:val="left"/>
        <w:divId w:val="213185190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3A7ECD" w:rsidRDefault="003A7ECD">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3A7ECD" w:rsidRDefault="003A7ECD">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3A7ECD" w:rsidRDefault="003A7ECD">
      <w:pPr>
        <w:wordWrap w:val="0"/>
        <w:spacing w:line="360" w:lineRule="auto"/>
        <w:jc w:val="right"/>
        <w:divId w:val="1419015376"/>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419015376"/>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lang w:eastAsia="zh-Hans"/>
              </w:rPr>
              <w:t>摩根整合驱动混合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lang w:eastAsia="zh-Hans"/>
              </w:rPr>
              <w:t>摩根整合驱动混合</w:t>
            </w:r>
            <w:r>
              <w:rPr>
                <w:rFonts w:ascii="宋体" w:hAnsi="宋体" w:hint="eastAsia"/>
                <w:lang w:eastAsia="zh-Hans"/>
              </w:rPr>
              <w:t>C</w:t>
            </w:r>
            <w:r>
              <w:rPr>
                <w:rFonts w:ascii="宋体" w:hAnsi="宋体" w:hint="eastAsia"/>
                <w:color w:val="000000"/>
              </w:rPr>
              <w:t xml:space="preserve"> </w:t>
            </w:r>
          </w:p>
        </w:tc>
      </w:tr>
      <w:tr w:rsidR="00000000">
        <w:trPr>
          <w:divId w:val="141901537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rPr>
                <w:rFonts w:hint="eastAsia"/>
              </w:rPr>
            </w:pPr>
            <w:r>
              <w:rPr>
                <w:rFonts w:ascii="宋体" w:hAnsi="宋体" w:hint="eastAsia"/>
                <w:kern w:val="0"/>
                <w:szCs w:val="24"/>
                <w:lang w:eastAsia="zh-Hans"/>
              </w:rPr>
              <w:t>222,842.1</w:t>
            </w:r>
            <w:r>
              <w:rPr>
                <w:rFonts w:ascii="宋体" w:hAnsi="宋体" w:hint="eastAsia"/>
                <w:kern w:val="0"/>
                <w:szCs w:val="24"/>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kern w:val="0"/>
                <w:szCs w:val="24"/>
                <w:lang w:eastAsia="zh-Hans"/>
              </w:rPr>
              <w:t>-</w:t>
            </w:r>
          </w:p>
        </w:tc>
      </w:tr>
      <w:tr w:rsidR="00000000">
        <w:trPr>
          <w:divId w:val="141901537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szCs w:val="24"/>
                <w:lang w:eastAsia="zh-Hans"/>
              </w:rPr>
              <w:t>-</w:t>
            </w:r>
          </w:p>
        </w:tc>
      </w:tr>
      <w:tr w:rsidR="00000000">
        <w:trPr>
          <w:divId w:val="141901537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rPr>
                <w:rFonts w:hint="eastAsia"/>
              </w:rPr>
            </w:pPr>
            <w:r>
              <w:rPr>
                <w:rFonts w:ascii="宋体" w:hAnsi="宋体" w:hint="eastAsia"/>
                <w:lang w:eastAsia="zh-Hans"/>
              </w:rPr>
              <w:t>198,352.3</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lang w:eastAsia="zh-Hans"/>
              </w:rPr>
              <w:t>-</w:t>
            </w:r>
          </w:p>
        </w:tc>
      </w:tr>
      <w:tr w:rsidR="00000000">
        <w:trPr>
          <w:divId w:val="141901537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rPr>
                <w:rFonts w:hint="eastAsia"/>
              </w:rPr>
            </w:pPr>
            <w:r>
              <w:rPr>
                <w:rFonts w:ascii="宋体" w:hAnsi="宋体" w:hint="eastAsia"/>
                <w:lang w:eastAsia="zh-Hans"/>
              </w:rPr>
              <w:t>24,489.7</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lang w:eastAsia="zh-Hans"/>
              </w:rPr>
              <w:t>-</w:t>
            </w:r>
          </w:p>
        </w:tc>
      </w:tr>
      <w:tr w:rsidR="00000000">
        <w:trPr>
          <w:divId w:val="1419015376"/>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rPr>
                <w:rFonts w:hint="eastAsia"/>
              </w:rPr>
            </w:pPr>
            <w:r>
              <w:rPr>
                <w:rFonts w:ascii="宋体" w:hAnsi="宋体" w:hint="eastAsia"/>
                <w:lang w:eastAsia="zh-Hans"/>
              </w:rPr>
              <w:t>0.0</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lang w:eastAsia="zh-Hans"/>
              </w:rPr>
              <w:t>-</w:t>
            </w:r>
          </w:p>
        </w:tc>
      </w:tr>
    </w:tbl>
    <w:p w:rsidR="003A7ECD" w:rsidRDefault="003A7ECD">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559828711"/>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3A7ECD" w:rsidRDefault="003A7ECD">
            <w:pPr>
              <w:jc w:val="center"/>
            </w:pPr>
            <w:r>
              <w:rPr>
                <w:rFonts w:ascii="宋体" w:hAnsi="宋体" w:hint="eastAsia"/>
              </w:rPr>
              <w:t>适用费率</w:t>
            </w:r>
            <w:r>
              <w:rPr>
                <w:rFonts w:ascii="宋体" w:hAnsi="宋体" w:hint="eastAsia"/>
              </w:rPr>
              <w:t xml:space="preserve"> </w:t>
            </w:r>
          </w:p>
        </w:tc>
      </w:tr>
      <w:tr w:rsidR="00000000">
        <w:trPr>
          <w:divId w:val="155982871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-150,813.2</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-97,576.1</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w:t>
            </w:r>
            <w:r>
              <w:t xml:space="preserve"> </w:t>
            </w:r>
          </w:p>
        </w:tc>
      </w:tr>
      <w:tr w:rsidR="00000000">
        <w:trPr>
          <w:divId w:val="155982871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-23,769.5</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-15,325.0</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0.3</w:t>
            </w:r>
            <w:r>
              <w:rPr>
                <w:rFonts w:ascii="宋体" w:hAnsi="宋体" w:hint="eastAsia"/>
              </w:rPr>
              <w:t>5</w:t>
            </w:r>
            <w:r>
              <w:t xml:space="preserve">% </w:t>
            </w:r>
          </w:p>
        </w:tc>
      </w:tr>
      <w:tr w:rsidR="00000000">
        <w:trPr>
          <w:divId w:val="155982871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-23,769.5</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-16,465.4</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0.2</w:t>
            </w:r>
            <w:r>
              <w:rPr>
                <w:rFonts w:ascii="宋体" w:hAnsi="宋体" w:hint="eastAsia"/>
              </w:rPr>
              <w:t>0</w:t>
            </w:r>
            <w:r>
              <w:t xml:space="preserve">% </w:t>
            </w:r>
          </w:p>
        </w:tc>
      </w:tr>
      <w:tr w:rsidR="00000000">
        <w:trPr>
          <w:divId w:val="1559828711"/>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-198,352.3</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pPr>
              <w:jc w:val="right"/>
            </w:pPr>
            <w:r>
              <w:rPr>
                <w:rFonts w:ascii="宋体" w:hAnsi="宋体" w:hint="eastAsia"/>
              </w:rPr>
              <w:t>-129,366.6</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A7ECD" w:rsidRDefault="003A7ECD"/>
        </w:tc>
      </w:tr>
    </w:tbl>
    <w:p w:rsidR="003A7ECD" w:rsidRDefault="003A7ECD">
      <w:pPr>
        <w:spacing w:line="360" w:lineRule="auto"/>
        <w:jc w:val="left"/>
        <w:divId w:val="1706104016"/>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3A7ECD" w:rsidRDefault="003A7ECD">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3A7ECD" w:rsidRDefault="003A7ECD">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3A7ECD" w:rsidRDefault="003A7ECD">
      <w:pPr>
        <w:spacing w:line="360" w:lineRule="auto"/>
        <w:ind w:firstLineChars="200" w:firstLine="420"/>
        <w:divId w:val="2130004489"/>
        <w:rPr>
          <w:rFonts w:ascii="宋体" w:hAnsi="宋体" w:hint="eastAsia"/>
          <w:szCs w:val="21"/>
          <w:lang w:eastAsia="zh-Hans"/>
        </w:rPr>
      </w:pPr>
      <w:r>
        <w:rPr>
          <w:rFonts w:ascii="宋体" w:hAnsi="宋体" w:hint="eastAsia"/>
          <w:szCs w:val="21"/>
          <w:lang w:eastAsia="zh-Hans"/>
        </w:rPr>
        <w:t>无。</w:t>
      </w:r>
    </w:p>
    <w:p w:rsidR="003A7ECD" w:rsidRDefault="003A7ECD">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3A7ECD" w:rsidRDefault="003A7ECD">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3A7ECD" w:rsidRDefault="003A7ECD">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中国证监会批准本基金设立的文件；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《摩根整合驱动灵活配置混合型证券投资基金基金合同》；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《摩根整合驱动灵活配置混合型证券投资基金托管协议》；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3A7ECD" w:rsidRDefault="003A7ECD">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3A7ECD" w:rsidRDefault="003A7ECD">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3A7ECD" w:rsidRDefault="003A7ECD">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3A7ECD" w:rsidRDefault="003A7ECD">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3A7ECD" w:rsidRDefault="003A7EC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A7ECD" w:rsidRDefault="003A7EC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A7ECD" w:rsidRDefault="003A7ECD">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3A7ECD" w:rsidRDefault="003A7ECD">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3A7ECD">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ECD" w:rsidRDefault="003A7ECD">
      <w:pPr>
        <w:rPr>
          <w:szCs w:val="21"/>
        </w:rPr>
      </w:pPr>
      <w:r>
        <w:rPr>
          <w:szCs w:val="21"/>
        </w:rPr>
        <w:separator/>
      </w:r>
      <w:r>
        <w:rPr>
          <w:szCs w:val="21"/>
        </w:rPr>
        <w:t xml:space="preserve"> </w:t>
      </w:r>
    </w:p>
  </w:endnote>
  <w:endnote w:type="continuationSeparator" w:id="0">
    <w:p w:rsidR="003A7ECD" w:rsidRDefault="003A7EC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ECD" w:rsidRDefault="003A7EC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ECD" w:rsidRDefault="003A7ECD">
      <w:pPr>
        <w:rPr>
          <w:szCs w:val="21"/>
        </w:rPr>
      </w:pPr>
      <w:r>
        <w:rPr>
          <w:szCs w:val="21"/>
        </w:rPr>
        <w:separator/>
      </w:r>
      <w:r>
        <w:rPr>
          <w:szCs w:val="21"/>
        </w:rPr>
        <w:t xml:space="preserve"> </w:t>
      </w:r>
    </w:p>
  </w:footnote>
  <w:footnote w:type="continuationSeparator" w:id="0">
    <w:p w:rsidR="003A7ECD" w:rsidRDefault="003A7EC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ECD" w:rsidRDefault="003A7ECD">
    <w:pPr>
      <w:pStyle w:val="a8"/>
      <w:jc w:val="right"/>
    </w:pPr>
    <w:r>
      <w:rPr>
        <w:rFonts w:ascii="宋体" w:hAnsi="宋体" w:hint="eastAsia"/>
      </w:rPr>
      <w:t>摩根整合驱动灵活配置混合型证券投资基金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918976390">
    <w:abstractNumId w:val="0"/>
  </w:num>
  <w:num w:numId="2" w16cid:durableId="19172835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C7499"/>
    <w:rsid w:val="003A7ECD"/>
    <w:rsid w:val="007E1A19"/>
    <w:rsid w:val="008C7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17496">
      <w:marLeft w:val="0"/>
      <w:marRight w:val="0"/>
      <w:marTop w:val="0"/>
      <w:marBottom w:val="0"/>
      <w:divBdr>
        <w:top w:val="none" w:sz="0" w:space="0" w:color="auto"/>
        <w:left w:val="none" w:sz="0" w:space="0" w:color="auto"/>
        <w:bottom w:val="none" w:sz="0" w:space="0" w:color="auto"/>
        <w:right w:val="none" w:sz="0" w:space="0" w:color="auto"/>
      </w:divBdr>
    </w:div>
    <w:div w:id="483857771">
      <w:marLeft w:val="0"/>
      <w:marRight w:val="0"/>
      <w:marTop w:val="0"/>
      <w:marBottom w:val="0"/>
      <w:divBdr>
        <w:top w:val="none" w:sz="0" w:space="0" w:color="auto"/>
        <w:left w:val="none" w:sz="0" w:space="0" w:color="auto"/>
        <w:bottom w:val="none" w:sz="0" w:space="0" w:color="auto"/>
        <w:right w:val="none" w:sz="0" w:space="0" w:color="auto"/>
      </w:divBdr>
    </w:div>
    <w:div w:id="499657417">
      <w:marLeft w:val="0"/>
      <w:marRight w:val="0"/>
      <w:marTop w:val="0"/>
      <w:marBottom w:val="0"/>
      <w:divBdr>
        <w:top w:val="none" w:sz="0" w:space="0" w:color="auto"/>
        <w:left w:val="none" w:sz="0" w:space="0" w:color="auto"/>
        <w:bottom w:val="none" w:sz="0" w:space="0" w:color="auto"/>
        <w:right w:val="none" w:sz="0" w:space="0" w:color="auto"/>
      </w:divBdr>
      <w:divsChild>
        <w:div w:id="1840464099">
          <w:marLeft w:val="0"/>
          <w:marRight w:val="0"/>
          <w:marTop w:val="0"/>
          <w:marBottom w:val="0"/>
          <w:divBdr>
            <w:top w:val="none" w:sz="0" w:space="0" w:color="auto"/>
            <w:left w:val="none" w:sz="0" w:space="0" w:color="auto"/>
            <w:bottom w:val="none" w:sz="0" w:space="0" w:color="auto"/>
            <w:right w:val="none" w:sz="0" w:space="0" w:color="auto"/>
          </w:divBdr>
        </w:div>
        <w:div w:id="35855673">
          <w:marLeft w:val="0"/>
          <w:marRight w:val="0"/>
          <w:marTop w:val="0"/>
          <w:marBottom w:val="0"/>
          <w:divBdr>
            <w:top w:val="none" w:sz="0" w:space="0" w:color="auto"/>
            <w:left w:val="none" w:sz="0" w:space="0" w:color="auto"/>
            <w:bottom w:val="none" w:sz="0" w:space="0" w:color="auto"/>
            <w:right w:val="none" w:sz="0" w:space="0" w:color="auto"/>
          </w:divBdr>
        </w:div>
      </w:divsChild>
    </w:div>
    <w:div w:id="591352240">
      <w:marLeft w:val="0"/>
      <w:marRight w:val="0"/>
      <w:marTop w:val="0"/>
      <w:marBottom w:val="0"/>
      <w:divBdr>
        <w:top w:val="none" w:sz="0" w:space="0" w:color="auto"/>
        <w:left w:val="none" w:sz="0" w:space="0" w:color="auto"/>
        <w:bottom w:val="none" w:sz="0" w:space="0" w:color="auto"/>
        <w:right w:val="none" w:sz="0" w:space="0" w:color="auto"/>
      </w:divBdr>
    </w:div>
    <w:div w:id="820466502">
      <w:marLeft w:val="0"/>
      <w:marRight w:val="0"/>
      <w:marTop w:val="0"/>
      <w:marBottom w:val="0"/>
      <w:divBdr>
        <w:top w:val="none" w:sz="0" w:space="0" w:color="auto"/>
        <w:left w:val="none" w:sz="0" w:space="0" w:color="auto"/>
        <w:bottom w:val="none" w:sz="0" w:space="0" w:color="auto"/>
        <w:right w:val="none" w:sz="0" w:space="0" w:color="auto"/>
      </w:divBdr>
      <w:divsChild>
        <w:div w:id="290281433">
          <w:marLeft w:val="0"/>
          <w:marRight w:val="0"/>
          <w:marTop w:val="0"/>
          <w:marBottom w:val="0"/>
          <w:divBdr>
            <w:top w:val="none" w:sz="0" w:space="0" w:color="auto"/>
            <w:left w:val="none" w:sz="0" w:space="0" w:color="auto"/>
            <w:bottom w:val="none" w:sz="0" w:space="0" w:color="auto"/>
            <w:right w:val="none" w:sz="0" w:space="0" w:color="auto"/>
          </w:divBdr>
        </w:div>
      </w:divsChild>
    </w:div>
    <w:div w:id="846604328">
      <w:marLeft w:val="0"/>
      <w:marRight w:val="0"/>
      <w:marTop w:val="0"/>
      <w:marBottom w:val="0"/>
      <w:divBdr>
        <w:top w:val="none" w:sz="0" w:space="0" w:color="auto"/>
        <w:left w:val="none" w:sz="0" w:space="0" w:color="auto"/>
        <w:bottom w:val="none" w:sz="0" w:space="0" w:color="auto"/>
        <w:right w:val="none" w:sz="0" w:space="0" w:color="auto"/>
      </w:divBdr>
    </w:div>
    <w:div w:id="905798435">
      <w:marLeft w:val="0"/>
      <w:marRight w:val="0"/>
      <w:marTop w:val="0"/>
      <w:marBottom w:val="0"/>
      <w:divBdr>
        <w:top w:val="none" w:sz="0" w:space="0" w:color="auto"/>
        <w:left w:val="none" w:sz="0" w:space="0" w:color="auto"/>
        <w:bottom w:val="none" w:sz="0" w:space="0" w:color="auto"/>
        <w:right w:val="none" w:sz="0" w:space="0" w:color="auto"/>
      </w:divBdr>
    </w:div>
    <w:div w:id="1020283590">
      <w:marLeft w:val="0"/>
      <w:marRight w:val="0"/>
      <w:marTop w:val="0"/>
      <w:marBottom w:val="0"/>
      <w:divBdr>
        <w:top w:val="none" w:sz="0" w:space="0" w:color="auto"/>
        <w:left w:val="none" w:sz="0" w:space="0" w:color="auto"/>
        <w:bottom w:val="none" w:sz="0" w:space="0" w:color="auto"/>
        <w:right w:val="none" w:sz="0" w:space="0" w:color="auto"/>
      </w:divBdr>
    </w:div>
    <w:div w:id="1037504261">
      <w:marLeft w:val="0"/>
      <w:marRight w:val="0"/>
      <w:marTop w:val="0"/>
      <w:marBottom w:val="0"/>
      <w:divBdr>
        <w:top w:val="none" w:sz="0" w:space="0" w:color="auto"/>
        <w:left w:val="none" w:sz="0" w:space="0" w:color="auto"/>
        <w:bottom w:val="none" w:sz="0" w:space="0" w:color="auto"/>
        <w:right w:val="none" w:sz="0" w:space="0" w:color="auto"/>
      </w:divBdr>
      <w:divsChild>
        <w:div w:id="1091662754">
          <w:marLeft w:val="0"/>
          <w:marRight w:val="0"/>
          <w:marTop w:val="0"/>
          <w:marBottom w:val="0"/>
          <w:divBdr>
            <w:top w:val="none" w:sz="0" w:space="0" w:color="auto"/>
            <w:left w:val="none" w:sz="0" w:space="0" w:color="auto"/>
            <w:bottom w:val="none" w:sz="0" w:space="0" w:color="auto"/>
            <w:right w:val="none" w:sz="0" w:space="0" w:color="auto"/>
          </w:divBdr>
        </w:div>
      </w:divsChild>
    </w:div>
    <w:div w:id="1043753189">
      <w:marLeft w:val="0"/>
      <w:marRight w:val="0"/>
      <w:marTop w:val="0"/>
      <w:marBottom w:val="0"/>
      <w:divBdr>
        <w:top w:val="none" w:sz="0" w:space="0" w:color="auto"/>
        <w:left w:val="none" w:sz="0" w:space="0" w:color="auto"/>
        <w:bottom w:val="none" w:sz="0" w:space="0" w:color="auto"/>
        <w:right w:val="none" w:sz="0" w:space="0" w:color="auto"/>
      </w:divBdr>
    </w:div>
    <w:div w:id="1164509549">
      <w:marLeft w:val="0"/>
      <w:marRight w:val="0"/>
      <w:marTop w:val="0"/>
      <w:marBottom w:val="0"/>
      <w:divBdr>
        <w:top w:val="none" w:sz="0" w:space="0" w:color="auto"/>
        <w:left w:val="none" w:sz="0" w:space="0" w:color="auto"/>
        <w:bottom w:val="none" w:sz="0" w:space="0" w:color="auto"/>
        <w:right w:val="none" w:sz="0" w:space="0" w:color="auto"/>
      </w:divBdr>
      <w:divsChild>
        <w:div w:id="543516557">
          <w:marLeft w:val="0"/>
          <w:marRight w:val="0"/>
          <w:marTop w:val="0"/>
          <w:marBottom w:val="0"/>
          <w:divBdr>
            <w:top w:val="none" w:sz="0" w:space="0" w:color="auto"/>
            <w:left w:val="none" w:sz="0" w:space="0" w:color="auto"/>
            <w:bottom w:val="none" w:sz="0" w:space="0" w:color="auto"/>
            <w:right w:val="none" w:sz="0" w:space="0" w:color="auto"/>
          </w:divBdr>
        </w:div>
      </w:divsChild>
    </w:div>
    <w:div w:id="1357535703">
      <w:marLeft w:val="0"/>
      <w:marRight w:val="0"/>
      <w:marTop w:val="0"/>
      <w:marBottom w:val="0"/>
      <w:divBdr>
        <w:top w:val="none" w:sz="0" w:space="0" w:color="auto"/>
        <w:left w:val="none" w:sz="0" w:space="0" w:color="auto"/>
        <w:bottom w:val="none" w:sz="0" w:space="0" w:color="auto"/>
        <w:right w:val="none" w:sz="0" w:space="0" w:color="auto"/>
      </w:divBdr>
    </w:div>
    <w:div w:id="1476723131">
      <w:marLeft w:val="0"/>
      <w:marRight w:val="0"/>
      <w:marTop w:val="0"/>
      <w:marBottom w:val="0"/>
      <w:divBdr>
        <w:top w:val="none" w:sz="0" w:space="0" w:color="auto"/>
        <w:left w:val="none" w:sz="0" w:space="0" w:color="auto"/>
        <w:bottom w:val="none" w:sz="0" w:space="0" w:color="auto"/>
        <w:right w:val="none" w:sz="0" w:space="0" w:color="auto"/>
      </w:divBdr>
      <w:divsChild>
        <w:div w:id="214196453">
          <w:marLeft w:val="0"/>
          <w:marRight w:val="0"/>
          <w:marTop w:val="0"/>
          <w:marBottom w:val="0"/>
          <w:divBdr>
            <w:top w:val="none" w:sz="0" w:space="0" w:color="auto"/>
            <w:left w:val="none" w:sz="0" w:space="0" w:color="auto"/>
            <w:bottom w:val="none" w:sz="0" w:space="0" w:color="auto"/>
            <w:right w:val="none" w:sz="0" w:space="0" w:color="auto"/>
          </w:divBdr>
        </w:div>
      </w:divsChild>
    </w:div>
    <w:div w:id="1706104016">
      <w:marLeft w:val="0"/>
      <w:marRight w:val="0"/>
      <w:marTop w:val="0"/>
      <w:marBottom w:val="0"/>
      <w:divBdr>
        <w:top w:val="none" w:sz="0" w:space="0" w:color="auto"/>
        <w:left w:val="none" w:sz="0" w:space="0" w:color="auto"/>
        <w:bottom w:val="none" w:sz="0" w:space="0" w:color="auto"/>
        <w:right w:val="none" w:sz="0" w:space="0" w:color="auto"/>
      </w:divBdr>
      <w:divsChild>
        <w:div w:id="1559828711">
          <w:marLeft w:val="0"/>
          <w:marRight w:val="0"/>
          <w:marTop w:val="0"/>
          <w:marBottom w:val="0"/>
          <w:divBdr>
            <w:top w:val="none" w:sz="0" w:space="0" w:color="auto"/>
            <w:left w:val="none" w:sz="0" w:space="0" w:color="auto"/>
            <w:bottom w:val="none" w:sz="0" w:space="0" w:color="auto"/>
            <w:right w:val="none" w:sz="0" w:space="0" w:color="auto"/>
          </w:divBdr>
        </w:div>
      </w:divsChild>
    </w:div>
    <w:div w:id="1750274439">
      <w:marLeft w:val="0"/>
      <w:marRight w:val="0"/>
      <w:marTop w:val="0"/>
      <w:marBottom w:val="0"/>
      <w:divBdr>
        <w:top w:val="none" w:sz="0" w:space="0" w:color="auto"/>
        <w:left w:val="none" w:sz="0" w:space="0" w:color="auto"/>
        <w:bottom w:val="none" w:sz="0" w:space="0" w:color="auto"/>
        <w:right w:val="none" w:sz="0" w:space="0" w:color="auto"/>
      </w:divBdr>
      <w:divsChild>
        <w:div w:id="1419015376">
          <w:marLeft w:val="0"/>
          <w:marRight w:val="0"/>
          <w:marTop w:val="0"/>
          <w:marBottom w:val="0"/>
          <w:divBdr>
            <w:top w:val="none" w:sz="0" w:space="0" w:color="auto"/>
            <w:left w:val="none" w:sz="0" w:space="0" w:color="auto"/>
            <w:bottom w:val="none" w:sz="0" w:space="0" w:color="auto"/>
            <w:right w:val="none" w:sz="0" w:space="0" w:color="auto"/>
          </w:divBdr>
        </w:div>
      </w:divsChild>
    </w:div>
    <w:div w:id="1831365425">
      <w:marLeft w:val="0"/>
      <w:marRight w:val="0"/>
      <w:marTop w:val="0"/>
      <w:marBottom w:val="0"/>
      <w:divBdr>
        <w:top w:val="none" w:sz="0" w:space="0" w:color="auto"/>
        <w:left w:val="none" w:sz="0" w:space="0" w:color="auto"/>
        <w:bottom w:val="none" w:sz="0" w:space="0" w:color="auto"/>
        <w:right w:val="none" w:sz="0" w:space="0" w:color="auto"/>
      </w:divBdr>
    </w:div>
    <w:div w:id="1910648023">
      <w:marLeft w:val="0"/>
      <w:marRight w:val="0"/>
      <w:marTop w:val="0"/>
      <w:marBottom w:val="0"/>
      <w:divBdr>
        <w:top w:val="none" w:sz="0" w:space="0" w:color="auto"/>
        <w:left w:val="none" w:sz="0" w:space="0" w:color="auto"/>
        <w:bottom w:val="none" w:sz="0" w:space="0" w:color="auto"/>
        <w:right w:val="none" w:sz="0" w:space="0" w:color="auto"/>
      </w:divBdr>
    </w:div>
    <w:div w:id="1990623015">
      <w:marLeft w:val="0"/>
      <w:marRight w:val="0"/>
      <w:marTop w:val="0"/>
      <w:marBottom w:val="0"/>
      <w:divBdr>
        <w:top w:val="none" w:sz="0" w:space="0" w:color="auto"/>
        <w:left w:val="none" w:sz="0" w:space="0" w:color="auto"/>
        <w:bottom w:val="none" w:sz="0" w:space="0" w:color="auto"/>
        <w:right w:val="none" w:sz="0" w:space="0" w:color="auto"/>
      </w:divBdr>
      <w:divsChild>
        <w:div w:id="385029411">
          <w:marLeft w:val="0"/>
          <w:marRight w:val="0"/>
          <w:marTop w:val="0"/>
          <w:marBottom w:val="0"/>
          <w:divBdr>
            <w:top w:val="none" w:sz="0" w:space="0" w:color="auto"/>
            <w:left w:val="none" w:sz="0" w:space="0" w:color="auto"/>
            <w:bottom w:val="none" w:sz="0" w:space="0" w:color="auto"/>
            <w:right w:val="none" w:sz="0" w:space="0" w:color="auto"/>
          </w:divBdr>
        </w:div>
      </w:divsChild>
    </w:div>
    <w:div w:id="2078279410">
      <w:marLeft w:val="0"/>
      <w:marRight w:val="0"/>
      <w:marTop w:val="0"/>
      <w:marBottom w:val="0"/>
      <w:divBdr>
        <w:top w:val="none" w:sz="0" w:space="0" w:color="auto"/>
        <w:left w:val="none" w:sz="0" w:space="0" w:color="auto"/>
        <w:bottom w:val="none" w:sz="0" w:space="0" w:color="auto"/>
        <w:right w:val="none" w:sz="0" w:space="0" w:color="auto"/>
      </w:divBdr>
    </w:div>
    <w:div w:id="2094431456">
      <w:marLeft w:val="0"/>
      <w:marRight w:val="0"/>
      <w:marTop w:val="0"/>
      <w:marBottom w:val="0"/>
      <w:divBdr>
        <w:top w:val="none" w:sz="0" w:space="0" w:color="auto"/>
        <w:left w:val="none" w:sz="0" w:space="0" w:color="auto"/>
        <w:bottom w:val="none" w:sz="0" w:space="0" w:color="auto"/>
        <w:right w:val="none" w:sz="0" w:space="0" w:color="auto"/>
      </w:divBdr>
    </w:div>
    <w:div w:id="2130004489">
      <w:marLeft w:val="0"/>
      <w:marRight w:val="0"/>
      <w:marTop w:val="0"/>
      <w:marBottom w:val="0"/>
      <w:divBdr>
        <w:top w:val="none" w:sz="0" w:space="0" w:color="auto"/>
        <w:left w:val="none" w:sz="0" w:space="0" w:color="auto"/>
        <w:bottom w:val="none" w:sz="0" w:space="0" w:color="auto"/>
        <w:right w:val="none" w:sz="0" w:space="0" w:color="auto"/>
      </w:divBdr>
    </w:div>
    <w:div w:id="213185190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1285</Words>
  <Characters>7329</Characters>
  <Application>Microsoft Office Word</Application>
  <DocSecurity>4</DocSecurity>
  <Lines>61</Lines>
  <Paragraphs>17</Paragraphs>
  <ScaleCrop>false</ScaleCrop>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