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6A80" w:rsidRDefault="008C767E">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756A80" w:rsidRDefault="008C767E">
      <w:pPr>
        <w:spacing w:line="360" w:lineRule="auto"/>
        <w:rPr>
          <w:rFonts w:ascii="宋体" w:hAnsi="宋体"/>
          <w:sz w:val="48"/>
        </w:rPr>
      </w:pPr>
      <w:r>
        <w:rPr>
          <w:rFonts w:ascii="宋体" w:hAnsi="宋体" w:hint="eastAsia"/>
          <w:sz w:val="48"/>
        </w:rPr>
        <w:t xml:space="preserve">　 </w:t>
      </w:r>
    </w:p>
    <w:p w:rsidR="00756A80" w:rsidRDefault="008C767E">
      <w:pPr>
        <w:spacing w:line="360" w:lineRule="auto"/>
        <w:jc w:val="center"/>
      </w:pPr>
      <w:r>
        <w:rPr>
          <w:rFonts w:ascii="宋体" w:hAnsi="宋体" w:hint="eastAsia"/>
          <w:b/>
          <w:bCs/>
          <w:color w:val="000000" w:themeColor="text1"/>
          <w:sz w:val="48"/>
          <w:szCs w:val="30"/>
        </w:rPr>
        <w:t>摩根整合驱动灵活配置混合型证券投资基金</w:t>
      </w:r>
      <w:r>
        <w:rPr>
          <w:rFonts w:ascii="宋体" w:hAnsi="宋体" w:hint="eastAsia"/>
          <w:b/>
          <w:bCs/>
          <w:color w:val="000000" w:themeColor="text1"/>
          <w:sz w:val="48"/>
          <w:szCs w:val="30"/>
        </w:rPr>
        <w:br/>
        <w:t>2025年第1季度报告</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jc w:val="center"/>
      </w:pPr>
      <w:r>
        <w:rPr>
          <w:rFonts w:ascii="宋体" w:hAnsi="宋体" w:hint="eastAsia"/>
          <w:b/>
          <w:bCs/>
          <w:sz w:val="28"/>
          <w:szCs w:val="30"/>
        </w:rPr>
        <w:t>2025年3月31日</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jc w:val="center"/>
        <w:rPr>
          <w:rFonts w:ascii="宋体" w:hAnsi="宋体"/>
          <w:sz w:val="28"/>
          <w:szCs w:val="30"/>
        </w:rPr>
      </w:pPr>
      <w:r>
        <w:rPr>
          <w:rFonts w:ascii="宋体" w:hAnsi="宋体" w:hint="eastAsia"/>
          <w:sz w:val="28"/>
          <w:szCs w:val="30"/>
        </w:rPr>
        <w:t xml:space="preserve">　 </w:t>
      </w:r>
    </w:p>
    <w:p w:rsidR="00756A80" w:rsidRDefault="008C767E">
      <w:pPr>
        <w:spacing w:line="360" w:lineRule="auto"/>
        <w:ind w:firstLineChars="800" w:firstLine="2249"/>
        <w:jc w:val="left"/>
      </w:pPr>
      <w:r>
        <w:rPr>
          <w:rFonts w:ascii="宋体" w:hAnsi="宋体" w:hint="eastAsia"/>
          <w:b/>
          <w:bCs/>
          <w:sz w:val="28"/>
          <w:szCs w:val="30"/>
        </w:rPr>
        <w:t>基金管理人：摩根基金管理（中国）有限公司</w:t>
      </w:r>
    </w:p>
    <w:p w:rsidR="00756A80" w:rsidRDefault="008C767E">
      <w:pPr>
        <w:spacing w:line="360" w:lineRule="auto"/>
        <w:ind w:firstLineChars="800" w:firstLine="2249"/>
        <w:jc w:val="left"/>
      </w:pPr>
      <w:r>
        <w:rPr>
          <w:rFonts w:ascii="宋体" w:hAnsi="宋体" w:hint="eastAsia"/>
          <w:b/>
          <w:bCs/>
          <w:sz w:val="28"/>
          <w:szCs w:val="30"/>
        </w:rPr>
        <w:t>基金托管人：中国银行股份有限公司</w:t>
      </w:r>
    </w:p>
    <w:p w:rsidR="00756A80" w:rsidRDefault="008C767E">
      <w:pPr>
        <w:spacing w:line="360" w:lineRule="auto"/>
        <w:ind w:firstLineChars="800" w:firstLine="2249"/>
        <w:jc w:val="left"/>
      </w:pPr>
      <w:r>
        <w:rPr>
          <w:rFonts w:ascii="宋体" w:hAnsi="宋体" w:hint="eastAsia"/>
          <w:b/>
          <w:bCs/>
          <w:sz w:val="28"/>
          <w:szCs w:val="30"/>
        </w:rPr>
        <w:t>报告送出日期：2025年4月22日</w:t>
      </w:r>
    </w:p>
    <w:p w:rsidR="00756A80" w:rsidRDefault="008C767E">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bookmarkStart w:id="18" w:name="_GoBack"/>
      <w:bookmarkEnd w:id="18"/>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rsidR="00756A80" w:rsidRDefault="008C767E">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756A80" w:rsidRDefault="008C767E">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756A80">
        <w:trPr>
          <w:divId w:val="12893817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756A80" w:rsidRDefault="008C767E">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szCs w:val="24"/>
                <w:lang w:eastAsia="zh-Hans"/>
              </w:rPr>
              <w:t>摩根整合驱动混合</w:t>
            </w:r>
            <w:r>
              <w:rPr>
                <w:rFonts w:ascii="宋体" w:hAnsi="宋体" w:hint="eastAsia"/>
                <w:lang w:eastAsia="zh-Hans"/>
              </w:rPr>
              <w:t xml:space="preserve"> </w:t>
            </w:r>
          </w:p>
        </w:tc>
      </w:tr>
      <w:tr w:rsidR="00756A80">
        <w:trPr>
          <w:divId w:val="1289381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lang w:eastAsia="zh-Hans"/>
              </w:rPr>
              <w:t>001192</w:t>
            </w:r>
          </w:p>
        </w:tc>
      </w:tr>
      <w:tr w:rsidR="00756A80">
        <w:trPr>
          <w:divId w:val="1289381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lang w:eastAsia="zh-Hans"/>
              </w:rPr>
              <w:t>契约型开放式</w:t>
            </w:r>
          </w:p>
        </w:tc>
      </w:tr>
      <w:tr w:rsidR="00756A80">
        <w:trPr>
          <w:divId w:val="1289381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lang w:eastAsia="zh-Hans"/>
              </w:rPr>
              <w:t>2015年4月23日</w:t>
            </w:r>
          </w:p>
        </w:tc>
      </w:tr>
      <w:tr w:rsidR="00756A80">
        <w:trPr>
          <w:divId w:val="1289381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lang w:eastAsia="zh-Hans"/>
              </w:rPr>
              <w:t>508,488,540.96</w:t>
            </w:r>
            <w:r>
              <w:rPr>
                <w:rFonts w:hint="eastAsia"/>
              </w:rPr>
              <w:t>份</w:t>
            </w:r>
            <w:r>
              <w:rPr>
                <w:rFonts w:ascii="宋体" w:hAnsi="宋体" w:hint="eastAsia"/>
                <w:lang w:eastAsia="zh-Hans"/>
              </w:rPr>
              <w:t xml:space="preserve"> </w:t>
            </w:r>
          </w:p>
        </w:tc>
      </w:tr>
      <w:tr w:rsidR="00756A80">
        <w:trPr>
          <w:divId w:val="1289381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lang w:eastAsia="zh-Hans"/>
              </w:rPr>
              <w:t>通过深入细致的基本面研究，把握企业整合发展带来的投资机会，在严格的风险控制前提下，力争实现基金资产的长期增值。</w:t>
            </w:r>
          </w:p>
        </w:tc>
      </w:tr>
      <w:tr w:rsidR="00756A80">
        <w:trPr>
          <w:divId w:val="1289381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lang w:eastAsia="zh-Hans"/>
              </w:rPr>
              <w:t>1、资产配置策略</w:t>
            </w:r>
            <w:r>
              <w:rPr>
                <w:rFonts w:ascii="宋体" w:hAnsi="宋体" w:hint="eastAsia"/>
                <w:lang w:eastAsia="zh-Hans"/>
              </w:rPr>
              <w:br/>
              <w:t>本基金通过自上而下和自下而上相结合、定性分析和定量分析互相补充的方法，在股票、债券和现金等资产类别之间进行相对灵活的配置。</w:t>
            </w:r>
            <w:r>
              <w:rPr>
                <w:rFonts w:ascii="宋体" w:hAnsi="宋体" w:hint="eastAsia"/>
                <w:lang w:eastAsia="zh-Hans"/>
              </w:rPr>
              <w:br/>
              <w:t>2、股票投资策略</w:t>
            </w:r>
            <w:r>
              <w:rPr>
                <w:rFonts w:ascii="宋体" w:hAnsi="宋体" w:hint="eastAsia"/>
                <w:lang w:eastAsia="zh-Hans"/>
              </w:rPr>
              <w:br/>
              <w:t>本基金将重点投资于整合主题相关的上市公司。在个股选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r>
              <w:rPr>
                <w:rFonts w:ascii="宋体" w:hAnsi="宋体" w:hint="eastAsia"/>
                <w:lang w:eastAsia="zh-Hans"/>
              </w:rPr>
              <w:br/>
              <w:t>3、债券配置策略</w:t>
            </w:r>
            <w:r>
              <w:rPr>
                <w:rFonts w:ascii="宋体" w:hAnsi="宋体" w:hint="eastAsia"/>
                <w:lang w:eastAsia="zh-Hans"/>
              </w:rPr>
              <w:br/>
              <w:t>对于固定收益类资产的选择，本基金将以价值分析为主线，在综合研究的基础上实施积极主动的组合管理，并主要通过类属配置与债券选择两个层次进行投</w:t>
            </w:r>
            <w:r>
              <w:rPr>
                <w:rFonts w:ascii="宋体" w:hAnsi="宋体" w:hint="eastAsia"/>
                <w:lang w:eastAsia="zh-Hans"/>
              </w:rPr>
              <w:lastRenderedPageBreak/>
              <w:t>资管理。</w:t>
            </w:r>
            <w:r>
              <w:rPr>
                <w:rFonts w:ascii="宋体" w:hAnsi="宋体" w:hint="eastAsia"/>
                <w:lang w:eastAsia="zh-Hans"/>
              </w:rPr>
              <w:br/>
              <w:t>4、其他投资策略：包括可转换债券投资策略、中小企业私募债投资策略、股指期货投资策略、股票期权投资策略、存托凭证投资策略。</w:t>
            </w:r>
          </w:p>
        </w:tc>
      </w:tr>
      <w:tr w:rsidR="00756A80">
        <w:trPr>
          <w:divId w:val="1289381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lang w:eastAsia="zh-Hans"/>
              </w:rPr>
              <w:t>中证800指数收益率*60%+中债总指数收益率*40%</w:t>
            </w:r>
          </w:p>
        </w:tc>
      </w:tr>
      <w:tr w:rsidR="00756A80">
        <w:trPr>
          <w:divId w:val="1289381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lang w:eastAsia="zh-Hans"/>
              </w:rPr>
              <w:t>本基金属于混合型基金产品，预期风险和收益水平高于债券型基金和货币市场基金，低于股票型基金，属于较高风险收益水平的基金产品。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756A80">
        <w:trPr>
          <w:divId w:val="1289381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lang w:eastAsia="zh-Hans"/>
              </w:rPr>
              <w:t>摩根基金管理（中国）有限公司</w:t>
            </w:r>
          </w:p>
        </w:tc>
      </w:tr>
      <w:tr w:rsidR="00756A80">
        <w:trPr>
          <w:divId w:val="1289381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lang w:eastAsia="zh-Hans"/>
              </w:rPr>
              <w:t>中国银行股份有限公司</w:t>
            </w:r>
          </w:p>
        </w:tc>
      </w:tr>
      <w:tr w:rsidR="00756A80">
        <w:trPr>
          <w:divId w:val="12893817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lang w:eastAsia="zh-Hans"/>
              </w:rPr>
              <w:t>摩根整合驱动混合A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lang w:eastAsia="zh-Hans"/>
              </w:rPr>
              <w:t>摩根整合驱动混合C</w:t>
            </w:r>
            <w:r>
              <w:rPr>
                <w:rFonts w:ascii="宋体" w:hAnsi="宋体" w:hint="eastAsia"/>
                <w:kern w:val="0"/>
                <w:sz w:val="20"/>
                <w:lang w:eastAsia="zh-Hans"/>
              </w:rPr>
              <w:t xml:space="preserve"> </w:t>
            </w:r>
          </w:p>
        </w:tc>
      </w:tr>
      <w:tr w:rsidR="00756A80">
        <w:trPr>
          <w:divId w:val="12893817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lang w:eastAsia="zh-Hans"/>
              </w:rPr>
              <w:t>001192</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lang w:eastAsia="zh-Hans"/>
              </w:rPr>
              <w:t>016920</w:t>
            </w:r>
            <w:r>
              <w:rPr>
                <w:rFonts w:ascii="宋体" w:hAnsi="宋体" w:hint="eastAsia"/>
                <w:kern w:val="0"/>
                <w:sz w:val="20"/>
                <w:lang w:eastAsia="zh-Hans"/>
              </w:rPr>
              <w:t xml:space="preserve"> </w:t>
            </w:r>
          </w:p>
        </w:tc>
      </w:tr>
      <w:bookmarkEnd w:id="34"/>
      <w:bookmarkEnd w:id="33"/>
      <w:tr w:rsidR="00756A80">
        <w:trPr>
          <w:divId w:val="12893817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56A80" w:rsidRDefault="008C767E">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lang w:eastAsia="zh-Hans"/>
              </w:rPr>
              <w:t>507,449,726.79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lang w:eastAsia="zh-Hans"/>
              </w:rPr>
              <w:t>1,038,814.17</w:t>
            </w:r>
            <w:r>
              <w:rPr>
                <w:rFonts w:hint="eastAsia"/>
              </w:rPr>
              <w:t>份</w:t>
            </w:r>
            <w:r>
              <w:rPr>
                <w:rFonts w:ascii="宋体" w:hAnsi="宋体" w:hint="eastAsia"/>
                <w:lang w:eastAsia="zh-Hans"/>
              </w:rPr>
              <w:t xml:space="preserve"> </w:t>
            </w:r>
          </w:p>
        </w:tc>
      </w:tr>
    </w:tbl>
    <w:p w:rsidR="00756A80" w:rsidRDefault="008C767E">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756A80" w:rsidRDefault="008C767E">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756A80" w:rsidRDefault="008C767E">
      <w:pPr>
        <w:jc w:val="right"/>
        <w:divId w:val="33380015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756A80">
        <w:trPr>
          <w:divId w:val="33380015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756A80" w:rsidRDefault="008C767E">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756A80" w:rsidRDefault="008C767E">
            <w:pPr>
              <w:pStyle w:val="a5"/>
              <w:jc w:val="center"/>
            </w:pPr>
            <w:r>
              <w:rPr>
                <w:rFonts w:hint="eastAsia"/>
                <w:kern w:val="2"/>
                <w:sz w:val="21"/>
                <w:szCs w:val="24"/>
                <w:lang w:eastAsia="zh-Hans"/>
              </w:rPr>
              <w:t xml:space="preserve">报告期（2025年1月1日-2025年3月31日） </w:t>
            </w:r>
          </w:p>
        </w:tc>
      </w:tr>
      <w:tr w:rsidR="00756A80">
        <w:trPr>
          <w:divId w:val="33380015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A80" w:rsidRDefault="00756A8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756A80" w:rsidRDefault="008C767E">
            <w:pPr>
              <w:jc w:val="center"/>
            </w:pPr>
            <w:r>
              <w:rPr>
                <w:rFonts w:ascii="宋体" w:hAnsi="宋体" w:hint="eastAsia"/>
                <w:szCs w:val="24"/>
                <w:lang w:eastAsia="zh-Hans"/>
              </w:rPr>
              <w:t>摩根整合驱动混合A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756A80" w:rsidRDefault="008C767E">
            <w:pPr>
              <w:jc w:val="center"/>
            </w:pPr>
            <w:r>
              <w:rPr>
                <w:rFonts w:ascii="宋体" w:hAnsi="宋体" w:hint="eastAsia"/>
                <w:szCs w:val="24"/>
                <w:lang w:eastAsia="zh-Hans"/>
              </w:rPr>
              <w:t>摩根整合驱动混合C</w:t>
            </w:r>
          </w:p>
        </w:tc>
      </w:tr>
      <w:tr w:rsidR="00756A80">
        <w:trPr>
          <w:divId w:val="3338001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jc w:val="right"/>
            </w:pPr>
            <w:r>
              <w:rPr>
                <w:rFonts w:ascii="宋体" w:hAnsi="宋体" w:hint="eastAsia"/>
                <w:szCs w:val="24"/>
                <w:lang w:eastAsia="zh-Hans"/>
              </w:rPr>
              <w:t>200,475.50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jc w:val="right"/>
            </w:pPr>
            <w:r>
              <w:rPr>
                <w:rFonts w:ascii="宋体" w:hAnsi="宋体" w:hint="eastAsia"/>
                <w:szCs w:val="24"/>
                <w:lang w:eastAsia="zh-Hans"/>
              </w:rPr>
              <w:t>1,326.58</w:t>
            </w:r>
          </w:p>
        </w:tc>
      </w:tr>
      <w:tr w:rsidR="00756A80">
        <w:trPr>
          <w:divId w:val="3338001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jc w:val="right"/>
            </w:pPr>
            <w:r>
              <w:rPr>
                <w:rFonts w:ascii="宋体" w:hAnsi="宋体" w:hint="eastAsia"/>
                <w:szCs w:val="24"/>
                <w:lang w:eastAsia="zh-Hans"/>
              </w:rPr>
              <w:t>656,068.03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jc w:val="right"/>
            </w:pPr>
            <w:r>
              <w:rPr>
                <w:rFonts w:ascii="宋体" w:hAnsi="宋体" w:hint="eastAsia"/>
                <w:szCs w:val="24"/>
                <w:lang w:eastAsia="zh-Hans"/>
              </w:rPr>
              <w:t>-2,162.42</w:t>
            </w:r>
          </w:p>
        </w:tc>
      </w:tr>
      <w:tr w:rsidR="00756A80">
        <w:trPr>
          <w:divId w:val="3338001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jc w:val="right"/>
            </w:pPr>
            <w:r>
              <w:rPr>
                <w:rFonts w:ascii="宋体" w:hAnsi="宋体" w:hint="eastAsia"/>
                <w:szCs w:val="24"/>
                <w:lang w:eastAsia="zh-Hans"/>
              </w:rPr>
              <w:t>0.0013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jc w:val="right"/>
            </w:pPr>
            <w:r>
              <w:rPr>
                <w:rFonts w:ascii="宋体" w:hAnsi="宋体" w:hint="eastAsia"/>
                <w:szCs w:val="24"/>
                <w:lang w:eastAsia="zh-Hans"/>
              </w:rPr>
              <w:t>-0.0023</w:t>
            </w:r>
          </w:p>
        </w:tc>
      </w:tr>
      <w:tr w:rsidR="00756A80">
        <w:trPr>
          <w:divId w:val="3338001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jc w:val="right"/>
            </w:pPr>
            <w:r>
              <w:rPr>
                <w:rFonts w:ascii="宋体" w:hAnsi="宋体" w:hint="eastAsia"/>
                <w:szCs w:val="24"/>
                <w:lang w:eastAsia="zh-Hans"/>
              </w:rPr>
              <w:t>196,096,387.01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jc w:val="right"/>
            </w:pPr>
            <w:r>
              <w:rPr>
                <w:rFonts w:ascii="宋体" w:hAnsi="宋体" w:hint="eastAsia"/>
                <w:szCs w:val="24"/>
                <w:lang w:eastAsia="zh-Hans"/>
              </w:rPr>
              <w:t>396,838.45</w:t>
            </w:r>
          </w:p>
        </w:tc>
      </w:tr>
      <w:tr w:rsidR="00756A80">
        <w:trPr>
          <w:divId w:val="3338001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jc w:val="right"/>
            </w:pPr>
            <w:r>
              <w:rPr>
                <w:rFonts w:ascii="宋体" w:hAnsi="宋体" w:hint="eastAsia"/>
                <w:szCs w:val="24"/>
                <w:lang w:eastAsia="zh-Hans"/>
              </w:rPr>
              <w:t>0.3864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56A80" w:rsidRDefault="008C767E">
            <w:pPr>
              <w:jc w:val="right"/>
            </w:pPr>
            <w:r>
              <w:rPr>
                <w:rFonts w:ascii="宋体" w:hAnsi="宋体" w:hint="eastAsia"/>
                <w:szCs w:val="24"/>
                <w:lang w:eastAsia="zh-Hans"/>
              </w:rPr>
              <w:t>0.3820</w:t>
            </w:r>
          </w:p>
        </w:tc>
      </w:tr>
    </w:tbl>
    <w:p w:rsidR="00756A80" w:rsidRDefault="008C767E">
      <w:pPr>
        <w:wordWrap w:val="0"/>
        <w:spacing w:line="360" w:lineRule="auto"/>
        <w:jc w:val="left"/>
        <w:divId w:val="1308894857"/>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756A80" w:rsidRDefault="008C767E">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756A80" w:rsidRDefault="008C767E">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756A80" w:rsidRDefault="008C767E">
      <w:pPr>
        <w:spacing w:line="360" w:lineRule="auto"/>
        <w:jc w:val="center"/>
        <w:divId w:val="2045596045"/>
      </w:pPr>
      <w:r>
        <w:rPr>
          <w:rFonts w:ascii="宋体" w:hAnsi="宋体" w:hint="eastAsia"/>
        </w:rPr>
        <w:t>摩根整合驱动混合A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56A80">
        <w:trPr>
          <w:divId w:val="204559604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②－④ </w:t>
            </w:r>
          </w:p>
        </w:tc>
      </w:tr>
      <w:tr w:rsidR="00756A80">
        <w:trPr>
          <w:divId w:val="2045596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0.58% </w:t>
            </w:r>
          </w:p>
        </w:tc>
        <w:tc>
          <w:tcPr>
            <w:tcW w:w="728" w:type="pct"/>
            <w:tcBorders>
              <w:top w:val="single" w:sz="4" w:space="0" w:color="auto"/>
              <w:left w:val="single" w:sz="4" w:space="0" w:color="auto"/>
              <w:bottom w:val="single" w:sz="4" w:space="0" w:color="auto"/>
              <w:right w:val="single" w:sz="4" w:space="0" w:color="auto"/>
            </w:tcBorders>
            <w:vAlign w:val="center"/>
            <w:hideMark/>
          </w:tcPr>
          <w:p w:rsidR="00756A80" w:rsidRDefault="008C767E">
            <w:pPr>
              <w:spacing w:line="360" w:lineRule="auto"/>
              <w:jc w:val="right"/>
            </w:pPr>
            <w:r>
              <w:rPr>
                <w:rFonts w:ascii="宋体" w:hAnsi="宋体" w:hint="eastAsia"/>
              </w:rPr>
              <w:t xml:space="preserve">0.99%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0.95% </w:t>
            </w:r>
          </w:p>
        </w:tc>
      </w:tr>
      <w:tr w:rsidR="00756A80">
        <w:trPr>
          <w:divId w:val="2045596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-5.62%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rsidR="00756A80" w:rsidRDefault="008C767E">
            <w:pPr>
              <w:spacing w:line="360" w:lineRule="auto"/>
              <w:jc w:val="right"/>
            </w:pPr>
            <w:r>
              <w:rPr>
                <w:rFonts w:ascii="宋体" w:hAnsi="宋体" w:hint="eastAsia"/>
              </w:rPr>
              <w:t xml:space="preserve">-4.92%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0.94% </w:t>
            </w:r>
          </w:p>
        </w:tc>
      </w:tr>
      <w:tr w:rsidR="00756A80">
        <w:trPr>
          <w:divId w:val="2045596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-10.45%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7.12%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vAlign w:val="center"/>
            <w:hideMark/>
          </w:tcPr>
          <w:p w:rsidR="00756A80" w:rsidRDefault="008C767E">
            <w:pPr>
              <w:spacing w:line="360" w:lineRule="auto"/>
              <w:jc w:val="right"/>
            </w:pPr>
            <w:r>
              <w:rPr>
                <w:rFonts w:ascii="宋体" w:hAnsi="宋体" w:hint="eastAsia"/>
              </w:rPr>
              <w:t xml:space="preserve">-17.57%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0.78% </w:t>
            </w:r>
          </w:p>
        </w:tc>
      </w:tr>
      <w:tr w:rsidR="00756A80">
        <w:trPr>
          <w:divId w:val="2045596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-44.39%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-2.26%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0.69% </w:t>
            </w:r>
          </w:p>
        </w:tc>
        <w:tc>
          <w:tcPr>
            <w:tcW w:w="728" w:type="pct"/>
            <w:tcBorders>
              <w:top w:val="single" w:sz="4" w:space="0" w:color="auto"/>
              <w:left w:val="single" w:sz="4" w:space="0" w:color="auto"/>
              <w:bottom w:val="single" w:sz="4" w:space="0" w:color="auto"/>
              <w:right w:val="single" w:sz="4" w:space="0" w:color="auto"/>
            </w:tcBorders>
            <w:vAlign w:val="center"/>
            <w:hideMark/>
          </w:tcPr>
          <w:p w:rsidR="00756A80" w:rsidRDefault="008C767E">
            <w:pPr>
              <w:spacing w:line="360" w:lineRule="auto"/>
              <w:jc w:val="right"/>
            </w:pPr>
            <w:r>
              <w:rPr>
                <w:rFonts w:ascii="宋体" w:hAnsi="宋体" w:hint="eastAsia"/>
              </w:rPr>
              <w:t xml:space="preserve">-42.13%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1.02% </w:t>
            </w:r>
          </w:p>
        </w:tc>
      </w:tr>
      <w:tr w:rsidR="00756A80">
        <w:trPr>
          <w:divId w:val="2045596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-38.27%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6.81%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vAlign w:val="center"/>
            <w:hideMark/>
          </w:tcPr>
          <w:p w:rsidR="00756A80" w:rsidRDefault="008C767E">
            <w:pPr>
              <w:spacing w:line="360" w:lineRule="auto"/>
              <w:jc w:val="right"/>
            </w:pPr>
            <w:r>
              <w:rPr>
                <w:rFonts w:ascii="宋体" w:hAnsi="宋体" w:hint="eastAsia"/>
              </w:rPr>
              <w:t xml:space="preserve">-45.08%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0.91% </w:t>
            </w:r>
          </w:p>
        </w:tc>
      </w:tr>
      <w:tr w:rsidR="00756A80">
        <w:trPr>
          <w:divId w:val="2045596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-61.36%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-7.59%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vAlign w:val="center"/>
            <w:hideMark/>
          </w:tcPr>
          <w:p w:rsidR="00756A80" w:rsidRDefault="008C767E">
            <w:pPr>
              <w:spacing w:line="360" w:lineRule="auto"/>
              <w:jc w:val="right"/>
            </w:pPr>
            <w:r>
              <w:rPr>
                <w:rFonts w:ascii="宋体" w:hAnsi="宋体" w:hint="eastAsia"/>
              </w:rPr>
              <w:t xml:space="preserve">-53.77%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0.86% </w:t>
            </w:r>
          </w:p>
        </w:tc>
      </w:tr>
    </w:tbl>
    <w:p w:rsidR="00756A80" w:rsidRDefault="008C767E">
      <w:pPr>
        <w:spacing w:line="360" w:lineRule="auto"/>
        <w:jc w:val="center"/>
        <w:divId w:val="1374963816"/>
      </w:pPr>
      <w:r>
        <w:rPr>
          <w:rFonts w:ascii="宋体" w:hAnsi="宋体" w:hint="eastAsia"/>
        </w:rPr>
        <w:t>摩根整合驱动混合C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56A80">
        <w:trPr>
          <w:divId w:val="137496381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 xml:space="preserve">②－④ </w:t>
            </w:r>
          </w:p>
        </w:tc>
      </w:tr>
      <w:tr w:rsidR="00756A80">
        <w:trPr>
          <w:divId w:val="13749638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0.58% </w:t>
            </w:r>
          </w:p>
        </w:tc>
        <w:tc>
          <w:tcPr>
            <w:tcW w:w="728" w:type="pct"/>
            <w:tcBorders>
              <w:top w:val="single" w:sz="4" w:space="0" w:color="auto"/>
              <w:left w:val="single" w:sz="4" w:space="0" w:color="auto"/>
              <w:bottom w:val="single" w:sz="4" w:space="0" w:color="auto"/>
              <w:right w:val="single" w:sz="4" w:space="0" w:color="auto"/>
            </w:tcBorders>
            <w:vAlign w:val="center"/>
            <w:hideMark/>
          </w:tcPr>
          <w:p w:rsidR="00756A80" w:rsidRDefault="008C767E">
            <w:pPr>
              <w:spacing w:line="360" w:lineRule="auto"/>
              <w:jc w:val="right"/>
            </w:pPr>
            <w:r>
              <w:rPr>
                <w:rFonts w:ascii="宋体" w:hAnsi="宋体" w:hint="eastAsia"/>
              </w:rPr>
              <w:t xml:space="preserve">0.88%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0.95% </w:t>
            </w:r>
          </w:p>
        </w:tc>
      </w:tr>
      <w:tr w:rsidR="00756A80">
        <w:trPr>
          <w:divId w:val="13749638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-5.86%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rsidR="00756A80" w:rsidRDefault="008C767E">
            <w:pPr>
              <w:spacing w:line="360" w:lineRule="auto"/>
              <w:jc w:val="right"/>
            </w:pPr>
            <w:r>
              <w:rPr>
                <w:rFonts w:ascii="宋体" w:hAnsi="宋体" w:hint="eastAsia"/>
              </w:rPr>
              <w:t xml:space="preserve">-5.16%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0.94% </w:t>
            </w:r>
          </w:p>
        </w:tc>
      </w:tr>
      <w:tr w:rsidR="00756A80">
        <w:trPr>
          <w:divId w:val="13749638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-10.87%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7.12%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vAlign w:val="center"/>
            <w:hideMark/>
          </w:tcPr>
          <w:p w:rsidR="00756A80" w:rsidRDefault="008C767E">
            <w:pPr>
              <w:spacing w:line="360" w:lineRule="auto"/>
              <w:jc w:val="right"/>
            </w:pPr>
            <w:r>
              <w:rPr>
                <w:rFonts w:ascii="宋体" w:hAnsi="宋体" w:hint="eastAsia"/>
              </w:rPr>
              <w:t xml:space="preserve">-17.99%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0.78% </w:t>
            </w:r>
          </w:p>
        </w:tc>
      </w:tr>
      <w:tr w:rsidR="00756A80">
        <w:trPr>
          <w:divId w:val="13749638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-36.98%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6.71%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0.67% </w:t>
            </w:r>
          </w:p>
        </w:tc>
        <w:tc>
          <w:tcPr>
            <w:tcW w:w="728" w:type="pct"/>
            <w:tcBorders>
              <w:top w:val="single" w:sz="4" w:space="0" w:color="auto"/>
              <w:left w:val="single" w:sz="4" w:space="0" w:color="auto"/>
              <w:bottom w:val="single" w:sz="4" w:space="0" w:color="auto"/>
              <w:right w:val="single" w:sz="4" w:space="0" w:color="auto"/>
            </w:tcBorders>
            <w:vAlign w:val="center"/>
            <w:hideMark/>
          </w:tcPr>
          <w:p w:rsidR="00756A80" w:rsidRDefault="008C767E">
            <w:pPr>
              <w:spacing w:line="360" w:lineRule="auto"/>
              <w:jc w:val="right"/>
            </w:pPr>
            <w:r>
              <w:rPr>
                <w:rFonts w:ascii="宋体" w:hAnsi="宋体" w:hint="eastAsia"/>
              </w:rPr>
              <w:t xml:space="preserve">-43.69%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spacing w:line="360" w:lineRule="auto"/>
              <w:jc w:val="right"/>
            </w:pPr>
            <w:r>
              <w:rPr>
                <w:rFonts w:ascii="宋体" w:hAnsi="宋体" w:hint="eastAsia"/>
              </w:rPr>
              <w:t xml:space="preserve">1.01% </w:t>
            </w:r>
          </w:p>
        </w:tc>
      </w:tr>
    </w:tbl>
    <w:p w:rsidR="00756A80" w:rsidRDefault="008C767E">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756A80" w:rsidRDefault="008C767E">
      <w:pPr>
        <w:spacing w:line="360" w:lineRule="auto"/>
        <w:jc w:val="left"/>
        <w:divId w:val="1075013267"/>
      </w:pPr>
      <w:bookmarkStart w:id="71" w:name="m07_04_07_09"/>
      <w:bookmarkStart w:id="72"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756A80" w:rsidRDefault="008C767E">
      <w:pPr>
        <w:spacing w:line="360" w:lineRule="auto"/>
        <w:jc w:val="left"/>
        <w:divId w:val="1006638063"/>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756A80" w:rsidRDefault="008C767E">
      <w:pPr>
        <w:spacing w:line="360" w:lineRule="auto"/>
      </w:pPr>
      <w:r>
        <w:rPr>
          <w:rFonts w:ascii="宋体" w:hAnsi="宋体" w:hint="eastAsia"/>
        </w:rPr>
        <w:t>注：</w:t>
      </w:r>
      <w:r>
        <w:rPr>
          <w:rFonts w:ascii="宋体" w:hAnsi="宋体" w:hint="eastAsia"/>
          <w:lang w:eastAsia="zh-Hans"/>
        </w:rPr>
        <w:t>本基金合同生效日为2015年4月23日，图示的时间段为合同生效日至本报告期末。</w:t>
      </w:r>
      <w:r>
        <w:rPr>
          <w:rFonts w:ascii="宋体" w:hAnsi="宋体" w:hint="eastAsia"/>
          <w:lang w:eastAsia="zh-Hans"/>
        </w:rPr>
        <w:br/>
        <w:t xml:space="preserve">　　本基金自 2022年10月28日起增加C类份额，相关数据按实际存续期计算。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rsidR="00756A80" w:rsidRDefault="008C767E">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756A80" w:rsidRDefault="008C767E">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56A80">
        <w:trPr>
          <w:divId w:val="191831741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56A80">
        <w:trPr>
          <w:divId w:val="191831741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A80" w:rsidRDefault="00756A8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6A80" w:rsidRDefault="00756A8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6A80" w:rsidRDefault="00756A8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6A80" w:rsidRDefault="00756A80">
            <w:pPr>
              <w:widowControl/>
              <w:jc w:val="left"/>
            </w:pPr>
          </w:p>
        </w:tc>
      </w:tr>
      <w:tr w:rsidR="00756A80">
        <w:trPr>
          <w:divId w:val="191831741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lastRenderedPageBreak/>
              <w:t>杨景喻</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2024年6月24日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left"/>
            </w:pPr>
            <w:r>
              <w:rPr>
                <w:rFonts w:ascii="宋体" w:hAnsi="宋体" w:hint="eastAsia"/>
                <w:szCs w:val="24"/>
                <w:lang w:eastAsia="zh-Hans"/>
              </w:rPr>
              <w:t>杨景喻先生曾任广发基金管理有限公司研究员。2011年3月起加入摩根基金管理(中国)有限公司(原上投摩根基金管理有限公司)，历任行业专家、基金经理助理、基金经理，现任高级基金经理。</w:t>
            </w:r>
          </w:p>
        </w:tc>
      </w:tr>
    </w:tbl>
    <w:p w:rsidR="00756A80" w:rsidRDefault="008C767E">
      <w:pPr>
        <w:wordWrap w:val="0"/>
        <w:spacing w:line="360" w:lineRule="auto"/>
        <w:jc w:val="left"/>
        <w:divId w:val="891498749"/>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756A80" w:rsidRDefault="008C767E">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756A80" w:rsidRDefault="008C767E">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756A80" w:rsidRDefault="008C767E">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756A80" w:rsidRDefault="008C767E">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756A80" w:rsidRDefault="008C767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756A80" w:rsidRDefault="008C767E">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rsidR="00756A80" w:rsidRDefault="008C767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rsidR="00756A80" w:rsidRDefault="008C767E">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756A80" w:rsidRDefault="008C767E">
      <w:pPr>
        <w:spacing w:line="360" w:lineRule="auto"/>
        <w:ind w:firstLineChars="200" w:firstLine="420"/>
        <w:jc w:val="left"/>
      </w:pPr>
      <w:r>
        <w:rPr>
          <w:rFonts w:ascii="宋体" w:hAnsi="宋体" w:cs="宋体" w:hint="eastAsia"/>
          <w:color w:val="000000"/>
          <w:kern w:val="0"/>
        </w:rPr>
        <w:t>2025年一季度，各类总量刺激政策循序渐进推出，但由于政策的推出和效果的产生存在时间差，国内宏观经济表现较为平淡，亮点不明显，市场仍在等待宏观经济的改善。3月份之后，美国关税政策不确定性加大，市场以震荡为主。因此，</w:t>
      </w:r>
      <w:proofErr w:type="gramStart"/>
      <w:r>
        <w:rPr>
          <w:rFonts w:ascii="宋体" w:hAnsi="宋体" w:cs="宋体" w:hint="eastAsia"/>
          <w:color w:val="000000"/>
          <w:kern w:val="0"/>
        </w:rPr>
        <w:t>市场宽基指数</w:t>
      </w:r>
      <w:proofErr w:type="gramEnd"/>
      <w:r>
        <w:rPr>
          <w:rFonts w:ascii="宋体" w:hAnsi="宋体" w:cs="宋体" w:hint="eastAsia"/>
          <w:color w:val="000000"/>
          <w:kern w:val="0"/>
        </w:rPr>
        <w:t>表现一般。科技创新是一季度的市场主线，</w:t>
      </w:r>
      <w:proofErr w:type="gramStart"/>
      <w:r>
        <w:rPr>
          <w:rFonts w:ascii="宋体" w:hAnsi="宋体" w:cs="宋体" w:hint="eastAsia"/>
          <w:color w:val="000000"/>
          <w:kern w:val="0"/>
        </w:rPr>
        <w:t>科创指数</w:t>
      </w:r>
      <w:proofErr w:type="gramEnd"/>
      <w:r>
        <w:rPr>
          <w:rFonts w:ascii="宋体" w:hAnsi="宋体" w:cs="宋体" w:hint="eastAsia"/>
          <w:color w:val="000000"/>
          <w:kern w:val="0"/>
        </w:rPr>
        <w:t>、创业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均明显上涨。1、2月在</w:t>
      </w:r>
      <w:proofErr w:type="spellStart"/>
      <w:r>
        <w:rPr>
          <w:rFonts w:ascii="宋体" w:hAnsi="宋体" w:cs="宋体" w:hint="eastAsia"/>
          <w:color w:val="000000"/>
          <w:kern w:val="0"/>
        </w:rPr>
        <w:t>DeepSeek</w:t>
      </w:r>
      <w:proofErr w:type="spellEnd"/>
      <w:r>
        <w:rPr>
          <w:rFonts w:ascii="宋体" w:hAnsi="宋体" w:cs="宋体" w:hint="eastAsia"/>
          <w:color w:val="000000"/>
          <w:kern w:val="0"/>
        </w:rPr>
        <w:t>大模型和人形机器人的驱动下，国产人工智能</w:t>
      </w:r>
      <w:proofErr w:type="gramStart"/>
      <w:r>
        <w:rPr>
          <w:rFonts w:ascii="宋体" w:hAnsi="宋体" w:cs="宋体" w:hint="eastAsia"/>
          <w:color w:val="000000"/>
          <w:kern w:val="0"/>
        </w:rPr>
        <w:t>算力基础</w:t>
      </w:r>
      <w:proofErr w:type="gramEnd"/>
      <w:r>
        <w:rPr>
          <w:rFonts w:ascii="宋体" w:hAnsi="宋体" w:cs="宋体" w:hint="eastAsia"/>
          <w:color w:val="000000"/>
          <w:kern w:val="0"/>
        </w:rPr>
        <w:t>设施和机器人相关股票表现亮眼。3月份之后，创新</w:t>
      </w:r>
      <w:proofErr w:type="gramStart"/>
      <w:r>
        <w:rPr>
          <w:rFonts w:ascii="宋体" w:hAnsi="宋体" w:cs="宋体" w:hint="eastAsia"/>
          <w:color w:val="000000"/>
          <w:kern w:val="0"/>
        </w:rPr>
        <w:t>药板块</w:t>
      </w:r>
      <w:proofErr w:type="gramEnd"/>
      <w:r>
        <w:rPr>
          <w:rFonts w:ascii="宋体" w:hAnsi="宋体" w:cs="宋体" w:hint="eastAsia"/>
          <w:color w:val="000000"/>
          <w:kern w:val="0"/>
        </w:rPr>
        <w:t>表现较好。我们的持仓以均衡为主，一季度增加了对汽车、机械、医药、银行等行业的配置。</w:t>
      </w:r>
      <w:r>
        <w:rPr>
          <w:rFonts w:ascii="宋体" w:hAnsi="宋体" w:cs="宋体" w:hint="eastAsia"/>
          <w:color w:val="000000"/>
          <w:kern w:val="0"/>
        </w:rPr>
        <w:br/>
        <w:t xml:space="preserve">　　展望未来，我们认为市场风险、机遇并存。首先最重要的仍是宏观经济的发展趋势和宏观政策力度。2025年初的中国宏观经济不及预期，海外美国新一届政府的贸易、利率政策均存在很大不确定性，在一定程度上带来了全球经济的不确定性和政策的观望，因此宏观的底色并不亮眼，这也是最大的风险来源。但由于市场流动性充沛，逆周期调节的政策储备仍然丰富，市场仍有望体现出较明显的结构型行情。结构性行情的抓手是科技创新，这是由自上而下的政策顶层设计和自下而上的企业科技能力突破所共同决定的。以国产AI（人工智能）为例，部分科技企业横空出世，灿烂夺目，带动了相关领域的大发展。事实上，“横空出世”这个描述并不准确，因为即使是近期最为夺目的</w:t>
      </w:r>
      <w:proofErr w:type="spellStart"/>
      <w:r>
        <w:rPr>
          <w:rFonts w:ascii="宋体" w:hAnsi="宋体" w:cs="宋体" w:hint="eastAsia"/>
          <w:color w:val="000000"/>
          <w:kern w:val="0"/>
        </w:rPr>
        <w:t>DeepSeek</w:t>
      </w:r>
      <w:proofErr w:type="spellEnd"/>
      <w:r>
        <w:rPr>
          <w:rFonts w:ascii="宋体" w:hAnsi="宋体" w:cs="宋体" w:hint="eastAsia"/>
          <w:color w:val="000000"/>
          <w:kern w:val="0"/>
        </w:rPr>
        <w:t>，也不是初创企业，其历史甚至能上溯至2008年，期间进行了无数的探索、创新。中国的AI产业最初来自于海外大型互联网厂商和芯片公司里的中国创业者，以及海外华人中的学术领袖，从一开始就站在产业的前沿，不断吸收消化先进的技术创新，结合本土的商业化实践，终于出现了被全球所认可的创新突破。因此这不是一个从天而降的偶发事件，这是一个符合产业发展逻辑，必然出现的成功案例，其成功也再一次证明中国是世界上最重要的产业创新基地之一，未来更多的创新成果将涌现，中国科技型企业的价值重估或将持续。在人工智能、高端制造业和创新药等领域，预计将持续看到中国企业的突破。</w:t>
      </w:r>
      <w:r>
        <w:rPr>
          <w:rFonts w:ascii="宋体" w:hAnsi="宋体" w:cs="宋体" w:hint="eastAsia"/>
          <w:color w:val="000000"/>
          <w:kern w:val="0"/>
        </w:rPr>
        <w:br/>
        <w:t xml:space="preserve">　　另一方面，随着宏观经济的逐步复苏，我们也将从企业的经营变化、财务报表的变化上，寻找经营持续改善的公司。它们有些是细分消费品产业龙头，有些是制造业出口龙头。考虑到最近几年的宏观经济和国际局势，这些公司经营的持续改善显得更为难能可贵，我们也将结合基本面的变化和估值水平，对这些公司进行重点投资。</w:t>
      </w:r>
    </w:p>
    <w:p w:rsidR="00756A80" w:rsidRDefault="008C767E">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756A80" w:rsidRDefault="008C767E">
      <w:pPr>
        <w:spacing w:line="360" w:lineRule="auto"/>
        <w:ind w:firstLineChars="200" w:firstLine="420"/>
      </w:pPr>
      <w:r>
        <w:rPr>
          <w:rFonts w:ascii="宋体" w:hAnsi="宋体" w:hint="eastAsia"/>
        </w:rPr>
        <w:t>本报告期摩根整合驱动混合A份额净值增长率为：0.21%，同期业绩比较基准收益率为：-0.78%；</w:t>
      </w:r>
      <w:r>
        <w:rPr>
          <w:rFonts w:ascii="宋体" w:hAnsi="宋体" w:hint="eastAsia"/>
        </w:rPr>
        <w:br/>
      </w:r>
      <w:r>
        <w:rPr>
          <w:rFonts w:ascii="宋体" w:hAnsi="宋体" w:hint="eastAsia"/>
        </w:rPr>
        <w:lastRenderedPageBreak/>
        <w:t xml:space="preserve">　　摩根整合驱动混合C份额净值增长率为：0.10%，同期业绩比较基准收益率为：-0.78%。</w:t>
      </w:r>
    </w:p>
    <w:p w:rsidR="00756A80" w:rsidRDefault="008C767E">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756A80" w:rsidRDefault="008C767E">
      <w:pPr>
        <w:spacing w:line="360" w:lineRule="auto"/>
        <w:ind w:firstLineChars="200" w:firstLine="420"/>
        <w:jc w:val="left"/>
      </w:pPr>
      <w:r>
        <w:rPr>
          <w:rFonts w:ascii="宋体" w:hAnsi="宋体" w:hint="eastAsia"/>
        </w:rPr>
        <w:t>无。</w:t>
      </w:r>
    </w:p>
    <w:p w:rsidR="00756A80" w:rsidRDefault="008C767E">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756A80" w:rsidRDefault="008C767E">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56A80" w:rsidRDefault="008C767E">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756A80" w:rsidRDefault="008C767E">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756A80" w:rsidRDefault="008C767E">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756A80" w:rsidRDefault="008C767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161,630,312.89</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80.84</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161,630,312.89</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80.84</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37,351,341.87</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18.68</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949,333.33</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0.47</w:t>
            </w:r>
          </w:p>
        </w:tc>
      </w:tr>
      <w:tr w:rsidR="00756A80">
        <w:trPr>
          <w:divId w:val="5007614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756A80" w:rsidRDefault="008C767E">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756A80" w:rsidRDefault="008C767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199,930,988.09</w:t>
            </w:r>
          </w:p>
        </w:tc>
        <w:tc>
          <w:tcPr>
            <w:tcW w:w="1333" w:type="pct"/>
            <w:tcBorders>
              <w:top w:val="single" w:sz="4" w:space="0" w:color="auto"/>
              <w:left w:val="nil"/>
              <w:bottom w:val="single" w:sz="4" w:space="0" w:color="auto"/>
              <w:right w:val="single" w:sz="4" w:space="0" w:color="auto"/>
            </w:tcBorders>
            <w:vAlign w:val="center"/>
            <w:hideMark/>
          </w:tcPr>
          <w:p w:rsidR="00756A80" w:rsidRDefault="008C767E">
            <w:pPr>
              <w:jc w:val="right"/>
            </w:pPr>
            <w:r>
              <w:rPr>
                <w:rFonts w:ascii="宋体" w:hAnsi="宋体" w:hint="eastAsia"/>
                <w:szCs w:val="24"/>
                <w:lang w:eastAsia="zh-Hans"/>
              </w:rPr>
              <w:t>100.00</w:t>
            </w:r>
          </w:p>
        </w:tc>
      </w:tr>
    </w:tbl>
    <w:p w:rsidR="00756A80" w:rsidRDefault="008C767E">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756A80" w:rsidRDefault="008C767E">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756A80">
        <w:trPr>
          <w:divId w:val="1340694655"/>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56A80" w:rsidRDefault="008C767E">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756A80" w:rsidRDefault="008C767E">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756A80" w:rsidRDefault="008C767E">
            <w:pPr>
              <w:jc w:val="center"/>
            </w:pPr>
            <w:r>
              <w:rPr>
                <w:rFonts w:ascii="宋体" w:hAnsi="宋体" w:hint="eastAsia"/>
                <w:color w:val="000000"/>
              </w:rPr>
              <w:t xml:space="preserve">占基金资产净值比例（%） </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4,925,016.00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2.51</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115,372,451.05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58.72</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3,006,248.00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1.53</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16,412,981.84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8.35</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20,861,096.00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10.62</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lastRenderedPageBreak/>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1,052,520.00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0.54</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w:t>
            </w:r>
          </w:p>
        </w:tc>
      </w:tr>
      <w:tr w:rsidR="00756A80">
        <w:trPr>
          <w:divId w:val="13406946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756A80" w:rsidRDefault="008C767E">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756A80" w:rsidRDefault="008C767E">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756A80" w:rsidRDefault="008C767E">
            <w:pPr>
              <w:jc w:val="right"/>
            </w:pPr>
            <w:r>
              <w:rPr>
                <w:rFonts w:ascii="宋体" w:hAnsi="宋体" w:hint="eastAsia"/>
                <w:szCs w:val="24"/>
                <w:lang w:eastAsia="zh-Hans"/>
              </w:rPr>
              <w:t>161,630,312.89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56A80" w:rsidRDefault="008C767E">
            <w:pPr>
              <w:jc w:val="right"/>
            </w:pPr>
            <w:r>
              <w:rPr>
                <w:rFonts w:ascii="宋体" w:hAnsi="宋体" w:hint="eastAsia"/>
                <w:szCs w:val="24"/>
                <w:lang w:eastAsia="zh-Hans"/>
              </w:rPr>
              <w:t>82.26</w:t>
            </w:r>
          </w:p>
        </w:tc>
      </w:tr>
    </w:tbl>
    <w:p w:rsidR="00756A80" w:rsidRDefault="008C767E">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p w:rsidR="00756A80" w:rsidRDefault="008C767E">
      <w:pPr>
        <w:spacing w:line="360" w:lineRule="auto"/>
        <w:ind w:firstLineChars="200" w:firstLine="420"/>
        <w:divId w:val="754011796"/>
      </w:pPr>
      <w:r>
        <w:rPr>
          <w:rFonts w:ascii="宋体" w:hAnsi="宋体" w:hint="eastAsia"/>
          <w:szCs w:val="21"/>
          <w:lang w:eastAsia="zh-Hans"/>
        </w:rPr>
        <w:t>本基金本报告期末未持有港股通股票 。</w:t>
      </w:r>
    </w:p>
    <w:p w:rsidR="00756A80" w:rsidRDefault="008C767E">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rsidR="00756A80" w:rsidRDefault="008C767E">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56A80">
        <w:trPr>
          <w:divId w:val="167445228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56A80" w:rsidRDefault="008C767E">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56A80" w:rsidRDefault="008C767E">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56A80" w:rsidRDefault="008C767E">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56A80" w:rsidRDefault="008C767E">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56A80" w:rsidRDefault="008C767E">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56A80" w:rsidRDefault="008C767E">
            <w:pPr>
              <w:jc w:val="center"/>
            </w:pPr>
            <w:r>
              <w:rPr>
                <w:rFonts w:ascii="宋体" w:hAnsi="宋体" w:hint="eastAsia"/>
                <w:color w:val="000000"/>
              </w:rPr>
              <w:t xml:space="preserve">占基金资产净值比例（%） </w:t>
            </w:r>
          </w:p>
        </w:tc>
      </w:tr>
      <w:tr w:rsidR="00756A80">
        <w:trPr>
          <w:divId w:val="16744522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29,657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11,118,409.30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5.66</w:t>
            </w:r>
          </w:p>
        </w:tc>
      </w:tr>
      <w:tr w:rsidR="00756A80">
        <w:trPr>
          <w:divId w:val="16744522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34,758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8,791,688.52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4.47</w:t>
            </w:r>
          </w:p>
        </w:tc>
      </w:tr>
      <w:tr w:rsidR="00756A80">
        <w:trPr>
          <w:divId w:val="16744522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100,300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8,125,303.00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4.14</w:t>
            </w:r>
          </w:p>
        </w:tc>
      </w:tr>
      <w:tr w:rsidR="00756A80">
        <w:trPr>
          <w:divId w:val="16744522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152,800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6,614,712.00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3.37</w:t>
            </w:r>
          </w:p>
        </w:tc>
      </w:tr>
      <w:tr w:rsidR="00756A80">
        <w:trPr>
          <w:divId w:val="16744522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171,076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5,601,028.24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2.85</w:t>
            </w:r>
          </w:p>
        </w:tc>
      </w:tr>
      <w:tr w:rsidR="00756A80">
        <w:trPr>
          <w:divId w:val="16744522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688041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海光信息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39,155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5,532,601.50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2.82</w:t>
            </w:r>
          </w:p>
        </w:tc>
      </w:tr>
      <w:tr w:rsidR="00756A80">
        <w:trPr>
          <w:divId w:val="16744522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688235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百济神州</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22,997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5,492,603.48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2.80</w:t>
            </w:r>
          </w:p>
        </w:tc>
      </w:tr>
      <w:tr w:rsidR="00756A80">
        <w:trPr>
          <w:divId w:val="16744522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600031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三一重工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275,400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5,251,878.00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2.67</w:t>
            </w:r>
          </w:p>
        </w:tc>
      </w:tr>
      <w:tr w:rsidR="00756A80">
        <w:trPr>
          <w:divId w:val="16744522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688213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思特威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52,960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5,139,238.40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2.62</w:t>
            </w:r>
          </w:p>
        </w:tc>
      </w:tr>
      <w:tr w:rsidR="00756A80">
        <w:trPr>
          <w:divId w:val="16744522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601166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szCs w:val="24"/>
                <w:lang w:eastAsia="zh-Hans"/>
              </w:rPr>
              <w:t>兴业银行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235,300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5,082,480.00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2.59</w:t>
            </w:r>
          </w:p>
        </w:tc>
      </w:tr>
    </w:tbl>
    <w:p w:rsidR="00756A80" w:rsidRDefault="008C767E">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p w:rsidR="00756A80" w:rsidRDefault="008C767E">
      <w:pPr>
        <w:spacing w:line="360" w:lineRule="auto"/>
        <w:ind w:firstLineChars="200" w:firstLine="420"/>
        <w:jc w:val="left"/>
      </w:pPr>
      <w:r>
        <w:rPr>
          <w:rFonts w:ascii="宋体" w:hAnsi="宋体" w:hint="eastAsia"/>
        </w:rPr>
        <w:t>本基金本报告期末未持有债券。</w:t>
      </w:r>
      <w:bookmarkStart w:id="206" w:name="m08QD_06"/>
      <w:bookmarkEnd w:id="206"/>
      <w:r>
        <w:rPr>
          <w:rFonts w:ascii="宋体" w:hAnsi="宋体" w:hint="eastAsia"/>
        </w:rPr>
        <w:t xml:space="preserve"> </w:t>
      </w:r>
    </w:p>
    <w:p w:rsidR="00756A80" w:rsidRDefault="008C767E">
      <w:pPr>
        <w:pStyle w:val="XBRLTitle2"/>
        <w:spacing w:before="156" w:line="360" w:lineRule="auto"/>
        <w:ind w:left="454"/>
      </w:pPr>
      <w:bookmarkStart w:id="207" w:name="_Toc17898202"/>
      <w:bookmarkStart w:id="208" w:name="_Toc17897954"/>
      <w:bookmarkStart w:id="209" w:name="_Toc481075071"/>
      <w:bookmarkStart w:id="210" w:name="_Toc438646472"/>
      <w:bookmarkStart w:id="211" w:name="_Toc490050024"/>
      <w:bookmarkStart w:id="212" w:name="_Toc512519503"/>
      <w:bookmarkStart w:id="213" w:name="_Toc513295863"/>
      <w:bookmarkStart w:id="214" w:name="_Toc513295915"/>
      <w:bookmarkStart w:id="215" w:name="m506"/>
      <w:bookmarkEnd w:id="205"/>
      <w:proofErr w:type="spellStart"/>
      <w:r>
        <w:rPr>
          <w:rFonts w:hAnsi="宋体" w:hint="eastAsia"/>
        </w:rPr>
        <w:t>报告期末按公允价值占基金资产净值比例大小排序的前五名债券投资明细</w:t>
      </w:r>
      <w:bookmarkEnd w:id="207"/>
      <w:bookmarkEnd w:id="208"/>
      <w:bookmarkEnd w:id="209"/>
      <w:bookmarkEnd w:id="210"/>
      <w:bookmarkEnd w:id="211"/>
      <w:bookmarkEnd w:id="212"/>
      <w:bookmarkEnd w:id="213"/>
      <w:bookmarkEnd w:id="214"/>
      <w:proofErr w:type="spellEnd"/>
      <w:r>
        <w:rPr>
          <w:rFonts w:hAnsi="宋体" w:hint="eastAsia"/>
        </w:rPr>
        <w:t xml:space="preserve"> </w:t>
      </w:r>
    </w:p>
    <w:p w:rsidR="00756A80" w:rsidRDefault="008C767E">
      <w:pPr>
        <w:spacing w:line="360" w:lineRule="auto"/>
        <w:ind w:firstLineChars="200" w:firstLine="420"/>
        <w:jc w:val="left"/>
      </w:pPr>
      <w:r>
        <w:rPr>
          <w:rFonts w:ascii="宋体" w:hAnsi="宋体" w:hint="eastAsia"/>
          <w:color w:val="000000"/>
          <w:szCs w:val="21"/>
          <w:lang w:eastAsia="zh-Hans"/>
        </w:rPr>
        <w:t>本基金本报告期末未持有债券。</w:t>
      </w:r>
    </w:p>
    <w:p w:rsidR="00756A80" w:rsidRDefault="008C767E">
      <w:pPr>
        <w:pStyle w:val="XBRLTitle2"/>
        <w:spacing w:before="156" w:line="360" w:lineRule="auto"/>
        <w:ind w:left="454"/>
      </w:pPr>
      <w:bookmarkStart w:id="216" w:name="_Toc17898203"/>
      <w:bookmarkStart w:id="217" w:name="_Toc17897955"/>
      <w:bookmarkStart w:id="218" w:name="_Toc481075072"/>
      <w:bookmarkStart w:id="219" w:name="_Toc438646473"/>
      <w:bookmarkStart w:id="220" w:name="_Toc490050025"/>
      <w:bookmarkStart w:id="221" w:name="_Toc512519504"/>
      <w:bookmarkStart w:id="222" w:name="_Toc513295864"/>
      <w:bookmarkStart w:id="223" w:name="_Toc513295916"/>
      <w:bookmarkStart w:id="224" w:name="m507"/>
      <w:bookmarkEnd w:id="215"/>
      <w:proofErr w:type="spellStart"/>
      <w:r>
        <w:rPr>
          <w:rFonts w:hAnsi="宋体" w:hint="eastAsia"/>
        </w:rPr>
        <w:t>报告期末按公允价值占基金资产净值比例大小排序的前十名资产支持证券投资明细</w:t>
      </w:r>
      <w:bookmarkEnd w:id="216"/>
      <w:bookmarkEnd w:id="217"/>
      <w:bookmarkEnd w:id="218"/>
      <w:bookmarkEnd w:id="219"/>
      <w:bookmarkEnd w:id="220"/>
      <w:bookmarkEnd w:id="221"/>
      <w:bookmarkEnd w:id="222"/>
      <w:bookmarkEnd w:id="223"/>
      <w:proofErr w:type="spellEnd"/>
      <w:r>
        <w:rPr>
          <w:rFonts w:hAnsi="宋体" w:hint="eastAsia"/>
        </w:rPr>
        <w:t xml:space="preserve"> </w:t>
      </w:r>
    </w:p>
    <w:p w:rsidR="00756A80" w:rsidRDefault="008C767E">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756A80" w:rsidRDefault="008C767E">
      <w:pPr>
        <w:pStyle w:val="XBRLTitle2"/>
        <w:spacing w:before="156" w:line="360" w:lineRule="auto"/>
        <w:ind w:left="454"/>
      </w:pPr>
      <w:bookmarkStart w:id="225" w:name="_Toc17898204"/>
      <w:bookmarkStart w:id="226" w:name="_Toc17897956"/>
      <w:bookmarkStart w:id="227" w:name="_Toc481075073"/>
      <w:bookmarkStart w:id="228" w:name="_Toc438646474"/>
      <w:bookmarkStart w:id="229" w:name="_Toc490050026"/>
      <w:bookmarkStart w:id="230" w:name="_Toc512519505"/>
      <w:bookmarkStart w:id="231" w:name="_Toc513295865"/>
      <w:bookmarkStart w:id="232" w:name="_Toc513295917"/>
      <w:bookmarkStart w:id="233" w:name="m508"/>
      <w:bookmarkEnd w:id="22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5"/>
      <w:bookmarkEnd w:id="226"/>
      <w:bookmarkEnd w:id="227"/>
      <w:bookmarkEnd w:id="228"/>
      <w:bookmarkEnd w:id="229"/>
      <w:bookmarkEnd w:id="230"/>
      <w:bookmarkEnd w:id="231"/>
      <w:bookmarkEnd w:id="232"/>
      <w:proofErr w:type="spellEnd"/>
      <w:r>
        <w:rPr>
          <w:rFonts w:hAnsi="宋体" w:hint="eastAsia"/>
        </w:rPr>
        <w:t xml:space="preserve"> </w:t>
      </w:r>
    </w:p>
    <w:p w:rsidR="00756A80" w:rsidRDefault="008C767E">
      <w:pPr>
        <w:spacing w:line="360" w:lineRule="auto"/>
        <w:ind w:firstLineChars="200" w:firstLine="420"/>
        <w:divId w:val="287975085"/>
      </w:pPr>
      <w:r>
        <w:rPr>
          <w:rFonts w:ascii="宋体" w:hAnsi="宋体" w:hint="eastAsia"/>
          <w:szCs w:val="21"/>
          <w:lang w:eastAsia="zh-Hans"/>
        </w:rPr>
        <w:t>本基金本报告期末未持有贵金属。</w:t>
      </w:r>
    </w:p>
    <w:p w:rsidR="00756A80" w:rsidRDefault="008C767E">
      <w:pPr>
        <w:pStyle w:val="XBRLTitle2"/>
        <w:spacing w:before="156" w:line="360" w:lineRule="auto"/>
        <w:ind w:left="454"/>
      </w:pPr>
      <w:bookmarkStart w:id="234" w:name="_Toc17898205"/>
      <w:bookmarkStart w:id="235" w:name="_Toc17897957"/>
      <w:bookmarkStart w:id="236" w:name="_Toc481075074"/>
      <w:bookmarkStart w:id="237" w:name="_Toc438646475"/>
      <w:bookmarkStart w:id="238" w:name="_Toc490050027"/>
      <w:bookmarkStart w:id="239" w:name="_Toc512519506"/>
      <w:bookmarkStart w:id="240" w:name="_Toc513295866"/>
      <w:bookmarkStart w:id="241" w:name="_Toc513295918"/>
      <w:bookmarkStart w:id="242" w:name="m509"/>
      <w:bookmarkEnd w:id="233"/>
      <w:proofErr w:type="spellStart"/>
      <w:r>
        <w:rPr>
          <w:rFonts w:hAnsi="宋体" w:hint="eastAsia"/>
        </w:rPr>
        <w:lastRenderedPageBreak/>
        <w:t>报告期末按公允价值占基金资产净值比例大小排序的前五名权证投资明细</w:t>
      </w:r>
      <w:bookmarkEnd w:id="234"/>
      <w:bookmarkEnd w:id="235"/>
      <w:bookmarkEnd w:id="236"/>
      <w:bookmarkEnd w:id="237"/>
      <w:bookmarkEnd w:id="238"/>
      <w:bookmarkEnd w:id="239"/>
      <w:bookmarkEnd w:id="240"/>
      <w:bookmarkEnd w:id="241"/>
      <w:proofErr w:type="spellEnd"/>
      <w:r>
        <w:rPr>
          <w:rFonts w:hAnsi="宋体" w:hint="eastAsia"/>
        </w:rPr>
        <w:t xml:space="preserve"> </w:t>
      </w:r>
      <w:bookmarkEnd w:id="242"/>
    </w:p>
    <w:p w:rsidR="00756A80" w:rsidRDefault="008C767E">
      <w:pPr>
        <w:spacing w:line="360" w:lineRule="auto"/>
        <w:ind w:firstLineChars="200" w:firstLine="420"/>
        <w:divId w:val="992566581"/>
      </w:pPr>
      <w:r>
        <w:rPr>
          <w:rFonts w:ascii="宋体" w:hAnsi="宋体" w:hint="eastAsia"/>
          <w:szCs w:val="21"/>
          <w:lang w:eastAsia="zh-Hans"/>
        </w:rPr>
        <w:t>本基金本报告期末未持有权证。</w:t>
      </w:r>
    </w:p>
    <w:p w:rsidR="00756A80" w:rsidRDefault="008C767E">
      <w:pPr>
        <w:pStyle w:val="XBRLTitle2"/>
        <w:spacing w:before="156"/>
        <w:ind w:left="454"/>
      </w:pPr>
      <w:bookmarkStart w:id="243" w:name="_Toc17898206"/>
      <w:proofErr w:type="spellStart"/>
      <w:r>
        <w:rPr>
          <w:rFonts w:hint="eastAsia"/>
        </w:rPr>
        <w:t>报告期末本基金投资的股指期货交易情况说明</w:t>
      </w:r>
      <w:bookmarkEnd w:id="243"/>
      <w:bookmarkEnd w:id="184"/>
      <w:bookmarkEnd w:id="185"/>
      <w:bookmarkEnd w:id="186"/>
      <w:bookmarkEnd w:id="187"/>
      <w:bookmarkEnd w:id="188"/>
      <w:bookmarkEnd w:id="189"/>
      <w:bookmarkEnd w:id="190"/>
      <w:bookmarkEnd w:id="191"/>
      <w:bookmarkEnd w:id="71"/>
      <w:bookmarkEnd w:id="72"/>
      <w:bookmarkEnd w:id="16"/>
      <w:proofErr w:type="spellEnd"/>
    </w:p>
    <w:p w:rsidR="00756A80" w:rsidRDefault="008C767E">
      <w:pPr>
        <w:spacing w:line="360" w:lineRule="auto"/>
        <w:ind w:firstLineChars="200" w:firstLine="420"/>
        <w:divId w:val="1411466237"/>
      </w:pPr>
      <w:r>
        <w:rPr>
          <w:rFonts w:ascii="宋体" w:hAnsi="宋体" w:hint="eastAsia"/>
          <w:szCs w:val="21"/>
          <w:lang w:eastAsia="zh-Hans"/>
        </w:rPr>
        <w:t>本基金本报告期末未持有股指期货。</w:t>
      </w:r>
    </w:p>
    <w:p w:rsidR="00756A80" w:rsidRDefault="008C767E">
      <w:pPr>
        <w:pStyle w:val="XBRLTitle2"/>
        <w:spacing w:before="156" w:line="360" w:lineRule="auto"/>
        <w:ind w:left="454"/>
      </w:pPr>
      <w:bookmarkStart w:id="244" w:name="_Toc17898209"/>
      <w:bookmarkStart w:id="245" w:name="_Toc17897959"/>
      <w:bookmarkStart w:id="246" w:name="_Toc512519510"/>
      <w:bookmarkStart w:id="247" w:name="_Toc481075078"/>
      <w:bookmarkStart w:id="248" w:name="_Toc490050031"/>
      <w:bookmarkStart w:id="249" w:name="_Toc513295868"/>
      <w:bookmarkStart w:id="250" w:name="_Toc513295922"/>
      <w:bookmarkStart w:id="251" w:name="_Toc438646476"/>
      <w:proofErr w:type="spellStart"/>
      <w:r>
        <w:rPr>
          <w:rFonts w:hAnsi="宋体" w:hint="eastAsia"/>
        </w:rPr>
        <w:t>报告期末本基金投资的国债期货交易情况说明</w:t>
      </w:r>
      <w:bookmarkEnd w:id="244"/>
      <w:bookmarkEnd w:id="245"/>
      <w:bookmarkEnd w:id="246"/>
      <w:bookmarkEnd w:id="247"/>
      <w:bookmarkEnd w:id="248"/>
      <w:bookmarkEnd w:id="249"/>
      <w:bookmarkEnd w:id="250"/>
      <w:proofErr w:type="spellEnd"/>
      <w:r>
        <w:rPr>
          <w:rFonts w:hAnsi="宋体" w:hint="eastAsia"/>
        </w:rPr>
        <w:t xml:space="preserve"> </w:t>
      </w:r>
      <w:bookmarkEnd w:id="251"/>
    </w:p>
    <w:p w:rsidR="00756A80" w:rsidRDefault="008C767E">
      <w:pPr>
        <w:spacing w:line="360" w:lineRule="auto"/>
        <w:ind w:firstLineChars="200" w:firstLine="420"/>
        <w:divId w:val="1282305456"/>
      </w:pPr>
      <w:bookmarkStart w:id="252" w:name="m510_01_1597"/>
      <w:bookmarkStart w:id="253" w:name="m510_01_1598"/>
      <w:bookmarkEnd w:id="252"/>
      <w:r>
        <w:rPr>
          <w:rFonts w:ascii="宋体" w:hAnsi="宋体" w:hint="eastAsia"/>
          <w:szCs w:val="21"/>
          <w:lang w:eastAsia="zh-Hans"/>
        </w:rPr>
        <w:t>本基金本报告期末未持有国债期货。</w:t>
      </w:r>
    </w:p>
    <w:p w:rsidR="00756A80" w:rsidRDefault="008C767E">
      <w:pPr>
        <w:pStyle w:val="XBRLTitle2"/>
        <w:spacing w:before="156" w:line="360" w:lineRule="auto"/>
        <w:ind w:left="454"/>
      </w:pPr>
      <w:bookmarkStart w:id="254" w:name="_Toc17898213"/>
      <w:bookmarkStart w:id="255" w:name="_Toc17897960"/>
      <w:bookmarkStart w:id="256" w:name="_Toc512519514"/>
      <w:bookmarkStart w:id="257" w:name="_Toc481075082"/>
      <w:bookmarkStart w:id="258" w:name="_Toc490050035"/>
      <w:bookmarkStart w:id="259" w:name="_Toc513295869"/>
      <w:bookmarkStart w:id="260" w:name="_Toc513295926"/>
      <w:proofErr w:type="spellStart"/>
      <w:r>
        <w:rPr>
          <w:rFonts w:hAnsi="宋体" w:hint="eastAsia"/>
        </w:rPr>
        <w:t>投资组合报告附注</w:t>
      </w:r>
      <w:bookmarkEnd w:id="254"/>
      <w:bookmarkEnd w:id="255"/>
      <w:bookmarkEnd w:id="256"/>
      <w:bookmarkEnd w:id="257"/>
      <w:bookmarkEnd w:id="258"/>
      <w:bookmarkEnd w:id="259"/>
      <w:bookmarkEnd w:id="260"/>
      <w:proofErr w:type="spellEnd"/>
      <w:r>
        <w:rPr>
          <w:rFonts w:hAnsi="宋体" w:hint="eastAsia"/>
        </w:rPr>
        <w:t xml:space="preserve"> </w:t>
      </w:r>
    </w:p>
    <w:p w:rsidR="00756A80" w:rsidRDefault="008C767E">
      <w:pPr>
        <w:pStyle w:val="XBRLTitle3"/>
        <w:spacing w:before="156"/>
        <w:ind w:left="0"/>
      </w:pPr>
      <w:bookmarkStart w:id="261" w:name="_Toc513295927"/>
      <w:bookmarkStart w:id="262" w:name="_Toc490050036"/>
      <w:bookmarkStart w:id="263" w:name="_Toc481075083"/>
      <w:bookmarkStart w:id="264" w:name="_Toc512519515"/>
      <w:bookmarkStart w:id="265" w:name="_Toc17898214"/>
      <w:bookmarkEnd w:id="261"/>
      <w:bookmarkEnd w:id="262"/>
      <w:bookmarkEnd w:id="263"/>
      <w:bookmarkEnd w:id="264"/>
      <w:r>
        <w:rPr>
          <w:rFonts w:hint="eastAsia"/>
          <w:lang w:eastAsia="zh-CN"/>
        </w:rPr>
        <w:t xml:space="preserve"> </w:t>
      </w:r>
      <w:bookmarkEnd w:id="265"/>
    </w:p>
    <w:p w:rsidR="00756A80" w:rsidRDefault="008C767E">
      <w:pPr>
        <w:spacing w:line="360" w:lineRule="auto"/>
        <w:ind w:firstLineChars="200" w:firstLine="420"/>
      </w:pPr>
      <w:r>
        <w:rPr>
          <w:rFonts w:ascii="宋体" w:hAnsi="宋体" w:hint="eastAsia"/>
        </w:rPr>
        <w:t>本基金投资的前十名证券的发行主体中，兴业银行股份有限公司报告编制日前一年内曾受到国家金融监督管理总局福建监管局的处罚，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756A80" w:rsidRDefault="008C767E">
      <w:pPr>
        <w:pStyle w:val="XBRLTitle3"/>
        <w:spacing w:before="156"/>
        <w:ind w:left="0"/>
      </w:pPr>
      <w:bookmarkStart w:id="266" w:name="_Toc490050037"/>
      <w:bookmarkStart w:id="267" w:name="_Toc481075084"/>
      <w:bookmarkStart w:id="268" w:name="_Toc512519516"/>
      <w:bookmarkStart w:id="269" w:name="_Toc513295928"/>
      <w:bookmarkStart w:id="270" w:name="_Toc17898215"/>
      <w:bookmarkEnd w:id="266"/>
      <w:bookmarkEnd w:id="267"/>
      <w:bookmarkEnd w:id="268"/>
      <w:bookmarkEnd w:id="269"/>
      <w:r>
        <w:rPr>
          <w:rFonts w:hint="eastAsia"/>
          <w:lang w:eastAsia="zh-CN"/>
        </w:rPr>
        <w:t xml:space="preserve"> </w:t>
      </w:r>
      <w:bookmarkEnd w:id="270"/>
    </w:p>
    <w:p w:rsidR="00756A80" w:rsidRDefault="008C767E">
      <w:pPr>
        <w:spacing w:line="360" w:lineRule="auto"/>
        <w:ind w:firstLineChars="200" w:firstLine="420"/>
      </w:pPr>
      <w:r>
        <w:rPr>
          <w:rFonts w:ascii="宋体" w:hAnsi="宋体" w:hint="eastAsia"/>
        </w:rPr>
        <w:t>报告期内本基金投资的前十名股票中没有在基金合同规定备选股票库之外的股票。</w:t>
      </w:r>
    </w:p>
    <w:p w:rsidR="00756A80" w:rsidRDefault="008C767E">
      <w:pPr>
        <w:pStyle w:val="XBRLTitle3"/>
        <w:spacing w:before="156"/>
        <w:ind w:left="0"/>
      </w:pPr>
      <w:bookmarkStart w:id="271" w:name="_Toc17898216"/>
      <w:bookmarkStart w:id="272" w:name="_Toc481075085"/>
      <w:bookmarkStart w:id="273" w:name="_Toc490050038"/>
      <w:bookmarkStart w:id="274" w:name="_Toc512519517"/>
      <w:bookmarkStart w:id="275" w:name="_Toc513295929"/>
      <w:bookmarkStart w:id="276" w:name="m510_02"/>
      <w:bookmarkEnd w:id="253"/>
      <w:proofErr w:type="spellStart"/>
      <w:r>
        <w:rPr>
          <w:rFonts w:hint="eastAsia"/>
        </w:rPr>
        <w:t>其他资产构成</w:t>
      </w:r>
      <w:bookmarkEnd w:id="271"/>
      <w:bookmarkEnd w:id="272"/>
      <w:bookmarkEnd w:id="273"/>
      <w:bookmarkEnd w:id="274"/>
      <w:bookmarkEnd w:id="27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56A80">
        <w:trPr>
          <w:divId w:val="38695651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A80" w:rsidRDefault="008C767E">
            <w:pPr>
              <w:jc w:val="center"/>
            </w:pPr>
            <w:r>
              <w:rPr>
                <w:rFonts w:ascii="宋体" w:hAnsi="宋体" w:hint="eastAsia"/>
              </w:rPr>
              <w:t>金额（元）</w:t>
            </w:r>
            <w:r>
              <w:t xml:space="preserve"> </w:t>
            </w:r>
          </w:p>
        </w:tc>
      </w:tr>
      <w:tr w:rsidR="00756A80">
        <w:trPr>
          <w:divId w:val="3869565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rPr>
              <w:t>71,573.61</w:t>
            </w:r>
          </w:p>
        </w:tc>
      </w:tr>
      <w:tr w:rsidR="00756A80">
        <w:trPr>
          <w:divId w:val="3869565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rPr>
              <w:t>533,096.65</w:t>
            </w:r>
          </w:p>
        </w:tc>
      </w:tr>
      <w:tr w:rsidR="00756A80">
        <w:trPr>
          <w:divId w:val="3869565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rPr>
              <w:t>-</w:t>
            </w:r>
          </w:p>
        </w:tc>
      </w:tr>
      <w:tr w:rsidR="00756A80">
        <w:trPr>
          <w:divId w:val="3869565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rPr>
              <w:t>-</w:t>
            </w:r>
          </w:p>
        </w:tc>
      </w:tr>
      <w:tr w:rsidR="00756A80">
        <w:trPr>
          <w:divId w:val="3869565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rPr>
              <w:t>344,663.07</w:t>
            </w:r>
          </w:p>
        </w:tc>
      </w:tr>
      <w:tr w:rsidR="00756A80">
        <w:trPr>
          <w:divId w:val="3869565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rPr>
              <w:t>-</w:t>
            </w:r>
          </w:p>
        </w:tc>
      </w:tr>
      <w:tr w:rsidR="00756A80">
        <w:trPr>
          <w:divId w:val="3869565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rPr>
              <w:t>-</w:t>
            </w:r>
          </w:p>
        </w:tc>
      </w:tr>
      <w:tr w:rsidR="00756A80">
        <w:trPr>
          <w:divId w:val="3869565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rPr>
              <w:t>949,333.33</w:t>
            </w:r>
          </w:p>
        </w:tc>
      </w:tr>
    </w:tbl>
    <w:p w:rsidR="00756A80" w:rsidRDefault="008C767E">
      <w:pPr>
        <w:pStyle w:val="XBRLTitle3"/>
        <w:spacing w:before="156"/>
        <w:ind w:left="0"/>
      </w:pPr>
      <w:bookmarkStart w:id="277" w:name="_Toc17898217"/>
      <w:bookmarkStart w:id="278" w:name="_Toc481075086"/>
      <w:bookmarkStart w:id="279" w:name="_Toc490050039"/>
      <w:bookmarkStart w:id="280" w:name="_Toc512519518"/>
      <w:bookmarkStart w:id="281" w:name="_Toc513295930"/>
      <w:bookmarkStart w:id="282" w:name="m510_03"/>
      <w:bookmarkEnd w:id="276"/>
      <w:proofErr w:type="spellStart"/>
      <w:r>
        <w:rPr>
          <w:rFonts w:hint="eastAsia"/>
        </w:rPr>
        <w:t>报告期末持有的处于转股期的可转换债券明细</w:t>
      </w:r>
      <w:bookmarkEnd w:id="277"/>
      <w:bookmarkEnd w:id="278"/>
      <w:bookmarkEnd w:id="279"/>
      <w:bookmarkEnd w:id="280"/>
      <w:bookmarkEnd w:id="281"/>
      <w:proofErr w:type="spellEnd"/>
    </w:p>
    <w:p w:rsidR="00756A80" w:rsidRDefault="008C767E">
      <w:pPr>
        <w:spacing w:line="360" w:lineRule="auto"/>
        <w:ind w:firstLineChars="200" w:firstLine="420"/>
        <w:jc w:val="left"/>
      </w:pPr>
      <w:r>
        <w:rPr>
          <w:rFonts w:ascii="宋体" w:hAnsi="宋体" w:hint="eastAsia"/>
        </w:rPr>
        <w:t xml:space="preserve">本基金本报告期末未持有处于转股期的可转换债券。 </w:t>
      </w:r>
    </w:p>
    <w:p w:rsidR="00756A80" w:rsidRDefault="008C767E">
      <w:pPr>
        <w:pStyle w:val="XBRLTitle3"/>
        <w:spacing w:before="156"/>
        <w:ind w:left="0"/>
      </w:pPr>
      <w:bookmarkStart w:id="283" w:name="_Toc17898218"/>
      <w:bookmarkStart w:id="284" w:name="_Toc481075087"/>
      <w:bookmarkStart w:id="285" w:name="_Toc490050040"/>
      <w:bookmarkStart w:id="286" w:name="_Toc512519519"/>
      <w:bookmarkStart w:id="287" w:name="_Toc513295931"/>
      <w:bookmarkStart w:id="288" w:name="m510_04"/>
      <w:bookmarkEnd w:id="282"/>
      <w:proofErr w:type="spellStart"/>
      <w:r>
        <w:rPr>
          <w:rFonts w:hint="eastAsia"/>
        </w:rPr>
        <w:t>报告期末前十名股票中存在流通受限情况的说明</w:t>
      </w:r>
      <w:bookmarkEnd w:id="283"/>
      <w:bookmarkEnd w:id="284"/>
      <w:bookmarkEnd w:id="285"/>
      <w:bookmarkEnd w:id="286"/>
      <w:bookmarkEnd w:id="287"/>
      <w:proofErr w:type="spellEnd"/>
    </w:p>
    <w:p w:rsidR="00756A80" w:rsidRDefault="008C767E">
      <w:pPr>
        <w:spacing w:line="360" w:lineRule="auto"/>
        <w:ind w:firstLineChars="200" w:firstLine="420"/>
        <w:jc w:val="left"/>
        <w:divId w:val="385111056"/>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7"/>
    </w:p>
    <w:p w:rsidR="00756A80" w:rsidRDefault="008C767E">
      <w:pPr>
        <w:pStyle w:val="XBRLTitle3"/>
        <w:spacing w:before="156"/>
        <w:ind w:left="0"/>
      </w:pPr>
      <w:bookmarkStart w:id="289" w:name="_Toc17898219"/>
      <w:bookmarkStart w:id="290" w:name="_Toc512519520"/>
      <w:bookmarkStart w:id="291" w:name="_Toc481075088"/>
      <w:bookmarkStart w:id="292" w:name="_Toc490050041"/>
      <w:bookmarkStart w:id="293" w:name="_Toc513295932"/>
      <w:bookmarkStart w:id="294" w:name="m510_05_1678"/>
      <w:bookmarkEnd w:id="288"/>
      <w:proofErr w:type="spellStart"/>
      <w:r>
        <w:rPr>
          <w:rFonts w:hint="eastAsia"/>
        </w:rPr>
        <w:lastRenderedPageBreak/>
        <w:t>投资组合报告附注的其他文字描述部分</w:t>
      </w:r>
      <w:bookmarkEnd w:id="289"/>
      <w:bookmarkEnd w:id="290"/>
      <w:bookmarkEnd w:id="291"/>
      <w:bookmarkEnd w:id="292"/>
      <w:bookmarkEnd w:id="293"/>
      <w:proofErr w:type="spellEnd"/>
      <w:r>
        <w:rPr>
          <w:rFonts w:hint="eastAsia"/>
          <w:sz w:val="21"/>
        </w:rPr>
        <w:t xml:space="preserve"> </w:t>
      </w:r>
    </w:p>
    <w:p w:rsidR="00756A80" w:rsidRDefault="008C767E">
      <w:pPr>
        <w:spacing w:line="360" w:lineRule="auto"/>
        <w:ind w:firstLineChars="200" w:firstLine="420"/>
        <w:jc w:val="left"/>
      </w:pPr>
      <w:r>
        <w:rPr>
          <w:rFonts w:ascii="宋体" w:hAnsi="宋体" w:hint="eastAsia"/>
        </w:rPr>
        <w:t>因四舍五入原因，投资组合报告中分项之和与合计可能存在尾差。</w:t>
      </w:r>
      <w:bookmarkEnd w:id="294"/>
      <w:r>
        <w:rPr>
          <w:rFonts w:ascii="宋体" w:hAnsi="宋体" w:hint="eastAsia"/>
        </w:rPr>
        <w:t xml:space="preserve"> </w:t>
      </w:r>
    </w:p>
    <w:p w:rsidR="00756A80" w:rsidRDefault="008C767E">
      <w:pPr>
        <w:pStyle w:val="XBRLTitle1"/>
        <w:spacing w:before="156" w:line="360" w:lineRule="auto"/>
        <w:ind w:left="425"/>
      </w:pPr>
      <w:bookmarkStart w:id="295" w:name="_Toc17898220"/>
      <w:bookmarkStart w:id="296" w:name="_Toc17897961"/>
      <w:bookmarkStart w:id="297" w:name="_Toc512519521"/>
      <w:bookmarkStart w:id="298" w:name="_Toc481075089"/>
      <w:bookmarkStart w:id="299" w:name="_Toc438646477"/>
      <w:bookmarkStart w:id="300" w:name="_Toc490050042"/>
      <w:bookmarkStart w:id="301" w:name="_Toc513295870"/>
      <w:bookmarkStart w:id="302" w:name="_Toc513295933"/>
      <w:bookmarkStart w:id="303" w:name="m601"/>
      <w:bookmarkEnd w:id="182"/>
      <w:proofErr w:type="spellStart"/>
      <w:r>
        <w:rPr>
          <w:rFonts w:hAnsi="宋体" w:hint="eastAsia"/>
        </w:rPr>
        <w:t>开放式基金份额变动</w:t>
      </w:r>
      <w:bookmarkStart w:id="304" w:name="m601_tab"/>
      <w:bookmarkEnd w:id="295"/>
      <w:bookmarkEnd w:id="296"/>
      <w:bookmarkEnd w:id="297"/>
      <w:bookmarkEnd w:id="298"/>
      <w:bookmarkEnd w:id="299"/>
      <w:bookmarkEnd w:id="300"/>
      <w:bookmarkEnd w:id="301"/>
      <w:bookmarkEnd w:id="302"/>
      <w:proofErr w:type="spellEnd"/>
      <w:r>
        <w:rPr>
          <w:rFonts w:hAnsi="宋体" w:hint="eastAsia"/>
        </w:rPr>
        <w:t xml:space="preserve"> </w:t>
      </w:r>
    </w:p>
    <w:p w:rsidR="00756A80" w:rsidRDefault="008C767E">
      <w:pPr>
        <w:wordWrap w:val="0"/>
        <w:spacing w:line="360" w:lineRule="auto"/>
        <w:jc w:val="right"/>
        <w:divId w:val="1107433877"/>
      </w:pPr>
      <w:bookmarkStart w:id="30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86"/>
        <w:gridCol w:w="2535"/>
      </w:tblGrid>
      <w:tr w:rsidR="00756A80">
        <w:trPr>
          <w:divId w:val="110743387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756A80" w:rsidRDefault="008C767E">
            <w:pPr>
              <w:pStyle w:val="xl33"/>
              <w:widowControl w:val="0"/>
              <w:pBdr>
                <w:left w:val="none" w:sz="0" w:space="0" w:color="auto"/>
                <w:bottom w:val="none" w:sz="0" w:space="0" w:color="auto"/>
                <w:right w:val="none" w:sz="0" w:space="0" w:color="auto"/>
              </w:pBdr>
              <w:spacing w:before="0" w:beforeAutospacing="0" w:after="0" w:afterAutospacing="0"/>
              <w:jc w:val="both"/>
            </w:pPr>
            <w:bookmarkStart w:id="306" w:name="m10_01" w:colFirst="1" w:colLast="2"/>
            <w:bookmarkEnd w:id="305"/>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6A80" w:rsidRDefault="008C767E">
            <w:pPr>
              <w:ind w:right="3"/>
              <w:jc w:val="center"/>
            </w:pPr>
            <w:r>
              <w:rPr>
                <w:rFonts w:ascii="宋体" w:hAnsi="宋体" w:hint="eastAsia"/>
                <w:lang w:eastAsia="zh-Hans"/>
              </w:rPr>
              <w:t>摩根整合驱动混合A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6A80" w:rsidRDefault="008C767E">
            <w:pPr>
              <w:ind w:right="3"/>
              <w:jc w:val="center"/>
            </w:pPr>
            <w:r>
              <w:rPr>
                <w:rFonts w:ascii="宋体" w:hAnsi="宋体" w:hint="eastAsia"/>
                <w:lang w:eastAsia="zh-Hans"/>
              </w:rPr>
              <w:t>摩根整合驱动混合C</w:t>
            </w:r>
            <w:r>
              <w:rPr>
                <w:rFonts w:ascii="宋体" w:hAnsi="宋体" w:hint="eastAsia"/>
                <w:kern w:val="0"/>
                <w:szCs w:val="24"/>
                <w:lang w:eastAsia="zh-Hans"/>
              </w:rPr>
              <w:t xml:space="preserve"> </w:t>
            </w:r>
          </w:p>
        </w:tc>
      </w:tr>
      <w:tr w:rsidR="00756A80">
        <w:trPr>
          <w:divId w:val="110743387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jc w:val="right"/>
            </w:pPr>
            <w:r>
              <w:rPr>
                <w:rFonts w:ascii="宋体" w:hAnsi="宋体" w:hint="eastAsia"/>
              </w:rPr>
              <w:t>520,456,436.11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jc w:val="right"/>
            </w:pPr>
            <w:r>
              <w:rPr>
                <w:rFonts w:ascii="宋体" w:hAnsi="宋体" w:hint="eastAsia"/>
              </w:rPr>
              <w:t>773,941.76</w:t>
            </w:r>
          </w:p>
        </w:tc>
      </w:tr>
      <w:tr w:rsidR="00756A80">
        <w:trPr>
          <w:divId w:val="110743387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jc w:val="right"/>
            </w:pPr>
            <w:r>
              <w:rPr>
                <w:rFonts w:ascii="宋体" w:hAnsi="宋体" w:hint="eastAsia"/>
              </w:rPr>
              <w:t>3,615,399.13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jc w:val="right"/>
            </w:pPr>
            <w:r>
              <w:rPr>
                <w:rFonts w:ascii="宋体" w:hAnsi="宋体" w:hint="eastAsia"/>
              </w:rPr>
              <w:t>595,850.92</w:t>
            </w:r>
          </w:p>
        </w:tc>
      </w:tr>
      <w:tr w:rsidR="00756A80">
        <w:trPr>
          <w:divId w:val="110743387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jc w:val="right"/>
            </w:pPr>
            <w:r>
              <w:rPr>
                <w:rFonts w:ascii="宋体" w:hAnsi="宋体" w:hint="eastAsia"/>
              </w:rPr>
              <w:t>16,622,108.45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jc w:val="right"/>
            </w:pPr>
            <w:r>
              <w:rPr>
                <w:rFonts w:ascii="宋体" w:hAnsi="宋体" w:hint="eastAsia"/>
              </w:rPr>
              <w:t>330,978.51</w:t>
            </w:r>
          </w:p>
        </w:tc>
      </w:tr>
      <w:tr w:rsidR="00756A80">
        <w:trPr>
          <w:divId w:val="110743387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jc w:val="right"/>
            </w:pPr>
            <w:r>
              <w:rPr>
                <w:rFonts w:ascii="宋体" w:hAnsi="宋体" w:hint="eastAsia"/>
              </w:rPr>
              <w:t>-</w:t>
            </w:r>
          </w:p>
        </w:tc>
      </w:tr>
      <w:tr w:rsidR="00756A80">
        <w:trPr>
          <w:divId w:val="110743387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jc w:val="right"/>
            </w:pPr>
            <w:r>
              <w:rPr>
                <w:rFonts w:ascii="宋体" w:hAnsi="宋体" w:hint="eastAsia"/>
              </w:rPr>
              <w:t>507,449,726.79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56A80" w:rsidRDefault="008C767E">
            <w:pPr>
              <w:jc w:val="right"/>
            </w:pPr>
            <w:r>
              <w:rPr>
                <w:rFonts w:ascii="宋体" w:hAnsi="宋体" w:hint="eastAsia"/>
              </w:rPr>
              <w:t>1,038,814.17</w:t>
            </w:r>
          </w:p>
        </w:tc>
      </w:tr>
    </w:tbl>
    <w:p w:rsidR="00756A80" w:rsidRDefault="008C767E">
      <w:pPr>
        <w:spacing w:line="360" w:lineRule="auto"/>
        <w:jc w:val="left"/>
        <w:divId w:val="110743387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6"/>
      <w:r>
        <w:rPr>
          <w:rFonts w:ascii="宋体" w:hAnsi="宋体" w:hint="eastAsia"/>
        </w:rPr>
        <w:t xml:space="preserve"> </w:t>
      </w:r>
    </w:p>
    <w:p w:rsidR="00756A80" w:rsidRDefault="008C767E">
      <w:pPr>
        <w:pStyle w:val="XBRLTitle1"/>
        <w:spacing w:before="156" w:line="360" w:lineRule="auto"/>
        <w:ind w:left="425"/>
      </w:pPr>
      <w:bookmarkStart w:id="307" w:name="_Toc17898221"/>
      <w:bookmarkStart w:id="308" w:name="_Toc17897962"/>
      <w:bookmarkStart w:id="309" w:name="m7manage01"/>
      <w:bookmarkStart w:id="310" w:name="_Toc512519522"/>
      <w:bookmarkStart w:id="311" w:name="_Toc481075090"/>
      <w:bookmarkStart w:id="312" w:name="_Toc438646478"/>
      <w:bookmarkStart w:id="313" w:name="_Toc490050043"/>
      <w:bookmarkStart w:id="314" w:name="_Toc513295871"/>
      <w:bookmarkStart w:id="315" w:name="_Toc513295934"/>
      <w:bookmarkEnd w:id="303"/>
      <w:bookmarkEnd w:id="304"/>
      <w:proofErr w:type="spellStart"/>
      <w:r>
        <w:rPr>
          <w:rFonts w:hAnsi="宋体" w:hint="eastAsia"/>
        </w:rPr>
        <w:t>基金管理人运用固有资金投资本基金情况</w:t>
      </w:r>
      <w:bookmarkEnd w:id="307"/>
      <w:bookmarkEnd w:id="308"/>
      <w:bookmarkEnd w:id="309"/>
      <w:bookmarkEnd w:id="310"/>
      <w:bookmarkEnd w:id="311"/>
      <w:bookmarkEnd w:id="312"/>
      <w:bookmarkEnd w:id="313"/>
      <w:bookmarkEnd w:id="314"/>
      <w:bookmarkEnd w:id="315"/>
      <w:proofErr w:type="spellEnd"/>
      <w:r>
        <w:rPr>
          <w:rFonts w:hAnsi="宋体" w:hint="eastAsia"/>
        </w:rPr>
        <w:t xml:space="preserve"> </w:t>
      </w:r>
    </w:p>
    <w:p w:rsidR="00756A80" w:rsidRDefault="008C767E">
      <w:pPr>
        <w:pStyle w:val="XBRLTitle2"/>
        <w:spacing w:before="156" w:line="360" w:lineRule="auto"/>
        <w:ind w:left="454"/>
      </w:pPr>
      <w:bookmarkStart w:id="316" w:name="_Toc17898222"/>
      <w:bookmarkStart w:id="317" w:name="_Toc17897963"/>
      <w:bookmarkStart w:id="318" w:name="_Toc512519523"/>
      <w:bookmarkStart w:id="319" w:name="_Toc481075091"/>
      <w:bookmarkStart w:id="320" w:name="_Toc458599606"/>
      <w:bookmarkStart w:id="321" w:name="_Toc490050044"/>
      <w:bookmarkStart w:id="322" w:name="_Toc513295872"/>
      <w:bookmarkStart w:id="323" w:name="_Toc513295935"/>
      <w:proofErr w:type="spellStart"/>
      <w:r>
        <w:rPr>
          <w:rFonts w:hAnsi="宋体" w:hint="eastAsia"/>
        </w:rPr>
        <w:t>基金管理人持有本基金份额变动情况</w:t>
      </w:r>
      <w:bookmarkEnd w:id="316"/>
      <w:bookmarkEnd w:id="317"/>
      <w:bookmarkEnd w:id="318"/>
      <w:bookmarkEnd w:id="319"/>
      <w:bookmarkEnd w:id="320"/>
      <w:bookmarkEnd w:id="321"/>
      <w:bookmarkEnd w:id="322"/>
      <w:bookmarkEnd w:id="323"/>
      <w:proofErr w:type="spellEnd"/>
      <w:r>
        <w:rPr>
          <w:rFonts w:hAnsi="宋体" w:hint="eastAsia"/>
          <w:lang w:eastAsia="zh-CN"/>
        </w:rPr>
        <w:t xml:space="preserve"> </w:t>
      </w:r>
    </w:p>
    <w:p w:rsidR="00756A80" w:rsidRDefault="008C767E">
      <w:pPr>
        <w:wordWrap w:val="0"/>
        <w:spacing w:line="360" w:lineRule="auto"/>
        <w:jc w:val="right"/>
        <w:divId w:val="810102460"/>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756A80">
        <w:trPr>
          <w:divId w:val="810102460"/>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jc w:val="center"/>
            </w:pPr>
            <w:r>
              <w:rPr>
                <w:rFonts w:ascii="宋体" w:hAnsi="宋体" w:hint="eastAsia"/>
                <w:lang w:eastAsia="zh-Hans"/>
              </w:rPr>
              <w:t>摩根整合驱动混合A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A80" w:rsidRDefault="008C767E">
            <w:pPr>
              <w:jc w:val="center"/>
            </w:pPr>
            <w:r>
              <w:rPr>
                <w:rFonts w:ascii="宋体" w:hAnsi="宋体" w:hint="eastAsia"/>
                <w:lang w:eastAsia="zh-Hans"/>
              </w:rPr>
              <w:t>摩根整合驱动混合C</w:t>
            </w:r>
            <w:r>
              <w:rPr>
                <w:rFonts w:ascii="宋体" w:hAnsi="宋体" w:hint="eastAsia"/>
                <w:color w:val="000000"/>
              </w:rPr>
              <w:t xml:space="preserve"> </w:t>
            </w:r>
          </w:p>
        </w:tc>
      </w:tr>
      <w:tr w:rsidR="00756A80">
        <w:trPr>
          <w:divId w:val="81010246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kern w:val="0"/>
                <w:szCs w:val="24"/>
                <w:lang w:eastAsia="zh-Hans"/>
              </w:rPr>
              <w:t>416,059.62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kern w:val="0"/>
                <w:szCs w:val="24"/>
                <w:lang w:eastAsia="zh-Hans"/>
              </w:rPr>
              <w:t>-</w:t>
            </w:r>
          </w:p>
        </w:tc>
      </w:tr>
      <w:tr w:rsidR="00756A80">
        <w:trPr>
          <w:divId w:val="81010246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szCs w:val="24"/>
                <w:lang w:eastAsia="zh-Hans"/>
              </w:rPr>
              <w:t>-</w:t>
            </w:r>
          </w:p>
        </w:tc>
      </w:tr>
      <w:tr w:rsidR="00756A80">
        <w:trPr>
          <w:divId w:val="81010246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lang w:eastAsia="zh-Hans"/>
              </w:rPr>
              <w:t>-</w:t>
            </w:r>
          </w:p>
        </w:tc>
      </w:tr>
      <w:tr w:rsidR="00756A80">
        <w:trPr>
          <w:divId w:val="81010246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lang w:eastAsia="zh-Hans"/>
              </w:rPr>
              <w:t>416,059.62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lang w:eastAsia="zh-Hans"/>
              </w:rPr>
              <w:t>-</w:t>
            </w:r>
          </w:p>
        </w:tc>
      </w:tr>
      <w:tr w:rsidR="00756A80">
        <w:trPr>
          <w:divId w:val="81010246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lang w:eastAsia="zh-Hans"/>
              </w:rPr>
              <w:t>0.08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56A80" w:rsidRDefault="008C767E">
            <w:pPr>
              <w:jc w:val="right"/>
            </w:pPr>
            <w:r>
              <w:rPr>
                <w:rFonts w:ascii="宋体" w:hAnsi="宋体" w:hint="eastAsia"/>
                <w:lang w:eastAsia="zh-Hans"/>
              </w:rPr>
              <w:t>-</w:t>
            </w:r>
          </w:p>
        </w:tc>
      </w:tr>
    </w:tbl>
    <w:p w:rsidR="00756A80" w:rsidRDefault="008C767E">
      <w:pPr>
        <w:pStyle w:val="XBRLTitle2"/>
        <w:spacing w:before="156" w:line="360" w:lineRule="auto"/>
        <w:ind w:left="454"/>
      </w:pPr>
      <w:bookmarkStart w:id="324" w:name="_Toc17898223"/>
      <w:bookmarkStart w:id="325" w:name="_Toc17897964"/>
      <w:bookmarkStart w:id="326" w:name="_Toc512519524"/>
      <w:bookmarkStart w:id="327" w:name="_Toc481075092"/>
      <w:bookmarkStart w:id="328" w:name="_Toc458599607"/>
      <w:bookmarkStart w:id="329" w:name="_Toc490050045"/>
      <w:bookmarkStart w:id="330" w:name="_Toc513295873"/>
      <w:bookmarkStart w:id="331" w:name="_Toc513295936"/>
      <w:proofErr w:type="spellStart"/>
      <w:r>
        <w:rPr>
          <w:rFonts w:hAnsi="宋体" w:hint="eastAsia"/>
        </w:rPr>
        <w:t>基金管理人运用固有资金投资本基金交易明细</w:t>
      </w:r>
      <w:bookmarkEnd w:id="324"/>
      <w:bookmarkEnd w:id="325"/>
      <w:bookmarkEnd w:id="326"/>
      <w:bookmarkEnd w:id="327"/>
      <w:bookmarkEnd w:id="328"/>
      <w:bookmarkEnd w:id="329"/>
      <w:bookmarkEnd w:id="330"/>
      <w:bookmarkEnd w:id="331"/>
      <w:proofErr w:type="spellEnd"/>
      <w:r>
        <w:rPr>
          <w:rFonts w:hAnsi="宋体" w:hint="eastAsia"/>
          <w:lang w:eastAsia="zh-CN"/>
        </w:rPr>
        <w:t xml:space="preserve"> </w:t>
      </w:r>
    </w:p>
    <w:p w:rsidR="00756A80" w:rsidRDefault="008C767E">
      <w:pPr>
        <w:spacing w:line="360" w:lineRule="auto"/>
        <w:ind w:firstLineChars="200" w:firstLine="420"/>
        <w:jc w:val="left"/>
        <w:divId w:val="1771198965"/>
      </w:pPr>
      <w:r>
        <w:rPr>
          <w:rFonts w:ascii="宋体" w:hAnsi="宋体" w:hint="eastAsia"/>
          <w:lang w:eastAsia="zh-Hans"/>
        </w:rPr>
        <w:t>无。</w:t>
      </w:r>
      <w:r>
        <w:rPr>
          <w:rFonts w:ascii="宋体" w:hAnsi="宋体" w:hint="eastAsia"/>
        </w:rPr>
        <w:t xml:space="preserve"> </w:t>
      </w:r>
    </w:p>
    <w:p w:rsidR="00756A80" w:rsidRDefault="008C767E">
      <w:pPr>
        <w:pStyle w:val="XBRLTitle1"/>
        <w:spacing w:before="156" w:line="360" w:lineRule="auto"/>
        <w:ind w:left="425"/>
      </w:pPr>
      <w:bookmarkStart w:id="332" w:name="_Toc17898225"/>
      <w:bookmarkStart w:id="333" w:name="_Toc17897966"/>
      <w:bookmarkStart w:id="334" w:name="_Toc512519526"/>
      <w:bookmarkStart w:id="335" w:name="_Toc490050046"/>
      <w:bookmarkStart w:id="336" w:name="_Toc481075094"/>
      <w:bookmarkStart w:id="337" w:name="_Toc479856294"/>
      <w:bookmarkStart w:id="338" w:name="_Toc513295875"/>
      <w:bookmarkStart w:id="339" w:name="_Toc513295938"/>
      <w:bookmarkStart w:id="340" w:name="m701"/>
      <w:proofErr w:type="spellStart"/>
      <w:r>
        <w:rPr>
          <w:rFonts w:hAnsi="宋体" w:hint="eastAsia"/>
        </w:rPr>
        <w:t>影响投资者决策的其他重要信息</w:t>
      </w:r>
      <w:bookmarkEnd w:id="332"/>
      <w:bookmarkEnd w:id="333"/>
      <w:bookmarkEnd w:id="334"/>
      <w:bookmarkEnd w:id="335"/>
      <w:bookmarkEnd w:id="336"/>
      <w:bookmarkEnd w:id="337"/>
      <w:bookmarkEnd w:id="338"/>
      <w:bookmarkEnd w:id="339"/>
      <w:proofErr w:type="spellEnd"/>
      <w:r>
        <w:rPr>
          <w:rFonts w:hAnsi="宋体" w:hint="eastAsia"/>
          <w:lang w:eastAsia="zh-CN"/>
        </w:rPr>
        <w:t xml:space="preserve"> </w:t>
      </w:r>
    </w:p>
    <w:p w:rsidR="00756A80" w:rsidRDefault="008C767E">
      <w:pPr>
        <w:pStyle w:val="XBRLTitle2"/>
        <w:spacing w:before="156" w:line="360" w:lineRule="auto"/>
        <w:ind w:left="454"/>
      </w:pPr>
      <w:bookmarkStart w:id="341" w:name="_Toc17898226"/>
      <w:bookmarkStart w:id="342" w:name="_Toc17897967"/>
      <w:bookmarkStart w:id="343" w:name="_Toc512519527"/>
      <w:bookmarkStart w:id="344" w:name="_Toc481075095"/>
      <w:bookmarkStart w:id="345" w:name="_Toc490050047"/>
      <w:bookmarkStart w:id="346" w:name="_Toc513295876"/>
      <w:bookmarkStart w:id="347" w:name="_Toc513295939"/>
      <w:r>
        <w:rPr>
          <w:rFonts w:hAnsi="宋体" w:hint="eastAsia"/>
          <w:kern w:val="0"/>
        </w:rPr>
        <w:t>报告期内单一投资者持有基金份额比例达到或超过20%的情况</w:t>
      </w:r>
      <w:bookmarkEnd w:id="341"/>
      <w:bookmarkEnd w:id="342"/>
      <w:bookmarkEnd w:id="343"/>
      <w:bookmarkEnd w:id="344"/>
      <w:bookmarkEnd w:id="345"/>
      <w:bookmarkEnd w:id="346"/>
      <w:bookmarkEnd w:id="347"/>
      <w:r>
        <w:rPr>
          <w:rFonts w:hAnsi="宋体" w:hint="eastAsia"/>
          <w:kern w:val="0"/>
          <w:lang w:eastAsia="zh-CN"/>
        </w:rPr>
        <w:t xml:space="preserve"> </w:t>
      </w:r>
    </w:p>
    <w:bookmarkEnd w:id="23"/>
    <w:bookmarkEnd w:id="43"/>
    <w:bookmarkEnd w:id="44"/>
    <w:p w:rsidR="00756A80" w:rsidRDefault="008C767E">
      <w:pPr>
        <w:spacing w:line="360" w:lineRule="auto"/>
        <w:ind w:firstLineChars="200" w:firstLine="420"/>
        <w:divId w:val="1092776682"/>
        <w:rPr>
          <w:rFonts w:ascii="宋体" w:hAnsi="宋体"/>
          <w:szCs w:val="21"/>
          <w:lang w:eastAsia="zh-Hans"/>
        </w:rPr>
      </w:pPr>
      <w:r>
        <w:rPr>
          <w:rFonts w:ascii="宋体" w:hAnsi="宋体" w:hint="eastAsia"/>
          <w:szCs w:val="21"/>
          <w:lang w:eastAsia="zh-Hans"/>
        </w:rPr>
        <w:t>无。</w:t>
      </w:r>
    </w:p>
    <w:p w:rsidR="00756A80" w:rsidRDefault="008C767E">
      <w:pPr>
        <w:pStyle w:val="XBRLTitle1"/>
        <w:spacing w:before="156" w:line="360" w:lineRule="auto"/>
        <w:ind w:left="425"/>
      </w:pPr>
      <w:bookmarkStart w:id="348" w:name="_Toc17898228"/>
      <w:bookmarkStart w:id="349" w:name="_Toc17897969"/>
      <w:bookmarkStart w:id="350" w:name="_Toc512519529"/>
      <w:bookmarkStart w:id="351" w:name="_Toc490050049"/>
      <w:bookmarkStart w:id="352" w:name="_Toc481075097"/>
      <w:bookmarkStart w:id="353" w:name="_Toc438646481"/>
      <w:bookmarkStart w:id="354" w:name="_Toc513295878"/>
      <w:bookmarkStart w:id="355" w:name="_Toc513295941"/>
      <w:bookmarkEnd w:id="340"/>
      <w:proofErr w:type="spellStart"/>
      <w:r>
        <w:rPr>
          <w:rFonts w:hAnsi="宋体" w:hint="eastAsia"/>
        </w:rPr>
        <w:t>备查文件目录</w:t>
      </w:r>
      <w:bookmarkEnd w:id="348"/>
      <w:bookmarkEnd w:id="349"/>
      <w:bookmarkEnd w:id="350"/>
      <w:bookmarkEnd w:id="351"/>
      <w:bookmarkEnd w:id="352"/>
      <w:bookmarkEnd w:id="353"/>
      <w:bookmarkEnd w:id="354"/>
      <w:bookmarkEnd w:id="355"/>
      <w:proofErr w:type="spellEnd"/>
      <w:r>
        <w:rPr>
          <w:rFonts w:hAnsi="宋体" w:hint="eastAsia"/>
        </w:rPr>
        <w:t xml:space="preserve"> </w:t>
      </w:r>
    </w:p>
    <w:p w:rsidR="00756A80" w:rsidRDefault="008C767E">
      <w:pPr>
        <w:pStyle w:val="XBRLTitle2"/>
        <w:spacing w:before="156" w:line="360" w:lineRule="auto"/>
        <w:ind w:left="454"/>
      </w:pPr>
      <w:bookmarkStart w:id="356" w:name="_Toc438646482"/>
      <w:bookmarkStart w:id="357" w:name="_Toc17898229"/>
      <w:bookmarkStart w:id="358" w:name="_Toc17897970"/>
      <w:bookmarkStart w:id="359" w:name="_Toc512519530"/>
      <w:bookmarkStart w:id="360" w:name="_Toc481075098"/>
      <w:bookmarkStart w:id="361" w:name="_Toc490050050"/>
      <w:bookmarkStart w:id="362" w:name="_Toc513295879"/>
      <w:bookmarkStart w:id="363" w:name="_Toc513295942"/>
      <w:bookmarkStart w:id="364" w:name="m801_01_1733"/>
      <w:proofErr w:type="spellStart"/>
      <w:r>
        <w:rPr>
          <w:rFonts w:hAnsi="宋体" w:hint="eastAsia"/>
        </w:rPr>
        <w:t>备查文件目录</w:t>
      </w:r>
      <w:bookmarkEnd w:id="356"/>
      <w:bookmarkEnd w:id="357"/>
      <w:bookmarkEnd w:id="358"/>
      <w:bookmarkEnd w:id="359"/>
      <w:bookmarkEnd w:id="360"/>
      <w:bookmarkEnd w:id="361"/>
      <w:bookmarkEnd w:id="362"/>
      <w:bookmarkEnd w:id="363"/>
      <w:proofErr w:type="spellEnd"/>
      <w:r>
        <w:rPr>
          <w:rFonts w:hAnsi="宋体" w:hint="eastAsia"/>
        </w:rPr>
        <w:t xml:space="preserve"> </w:t>
      </w:r>
    </w:p>
    <w:p w:rsidR="00756A80" w:rsidRDefault="008C767E">
      <w:pPr>
        <w:spacing w:line="360" w:lineRule="auto"/>
        <w:ind w:firstLineChars="200" w:firstLine="420"/>
        <w:jc w:val="left"/>
      </w:pPr>
      <w:r>
        <w:rPr>
          <w:rFonts w:ascii="宋体" w:hAnsi="宋体" w:cs="宋体" w:hint="eastAsia"/>
          <w:color w:val="000000"/>
          <w:kern w:val="0"/>
        </w:rPr>
        <w:t>1.中国证监会批准本基金设立的文件；</w:t>
      </w:r>
      <w:r>
        <w:rPr>
          <w:rFonts w:ascii="宋体" w:hAnsi="宋体" w:cs="宋体" w:hint="eastAsia"/>
          <w:color w:val="000000"/>
          <w:kern w:val="0"/>
        </w:rPr>
        <w:br/>
      </w:r>
      <w:r>
        <w:rPr>
          <w:rFonts w:ascii="宋体" w:hAnsi="宋体" w:cs="宋体" w:hint="eastAsia"/>
          <w:color w:val="000000"/>
          <w:kern w:val="0"/>
        </w:rPr>
        <w:lastRenderedPageBreak/>
        <w:t xml:space="preserve">　　2.《摩根整合驱动灵活配置混合型证券投资基金基金合同》；</w:t>
      </w:r>
      <w:r>
        <w:rPr>
          <w:rFonts w:ascii="宋体" w:hAnsi="宋体" w:cs="宋体" w:hint="eastAsia"/>
          <w:color w:val="000000"/>
          <w:kern w:val="0"/>
        </w:rPr>
        <w:br/>
        <w:t xml:space="preserve">　　3.《摩根整合驱动灵活配置混合型证券投资基金托管协议》；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rsidR="00756A80" w:rsidRDefault="008C767E">
      <w:pPr>
        <w:pStyle w:val="XBRLTitle2"/>
        <w:spacing w:before="156" w:line="360" w:lineRule="auto"/>
        <w:ind w:left="454"/>
      </w:pPr>
      <w:bookmarkStart w:id="365" w:name="_Toc438646483"/>
      <w:bookmarkStart w:id="366" w:name="_Toc17898230"/>
      <w:bookmarkStart w:id="367" w:name="_Toc17897971"/>
      <w:bookmarkStart w:id="368" w:name="_Toc512519531"/>
      <w:bookmarkStart w:id="369" w:name="_Toc481075099"/>
      <w:bookmarkStart w:id="370" w:name="_Toc490050051"/>
      <w:bookmarkStart w:id="371" w:name="_Toc513295880"/>
      <w:bookmarkStart w:id="372" w:name="_Toc513295943"/>
      <w:bookmarkStart w:id="373" w:name="m801_01_1734"/>
      <w:bookmarkEnd w:id="364"/>
      <w:proofErr w:type="spellStart"/>
      <w:r>
        <w:rPr>
          <w:rFonts w:hAnsi="宋体" w:hint="eastAsia"/>
        </w:rPr>
        <w:t>存放地点</w:t>
      </w:r>
      <w:bookmarkEnd w:id="365"/>
      <w:bookmarkEnd w:id="366"/>
      <w:bookmarkEnd w:id="367"/>
      <w:bookmarkEnd w:id="368"/>
      <w:bookmarkEnd w:id="369"/>
      <w:bookmarkEnd w:id="370"/>
      <w:bookmarkEnd w:id="371"/>
      <w:bookmarkEnd w:id="372"/>
      <w:proofErr w:type="spellEnd"/>
      <w:r>
        <w:rPr>
          <w:rFonts w:hAnsi="宋体" w:hint="eastAsia"/>
        </w:rPr>
        <w:t xml:space="preserve"> </w:t>
      </w:r>
    </w:p>
    <w:p w:rsidR="00756A80" w:rsidRDefault="008C767E">
      <w:pPr>
        <w:spacing w:line="360" w:lineRule="auto"/>
        <w:ind w:firstLineChars="200" w:firstLine="420"/>
        <w:jc w:val="left"/>
      </w:pPr>
      <w:r>
        <w:rPr>
          <w:rFonts w:ascii="宋体" w:hAnsi="宋体" w:cs="宋体" w:hint="eastAsia"/>
          <w:color w:val="000000"/>
          <w:kern w:val="0"/>
        </w:rPr>
        <w:t>基金管理人或基金托管人住所。</w:t>
      </w:r>
    </w:p>
    <w:p w:rsidR="00756A80" w:rsidRDefault="008C767E">
      <w:pPr>
        <w:pStyle w:val="XBRLTitle2"/>
        <w:spacing w:before="156" w:line="360" w:lineRule="auto"/>
        <w:ind w:left="454"/>
      </w:pPr>
      <w:bookmarkStart w:id="374" w:name="_Toc438646484"/>
      <w:bookmarkStart w:id="375" w:name="_Toc17898231"/>
      <w:bookmarkStart w:id="376" w:name="_Toc17897972"/>
      <w:bookmarkStart w:id="377" w:name="_Toc512519532"/>
      <w:bookmarkStart w:id="378" w:name="_Toc481075100"/>
      <w:bookmarkStart w:id="379" w:name="_Toc490050052"/>
      <w:bookmarkStart w:id="380" w:name="_Toc513295881"/>
      <w:bookmarkStart w:id="381" w:name="_Toc513295944"/>
      <w:bookmarkStart w:id="382" w:name="m801_01_1735"/>
      <w:bookmarkEnd w:id="373"/>
      <w:proofErr w:type="spellStart"/>
      <w:r>
        <w:rPr>
          <w:rFonts w:hAnsi="宋体" w:hint="eastAsia"/>
        </w:rPr>
        <w:t>查阅方式</w:t>
      </w:r>
      <w:bookmarkEnd w:id="374"/>
      <w:bookmarkEnd w:id="375"/>
      <w:bookmarkEnd w:id="376"/>
      <w:bookmarkEnd w:id="377"/>
      <w:bookmarkEnd w:id="378"/>
      <w:bookmarkEnd w:id="379"/>
      <w:bookmarkEnd w:id="380"/>
      <w:bookmarkEnd w:id="381"/>
      <w:proofErr w:type="spellEnd"/>
      <w:r>
        <w:rPr>
          <w:rFonts w:hAnsi="宋体" w:hint="eastAsia"/>
        </w:rPr>
        <w:t xml:space="preserve"> </w:t>
      </w:r>
    </w:p>
    <w:p w:rsidR="00756A80" w:rsidRDefault="008C767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2"/>
    <w:p w:rsidR="00756A80" w:rsidRDefault="008C767E">
      <w:pPr>
        <w:spacing w:line="360" w:lineRule="auto"/>
        <w:ind w:firstLineChars="600" w:firstLine="1687"/>
        <w:jc w:val="left"/>
      </w:pPr>
      <w:r>
        <w:rPr>
          <w:rFonts w:ascii="宋体" w:hAnsi="宋体" w:hint="eastAsia"/>
          <w:b/>
          <w:bCs/>
          <w:sz w:val="28"/>
          <w:szCs w:val="30"/>
        </w:rPr>
        <w:t xml:space="preserve">　 </w:t>
      </w:r>
    </w:p>
    <w:p w:rsidR="00756A80" w:rsidRDefault="008C767E">
      <w:pPr>
        <w:spacing w:line="360" w:lineRule="auto"/>
        <w:ind w:firstLineChars="600" w:firstLine="1687"/>
        <w:jc w:val="left"/>
      </w:pPr>
      <w:r>
        <w:rPr>
          <w:rFonts w:ascii="宋体" w:hAnsi="宋体" w:hint="eastAsia"/>
          <w:b/>
          <w:bCs/>
          <w:sz w:val="28"/>
          <w:szCs w:val="30"/>
        </w:rPr>
        <w:t xml:space="preserve">　 </w:t>
      </w:r>
    </w:p>
    <w:p w:rsidR="00756A80" w:rsidRDefault="008C767E">
      <w:pPr>
        <w:spacing w:line="360" w:lineRule="auto"/>
        <w:ind w:firstLineChars="600" w:firstLine="1446"/>
        <w:jc w:val="right"/>
      </w:pPr>
      <w:r>
        <w:rPr>
          <w:rFonts w:ascii="宋体" w:hAnsi="宋体" w:hint="eastAsia"/>
          <w:b/>
          <w:bCs/>
          <w:sz w:val="24"/>
          <w:szCs w:val="24"/>
        </w:rPr>
        <w:t>摩根基金管理（中国）有限公司</w:t>
      </w:r>
    </w:p>
    <w:p w:rsidR="00756A80" w:rsidRDefault="008C767E">
      <w:pPr>
        <w:spacing w:line="360" w:lineRule="auto"/>
        <w:ind w:firstLineChars="600" w:firstLine="1446"/>
        <w:jc w:val="right"/>
      </w:pPr>
      <w:r>
        <w:rPr>
          <w:rFonts w:ascii="宋体" w:hAnsi="宋体" w:hint="eastAsia"/>
          <w:b/>
          <w:bCs/>
          <w:sz w:val="24"/>
          <w:szCs w:val="24"/>
        </w:rPr>
        <w:t>2025年4月22日</w:t>
      </w:r>
      <w:bookmarkEnd w:id="24"/>
    </w:p>
    <w:sectPr w:rsidR="00756A8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80" w:rsidRDefault="008C767E">
      <w:pPr>
        <w:rPr>
          <w:szCs w:val="21"/>
        </w:rPr>
      </w:pPr>
      <w:r>
        <w:rPr>
          <w:szCs w:val="21"/>
        </w:rPr>
        <w:separator/>
      </w:r>
      <w:r>
        <w:rPr>
          <w:szCs w:val="21"/>
        </w:rPr>
        <w:t xml:space="preserve"> </w:t>
      </w:r>
    </w:p>
  </w:endnote>
  <w:endnote w:type="continuationSeparator" w:id="0">
    <w:p w:rsidR="00756A80" w:rsidRDefault="008C767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80" w:rsidRDefault="008C767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0366B9">
      <w:rPr>
        <w:rFonts w:ascii="宋体" w:hAnsi="宋体"/>
        <w:noProof/>
        <w:sz w:val="18"/>
        <w:szCs w:val="18"/>
      </w:rPr>
      <w:t>11</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0366B9">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80" w:rsidRDefault="008C767E">
      <w:pPr>
        <w:rPr>
          <w:szCs w:val="21"/>
        </w:rPr>
      </w:pPr>
      <w:r>
        <w:rPr>
          <w:szCs w:val="21"/>
        </w:rPr>
        <w:separator/>
      </w:r>
      <w:r>
        <w:rPr>
          <w:szCs w:val="21"/>
        </w:rPr>
        <w:t xml:space="preserve"> </w:t>
      </w:r>
    </w:p>
  </w:footnote>
  <w:footnote w:type="continuationSeparator" w:id="0">
    <w:p w:rsidR="00756A80" w:rsidRDefault="008C767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80" w:rsidRDefault="008C767E">
    <w:pPr>
      <w:pStyle w:val="a8"/>
      <w:jc w:val="right"/>
    </w:pPr>
    <w:r>
      <w:rPr>
        <w:rFonts w:ascii="宋体" w:hAnsi="宋体" w:hint="eastAsia"/>
      </w:rPr>
      <w:t>摩根整合驱动灵活配置混合型证券投资基金2025年第1季度报告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7E"/>
    <w:rsid w:val="000366B9"/>
    <w:rsid w:val="00756A80"/>
    <w:rsid w:val="008C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CD1FCBF7-2066-4084-86D2-2B0CE7D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8170">
      <w:marLeft w:val="0"/>
      <w:marRight w:val="0"/>
      <w:marTop w:val="0"/>
      <w:marBottom w:val="0"/>
      <w:divBdr>
        <w:top w:val="none" w:sz="0" w:space="0" w:color="auto"/>
        <w:left w:val="none" w:sz="0" w:space="0" w:color="auto"/>
        <w:bottom w:val="none" w:sz="0" w:space="0" w:color="auto"/>
        <w:right w:val="none" w:sz="0" w:space="0" w:color="auto"/>
      </w:divBdr>
    </w:div>
    <w:div w:id="236676685">
      <w:marLeft w:val="0"/>
      <w:marRight w:val="0"/>
      <w:marTop w:val="0"/>
      <w:marBottom w:val="0"/>
      <w:divBdr>
        <w:top w:val="none" w:sz="0" w:space="0" w:color="auto"/>
        <w:left w:val="none" w:sz="0" w:space="0" w:color="auto"/>
        <w:bottom w:val="none" w:sz="0" w:space="0" w:color="auto"/>
        <w:right w:val="none" w:sz="0" w:space="0" w:color="auto"/>
      </w:divBdr>
      <w:divsChild>
        <w:div w:id="1340694655">
          <w:marLeft w:val="0"/>
          <w:marRight w:val="0"/>
          <w:marTop w:val="0"/>
          <w:marBottom w:val="0"/>
          <w:divBdr>
            <w:top w:val="none" w:sz="0" w:space="0" w:color="auto"/>
            <w:left w:val="none" w:sz="0" w:space="0" w:color="auto"/>
            <w:bottom w:val="none" w:sz="0" w:space="0" w:color="auto"/>
            <w:right w:val="none" w:sz="0" w:space="0" w:color="auto"/>
          </w:divBdr>
        </w:div>
      </w:divsChild>
    </w:div>
    <w:div w:id="287975085">
      <w:marLeft w:val="0"/>
      <w:marRight w:val="0"/>
      <w:marTop w:val="0"/>
      <w:marBottom w:val="0"/>
      <w:divBdr>
        <w:top w:val="none" w:sz="0" w:space="0" w:color="auto"/>
        <w:left w:val="none" w:sz="0" w:space="0" w:color="auto"/>
        <w:bottom w:val="none" w:sz="0" w:space="0" w:color="auto"/>
        <w:right w:val="none" w:sz="0" w:space="0" w:color="auto"/>
      </w:divBdr>
    </w:div>
    <w:div w:id="385111056">
      <w:marLeft w:val="0"/>
      <w:marRight w:val="0"/>
      <w:marTop w:val="0"/>
      <w:marBottom w:val="0"/>
      <w:divBdr>
        <w:top w:val="none" w:sz="0" w:space="0" w:color="auto"/>
        <w:left w:val="none" w:sz="0" w:space="0" w:color="auto"/>
        <w:bottom w:val="none" w:sz="0" w:space="0" w:color="auto"/>
        <w:right w:val="none" w:sz="0" w:space="0" w:color="auto"/>
      </w:divBdr>
    </w:div>
    <w:div w:id="754011796">
      <w:marLeft w:val="0"/>
      <w:marRight w:val="0"/>
      <w:marTop w:val="0"/>
      <w:marBottom w:val="0"/>
      <w:divBdr>
        <w:top w:val="none" w:sz="0" w:space="0" w:color="auto"/>
        <w:left w:val="none" w:sz="0" w:space="0" w:color="auto"/>
        <w:bottom w:val="none" w:sz="0" w:space="0" w:color="auto"/>
        <w:right w:val="none" w:sz="0" w:space="0" w:color="auto"/>
      </w:divBdr>
    </w:div>
    <w:div w:id="891498749">
      <w:marLeft w:val="0"/>
      <w:marRight w:val="0"/>
      <w:marTop w:val="0"/>
      <w:marBottom w:val="0"/>
      <w:divBdr>
        <w:top w:val="none" w:sz="0" w:space="0" w:color="auto"/>
        <w:left w:val="none" w:sz="0" w:space="0" w:color="auto"/>
        <w:bottom w:val="none" w:sz="0" w:space="0" w:color="auto"/>
        <w:right w:val="none" w:sz="0" w:space="0" w:color="auto"/>
      </w:divBdr>
      <w:divsChild>
        <w:div w:id="1918317413">
          <w:marLeft w:val="0"/>
          <w:marRight w:val="0"/>
          <w:marTop w:val="0"/>
          <w:marBottom w:val="0"/>
          <w:divBdr>
            <w:top w:val="none" w:sz="0" w:space="0" w:color="auto"/>
            <w:left w:val="none" w:sz="0" w:space="0" w:color="auto"/>
            <w:bottom w:val="none" w:sz="0" w:space="0" w:color="auto"/>
            <w:right w:val="none" w:sz="0" w:space="0" w:color="auto"/>
          </w:divBdr>
        </w:div>
      </w:divsChild>
    </w:div>
    <w:div w:id="992566581">
      <w:marLeft w:val="0"/>
      <w:marRight w:val="0"/>
      <w:marTop w:val="0"/>
      <w:marBottom w:val="0"/>
      <w:divBdr>
        <w:top w:val="none" w:sz="0" w:space="0" w:color="auto"/>
        <w:left w:val="none" w:sz="0" w:space="0" w:color="auto"/>
        <w:bottom w:val="none" w:sz="0" w:space="0" w:color="auto"/>
        <w:right w:val="none" w:sz="0" w:space="0" w:color="auto"/>
      </w:divBdr>
    </w:div>
    <w:div w:id="1006638063">
      <w:marLeft w:val="0"/>
      <w:marRight w:val="0"/>
      <w:marTop w:val="0"/>
      <w:marBottom w:val="0"/>
      <w:divBdr>
        <w:top w:val="none" w:sz="0" w:space="0" w:color="auto"/>
        <w:left w:val="none" w:sz="0" w:space="0" w:color="auto"/>
        <w:bottom w:val="none" w:sz="0" w:space="0" w:color="auto"/>
        <w:right w:val="none" w:sz="0" w:space="0" w:color="auto"/>
      </w:divBdr>
    </w:div>
    <w:div w:id="1075013267">
      <w:marLeft w:val="0"/>
      <w:marRight w:val="0"/>
      <w:marTop w:val="0"/>
      <w:marBottom w:val="0"/>
      <w:divBdr>
        <w:top w:val="none" w:sz="0" w:space="0" w:color="auto"/>
        <w:left w:val="none" w:sz="0" w:space="0" w:color="auto"/>
        <w:bottom w:val="none" w:sz="0" w:space="0" w:color="auto"/>
        <w:right w:val="none" w:sz="0" w:space="0" w:color="auto"/>
      </w:divBdr>
    </w:div>
    <w:div w:id="1092776682">
      <w:marLeft w:val="0"/>
      <w:marRight w:val="0"/>
      <w:marTop w:val="0"/>
      <w:marBottom w:val="0"/>
      <w:divBdr>
        <w:top w:val="none" w:sz="0" w:space="0" w:color="auto"/>
        <w:left w:val="none" w:sz="0" w:space="0" w:color="auto"/>
        <w:bottom w:val="none" w:sz="0" w:space="0" w:color="auto"/>
        <w:right w:val="none" w:sz="0" w:space="0" w:color="auto"/>
      </w:divBdr>
    </w:div>
    <w:div w:id="1107433877">
      <w:marLeft w:val="0"/>
      <w:marRight w:val="0"/>
      <w:marTop w:val="0"/>
      <w:marBottom w:val="0"/>
      <w:divBdr>
        <w:top w:val="none" w:sz="0" w:space="0" w:color="auto"/>
        <w:left w:val="none" w:sz="0" w:space="0" w:color="auto"/>
        <w:bottom w:val="none" w:sz="0" w:space="0" w:color="auto"/>
        <w:right w:val="none" w:sz="0" w:space="0" w:color="auto"/>
      </w:divBdr>
    </w:div>
    <w:div w:id="1276399720">
      <w:marLeft w:val="0"/>
      <w:marRight w:val="0"/>
      <w:marTop w:val="0"/>
      <w:marBottom w:val="0"/>
      <w:divBdr>
        <w:top w:val="none" w:sz="0" w:space="0" w:color="auto"/>
        <w:left w:val="none" w:sz="0" w:space="0" w:color="auto"/>
        <w:bottom w:val="none" w:sz="0" w:space="0" w:color="auto"/>
        <w:right w:val="none" w:sz="0" w:space="0" w:color="auto"/>
      </w:divBdr>
      <w:divsChild>
        <w:div w:id="50076149">
          <w:marLeft w:val="0"/>
          <w:marRight w:val="0"/>
          <w:marTop w:val="0"/>
          <w:marBottom w:val="0"/>
          <w:divBdr>
            <w:top w:val="none" w:sz="0" w:space="0" w:color="auto"/>
            <w:left w:val="none" w:sz="0" w:space="0" w:color="auto"/>
            <w:bottom w:val="none" w:sz="0" w:space="0" w:color="auto"/>
            <w:right w:val="none" w:sz="0" w:space="0" w:color="auto"/>
          </w:divBdr>
        </w:div>
      </w:divsChild>
    </w:div>
    <w:div w:id="1282305456">
      <w:marLeft w:val="0"/>
      <w:marRight w:val="0"/>
      <w:marTop w:val="0"/>
      <w:marBottom w:val="0"/>
      <w:divBdr>
        <w:top w:val="none" w:sz="0" w:space="0" w:color="auto"/>
        <w:left w:val="none" w:sz="0" w:space="0" w:color="auto"/>
        <w:bottom w:val="none" w:sz="0" w:space="0" w:color="auto"/>
        <w:right w:val="none" w:sz="0" w:space="0" w:color="auto"/>
      </w:divBdr>
    </w:div>
    <w:div w:id="1308894857">
      <w:marLeft w:val="0"/>
      <w:marRight w:val="0"/>
      <w:marTop w:val="0"/>
      <w:marBottom w:val="0"/>
      <w:divBdr>
        <w:top w:val="none" w:sz="0" w:space="0" w:color="auto"/>
        <w:left w:val="none" w:sz="0" w:space="0" w:color="auto"/>
        <w:bottom w:val="none" w:sz="0" w:space="0" w:color="auto"/>
        <w:right w:val="none" w:sz="0" w:space="0" w:color="auto"/>
      </w:divBdr>
      <w:divsChild>
        <w:div w:id="333800153">
          <w:marLeft w:val="0"/>
          <w:marRight w:val="0"/>
          <w:marTop w:val="0"/>
          <w:marBottom w:val="0"/>
          <w:divBdr>
            <w:top w:val="none" w:sz="0" w:space="0" w:color="auto"/>
            <w:left w:val="none" w:sz="0" w:space="0" w:color="auto"/>
            <w:bottom w:val="none" w:sz="0" w:space="0" w:color="auto"/>
            <w:right w:val="none" w:sz="0" w:space="0" w:color="auto"/>
          </w:divBdr>
        </w:div>
      </w:divsChild>
    </w:div>
    <w:div w:id="1411466237">
      <w:marLeft w:val="0"/>
      <w:marRight w:val="0"/>
      <w:marTop w:val="0"/>
      <w:marBottom w:val="0"/>
      <w:divBdr>
        <w:top w:val="none" w:sz="0" w:space="0" w:color="auto"/>
        <w:left w:val="none" w:sz="0" w:space="0" w:color="auto"/>
        <w:bottom w:val="none" w:sz="0" w:space="0" w:color="auto"/>
        <w:right w:val="none" w:sz="0" w:space="0" w:color="auto"/>
      </w:divBdr>
    </w:div>
    <w:div w:id="1674452287">
      <w:marLeft w:val="0"/>
      <w:marRight w:val="0"/>
      <w:marTop w:val="0"/>
      <w:marBottom w:val="0"/>
      <w:divBdr>
        <w:top w:val="none" w:sz="0" w:space="0" w:color="auto"/>
        <w:left w:val="none" w:sz="0" w:space="0" w:color="auto"/>
        <w:bottom w:val="none" w:sz="0" w:space="0" w:color="auto"/>
        <w:right w:val="none" w:sz="0" w:space="0" w:color="auto"/>
      </w:divBdr>
    </w:div>
    <w:div w:id="1689133270">
      <w:marLeft w:val="0"/>
      <w:marRight w:val="0"/>
      <w:marTop w:val="0"/>
      <w:marBottom w:val="0"/>
      <w:divBdr>
        <w:top w:val="none" w:sz="0" w:space="0" w:color="auto"/>
        <w:left w:val="none" w:sz="0" w:space="0" w:color="auto"/>
        <w:bottom w:val="none" w:sz="0" w:space="0" w:color="auto"/>
        <w:right w:val="none" w:sz="0" w:space="0" w:color="auto"/>
      </w:divBdr>
      <w:divsChild>
        <w:div w:id="2045596045">
          <w:marLeft w:val="0"/>
          <w:marRight w:val="0"/>
          <w:marTop w:val="0"/>
          <w:marBottom w:val="0"/>
          <w:divBdr>
            <w:top w:val="none" w:sz="0" w:space="0" w:color="auto"/>
            <w:left w:val="none" w:sz="0" w:space="0" w:color="auto"/>
            <w:bottom w:val="none" w:sz="0" w:space="0" w:color="auto"/>
            <w:right w:val="none" w:sz="0" w:space="0" w:color="auto"/>
          </w:divBdr>
        </w:div>
        <w:div w:id="1374963816">
          <w:marLeft w:val="0"/>
          <w:marRight w:val="0"/>
          <w:marTop w:val="0"/>
          <w:marBottom w:val="0"/>
          <w:divBdr>
            <w:top w:val="none" w:sz="0" w:space="0" w:color="auto"/>
            <w:left w:val="none" w:sz="0" w:space="0" w:color="auto"/>
            <w:bottom w:val="none" w:sz="0" w:space="0" w:color="auto"/>
            <w:right w:val="none" w:sz="0" w:space="0" w:color="auto"/>
          </w:divBdr>
        </w:div>
      </w:divsChild>
    </w:div>
    <w:div w:id="1770467708">
      <w:marLeft w:val="0"/>
      <w:marRight w:val="0"/>
      <w:marTop w:val="0"/>
      <w:marBottom w:val="0"/>
      <w:divBdr>
        <w:top w:val="none" w:sz="0" w:space="0" w:color="auto"/>
        <w:left w:val="none" w:sz="0" w:space="0" w:color="auto"/>
        <w:bottom w:val="none" w:sz="0" w:space="0" w:color="auto"/>
        <w:right w:val="none" w:sz="0" w:space="0" w:color="auto"/>
      </w:divBdr>
      <w:divsChild>
        <w:div w:id="810102460">
          <w:marLeft w:val="0"/>
          <w:marRight w:val="0"/>
          <w:marTop w:val="0"/>
          <w:marBottom w:val="0"/>
          <w:divBdr>
            <w:top w:val="none" w:sz="0" w:space="0" w:color="auto"/>
            <w:left w:val="none" w:sz="0" w:space="0" w:color="auto"/>
            <w:bottom w:val="none" w:sz="0" w:space="0" w:color="auto"/>
            <w:right w:val="none" w:sz="0" w:space="0" w:color="auto"/>
          </w:divBdr>
        </w:div>
      </w:divsChild>
    </w:div>
    <w:div w:id="1771198965">
      <w:marLeft w:val="0"/>
      <w:marRight w:val="0"/>
      <w:marTop w:val="0"/>
      <w:marBottom w:val="0"/>
      <w:divBdr>
        <w:top w:val="none" w:sz="0" w:space="0" w:color="auto"/>
        <w:left w:val="none" w:sz="0" w:space="0" w:color="auto"/>
        <w:bottom w:val="none" w:sz="0" w:space="0" w:color="auto"/>
        <w:right w:val="none" w:sz="0" w:space="0" w:color="auto"/>
      </w:divBdr>
    </w:div>
    <w:div w:id="2068992230">
      <w:marLeft w:val="0"/>
      <w:marRight w:val="0"/>
      <w:marTop w:val="0"/>
      <w:marBottom w:val="0"/>
      <w:divBdr>
        <w:top w:val="none" w:sz="0" w:space="0" w:color="auto"/>
        <w:left w:val="none" w:sz="0" w:space="0" w:color="auto"/>
        <w:bottom w:val="none" w:sz="0" w:space="0" w:color="auto"/>
        <w:right w:val="none" w:sz="0" w:space="0" w:color="auto"/>
      </w:divBdr>
      <w:divsChild>
        <w:div w:id="3869565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B36C-D902-4D63-AB39-A89FFE8A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5905</Words>
  <Characters>2069</Characters>
  <Application>Microsoft Office Word</Application>
  <DocSecurity>0</DocSecurity>
  <Lines>17</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3</cp:revision>
  <dcterms:created xsi:type="dcterms:W3CDTF">2025-04-15T12:12:00Z</dcterms:created>
  <dcterms:modified xsi:type="dcterms:W3CDTF">2025-04-21T07:29:00Z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