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摩根整合驱动灵活配置混合型证券投资基金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报告送出日期：二〇二三年四月二十一日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096EEF" w:rsidRDefault="00BF57B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096EEF" w:rsidRDefault="00BF57B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096EEF" w:rsidRDefault="00BF57B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096EEF" w:rsidRDefault="00BF57B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096EEF" w:rsidRDefault="00BF57BA">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摩根整合驱动混合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001192</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2015</w:t>
            </w:r>
            <w:r w:rsidRPr="00B27A29">
              <w:rPr>
                <w:rFonts w:eastAsiaTheme="minorEastAsia"/>
                <w:color w:val="000000" w:themeColor="text1"/>
                <w:kern w:val="0"/>
                <w:szCs w:val="21"/>
              </w:rPr>
              <w:t>年</w:t>
            </w:r>
            <w:r w:rsidRPr="00B27A29">
              <w:rPr>
                <w:rFonts w:eastAsiaTheme="minorEastAsia"/>
                <w:color w:val="000000" w:themeColor="text1"/>
                <w:kern w:val="0"/>
                <w:szCs w:val="21"/>
              </w:rPr>
              <w:t>4</w:t>
            </w:r>
            <w:r w:rsidRPr="00B27A29">
              <w:rPr>
                <w:rFonts w:eastAsiaTheme="minorEastAsia"/>
                <w:color w:val="000000" w:themeColor="text1"/>
                <w:kern w:val="0"/>
                <w:szCs w:val="21"/>
              </w:rPr>
              <w:t>月</w:t>
            </w:r>
            <w:r w:rsidRPr="00B27A29">
              <w:rPr>
                <w:rFonts w:eastAsiaTheme="minorEastAsia"/>
                <w:color w:val="000000" w:themeColor="text1"/>
                <w:kern w:val="0"/>
                <w:szCs w:val="21"/>
              </w:rPr>
              <w:t>23</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550,673,731.05</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通过深入细致的基本面研究，把握企业整合发展带来的投资机会，在严格的风险控制前提下，力争实现基金资产的长期增值。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096EEF" w:rsidRDefault="00BF57B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w:t>
            </w:r>
            <w:r>
              <w:rPr>
                <w:rFonts w:eastAsiaTheme="minorEastAsia"/>
                <w:color w:val="000000" w:themeColor="text1"/>
                <w:kern w:val="0"/>
                <w:szCs w:val="21"/>
              </w:rPr>
              <w:t xml:space="preserve"> </w:t>
            </w:r>
            <w:r>
              <w:rPr>
                <w:rFonts w:eastAsiaTheme="minorEastAsia"/>
                <w:color w:val="000000" w:themeColor="text1"/>
                <w:kern w:val="0"/>
                <w:szCs w:val="21"/>
              </w:rPr>
              <w:t>资产配置策略</w:t>
            </w:r>
          </w:p>
          <w:p w:rsidR="00096EEF" w:rsidRDefault="00BF57B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本基金通过自上而下和自下而上相结合、定性分析和定量分析互相补充的方法，在股票、债券和现金等资产类别之间进行相对灵活的配置。</w:t>
            </w:r>
          </w:p>
          <w:p w:rsidR="00096EEF" w:rsidRDefault="00BF57B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096EEF" w:rsidRDefault="00BF57B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本基金将重点投资于整合主题相关的上市公司。在个股选</w:t>
            </w:r>
            <w:r>
              <w:rPr>
                <w:rFonts w:eastAsiaTheme="minorEastAsia"/>
                <w:color w:val="000000" w:themeColor="text1"/>
                <w:kern w:val="0"/>
                <w:szCs w:val="21"/>
              </w:rPr>
              <w:lastRenderedPageBreak/>
              <w:t>择层面，首先将根据本基金对于整合主题的界定构建初选股票池，在此基础上剔除不具有投资价值的股票建立备选股票池。本基金将深入分析公司的并购重组行为对未来经营可能产生的影响，综合评估其是否会带来经营业绩的改善。通过对并购重组带来的行业增长及公司协同效应的综合分析，精选未来具有较高成长潜力的公司。</w:t>
            </w:r>
          </w:p>
          <w:p w:rsidR="00096EEF" w:rsidRDefault="00BF57B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w:t>
            </w:r>
            <w:r>
              <w:rPr>
                <w:rFonts w:eastAsiaTheme="minorEastAsia"/>
                <w:color w:val="000000" w:themeColor="text1"/>
                <w:kern w:val="0"/>
                <w:szCs w:val="21"/>
              </w:rPr>
              <w:t xml:space="preserve"> </w:t>
            </w:r>
            <w:r>
              <w:rPr>
                <w:rFonts w:eastAsiaTheme="minorEastAsia"/>
                <w:color w:val="000000" w:themeColor="text1"/>
                <w:kern w:val="0"/>
                <w:szCs w:val="21"/>
              </w:rPr>
              <w:t>债券配置策略</w:t>
            </w:r>
          </w:p>
          <w:p w:rsidR="00096EEF" w:rsidRDefault="00BF57B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对于固定收益类资产的选择，本基金将以价值分析为主线，在综合研究的基础上实施积极主动的组合管理，并主要通过类属配置与债券选择两个层次进行投资管理。</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、其他投资策略：包括可转换债券投资策略、中小企业私募债投资策略、股指期货投资策略、股票期权投资策略、存托凭证投资策略。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*40%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096EEF" w:rsidRDefault="00BF57B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本基金属于混合型基金产品，预期风险和收益水平高于债券型基金和货币市场基金，低于股票型基金，属于较高风险收益水平的基金产品。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摩根整合驱动混合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摩根整合驱动混合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001192</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016920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w:t>
            </w:r>
            <w:r w:rsidRPr="00B27A29">
              <w:rPr>
                <w:rFonts w:eastAsiaTheme="minorEastAsia"/>
                <w:color w:val="000000" w:themeColor="text1"/>
                <w:szCs w:val="21"/>
              </w:rPr>
              <w:lastRenderedPageBreak/>
              <w:t>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lastRenderedPageBreak/>
              <w:t>550,516,675.59</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157,055.46</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摩根整合驱动混合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摩根整合驱动混合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-50,134,190.80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-17,578.44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11,281,853.60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3,112.56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0.0204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0.0168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326,847,115.09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93,091.67</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0.5937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0.5927</w:t>
            </w:r>
          </w:p>
        </w:tc>
      </w:tr>
    </w:tbl>
    <w:p w:rsidR="00096EEF" w:rsidRDefault="00BF57B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摩根整合驱动混合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096EEF">
        <w:tc>
          <w:tcPr>
            <w:tcW w:w="1290" w:type="dxa"/>
            <w:vAlign w:val="center"/>
          </w:tcPr>
          <w:p w:rsidR="00096EEF" w:rsidRDefault="00BF57BA">
            <w:pPr>
              <w:jc w:val="left"/>
            </w:pPr>
            <w:r>
              <w:rPr>
                <w:rFonts w:eastAsiaTheme="minorEastAsia"/>
                <w:color w:val="000000" w:themeColor="text1"/>
                <w:szCs w:val="21"/>
              </w:rPr>
              <w:t>过去三个月</w:t>
            </w:r>
          </w:p>
        </w:tc>
        <w:tc>
          <w:tcPr>
            <w:tcW w:w="1291" w:type="dxa"/>
            <w:vAlign w:val="center"/>
          </w:tcPr>
          <w:p w:rsidR="00096EEF" w:rsidRDefault="00BF57BA">
            <w:pPr>
              <w:jc w:val="right"/>
            </w:pPr>
            <w:r>
              <w:rPr>
                <w:rFonts w:eastAsiaTheme="minorEastAsia"/>
                <w:color w:val="000000" w:themeColor="text1"/>
                <w:szCs w:val="21"/>
              </w:rPr>
              <w:t>3.54%</w:t>
            </w:r>
          </w:p>
        </w:tc>
        <w:tc>
          <w:tcPr>
            <w:tcW w:w="1291" w:type="dxa"/>
            <w:vAlign w:val="center"/>
          </w:tcPr>
          <w:p w:rsidR="00096EEF" w:rsidRDefault="00BF57BA">
            <w:pPr>
              <w:jc w:val="right"/>
            </w:pPr>
            <w:r>
              <w:rPr>
                <w:rFonts w:eastAsiaTheme="minorEastAsia"/>
                <w:color w:val="000000" w:themeColor="text1"/>
                <w:szCs w:val="21"/>
              </w:rPr>
              <w:t>1.23%</w:t>
            </w:r>
          </w:p>
        </w:tc>
        <w:tc>
          <w:tcPr>
            <w:tcW w:w="1291" w:type="dxa"/>
            <w:vAlign w:val="center"/>
          </w:tcPr>
          <w:p w:rsidR="00096EEF" w:rsidRDefault="00BF57BA">
            <w:pPr>
              <w:jc w:val="right"/>
            </w:pPr>
            <w:r>
              <w:rPr>
                <w:rFonts w:eastAsiaTheme="minorEastAsia"/>
                <w:color w:val="000000" w:themeColor="text1"/>
                <w:szCs w:val="21"/>
              </w:rPr>
              <w:t>3.25%</w:t>
            </w:r>
          </w:p>
        </w:tc>
        <w:tc>
          <w:tcPr>
            <w:tcW w:w="1291" w:type="dxa"/>
            <w:vAlign w:val="center"/>
          </w:tcPr>
          <w:p w:rsidR="00096EEF" w:rsidRDefault="00BF57BA">
            <w:pPr>
              <w:jc w:val="right"/>
            </w:pPr>
            <w:r>
              <w:rPr>
                <w:rFonts w:eastAsiaTheme="minorEastAsia"/>
                <w:color w:val="000000" w:themeColor="text1"/>
                <w:szCs w:val="21"/>
              </w:rPr>
              <w:t>0.48%</w:t>
            </w:r>
          </w:p>
        </w:tc>
        <w:tc>
          <w:tcPr>
            <w:tcW w:w="1291" w:type="dxa"/>
            <w:vAlign w:val="center"/>
          </w:tcPr>
          <w:p w:rsidR="00096EEF" w:rsidRDefault="00BF57BA">
            <w:pPr>
              <w:jc w:val="right"/>
            </w:pPr>
            <w:r>
              <w:rPr>
                <w:rFonts w:eastAsiaTheme="minorEastAsia"/>
                <w:color w:val="000000" w:themeColor="text1"/>
                <w:szCs w:val="21"/>
              </w:rPr>
              <w:t>0.29%</w:t>
            </w:r>
          </w:p>
        </w:tc>
        <w:tc>
          <w:tcPr>
            <w:tcW w:w="1291" w:type="dxa"/>
            <w:vAlign w:val="center"/>
          </w:tcPr>
          <w:p w:rsidR="00096EEF" w:rsidRDefault="00BF57BA">
            <w:pPr>
              <w:jc w:val="right"/>
            </w:pPr>
            <w:r>
              <w:rPr>
                <w:rFonts w:eastAsiaTheme="minorEastAsia"/>
                <w:color w:val="000000" w:themeColor="text1"/>
                <w:szCs w:val="21"/>
              </w:rPr>
              <w:t>0.75%</w:t>
            </w:r>
          </w:p>
        </w:tc>
      </w:tr>
      <w:tr w:rsidR="00096EEF">
        <w:tc>
          <w:tcPr>
            <w:tcW w:w="1290" w:type="dxa"/>
            <w:vAlign w:val="center"/>
          </w:tcPr>
          <w:p w:rsidR="00096EEF" w:rsidRDefault="00BF57BA">
            <w:pPr>
              <w:jc w:val="left"/>
            </w:pPr>
            <w:r>
              <w:rPr>
                <w:rFonts w:eastAsiaTheme="minorEastAsia"/>
                <w:color w:val="000000" w:themeColor="text1"/>
                <w:szCs w:val="21"/>
              </w:rPr>
              <w:t>过去六个月</w:t>
            </w:r>
          </w:p>
        </w:tc>
        <w:tc>
          <w:tcPr>
            <w:tcW w:w="1291" w:type="dxa"/>
            <w:vAlign w:val="center"/>
          </w:tcPr>
          <w:p w:rsidR="00096EEF" w:rsidRDefault="00BF57BA">
            <w:pPr>
              <w:jc w:val="right"/>
            </w:pPr>
            <w:r>
              <w:rPr>
                <w:rFonts w:eastAsiaTheme="minorEastAsia"/>
                <w:color w:val="000000" w:themeColor="text1"/>
                <w:szCs w:val="21"/>
              </w:rPr>
              <w:t>-7.38%</w:t>
            </w:r>
          </w:p>
        </w:tc>
        <w:tc>
          <w:tcPr>
            <w:tcW w:w="1291" w:type="dxa"/>
            <w:vAlign w:val="center"/>
          </w:tcPr>
          <w:p w:rsidR="00096EEF" w:rsidRDefault="00BF57BA">
            <w:pPr>
              <w:jc w:val="right"/>
            </w:pPr>
            <w:r>
              <w:rPr>
                <w:rFonts w:eastAsiaTheme="minorEastAsia"/>
                <w:color w:val="000000" w:themeColor="text1"/>
                <w:szCs w:val="21"/>
              </w:rPr>
              <w:t>1.59%</w:t>
            </w:r>
          </w:p>
        </w:tc>
        <w:tc>
          <w:tcPr>
            <w:tcW w:w="1291" w:type="dxa"/>
            <w:vAlign w:val="center"/>
          </w:tcPr>
          <w:p w:rsidR="00096EEF" w:rsidRDefault="00BF57BA">
            <w:pPr>
              <w:jc w:val="right"/>
            </w:pPr>
            <w:r>
              <w:rPr>
                <w:rFonts w:eastAsiaTheme="minorEastAsia"/>
                <w:color w:val="000000" w:themeColor="text1"/>
                <w:szCs w:val="21"/>
              </w:rPr>
              <w:t>4.33%</w:t>
            </w:r>
          </w:p>
        </w:tc>
        <w:tc>
          <w:tcPr>
            <w:tcW w:w="1291" w:type="dxa"/>
            <w:vAlign w:val="center"/>
          </w:tcPr>
          <w:p w:rsidR="00096EEF" w:rsidRDefault="00BF57BA">
            <w:pPr>
              <w:jc w:val="right"/>
            </w:pPr>
            <w:r>
              <w:rPr>
                <w:rFonts w:eastAsiaTheme="minorEastAsia"/>
                <w:color w:val="000000" w:themeColor="text1"/>
                <w:szCs w:val="21"/>
              </w:rPr>
              <w:t>0.60%</w:t>
            </w:r>
          </w:p>
        </w:tc>
        <w:tc>
          <w:tcPr>
            <w:tcW w:w="1291" w:type="dxa"/>
            <w:vAlign w:val="center"/>
          </w:tcPr>
          <w:p w:rsidR="00096EEF" w:rsidRDefault="00BF57BA">
            <w:pPr>
              <w:jc w:val="right"/>
            </w:pPr>
            <w:r>
              <w:rPr>
                <w:rFonts w:eastAsiaTheme="minorEastAsia"/>
                <w:color w:val="000000" w:themeColor="text1"/>
                <w:szCs w:val="21"/>
              </w:rPr>
              <w:t>-11.71%</w:t>
            </w:r>
          </w:p>
        </w:tc>
        <w:tc>
          <w:tcPr>
            <w:tcW w:w="1291" w:type="dxa"/>
            <w:vAlign w:val="center"/>
          </w:tcPr>
          <w:p w:rsidR="00096EEF" w:rsidRDefault="00BF57BA">
            <w:pPr>
              <w:jc w:val="right"/>
            </w:pPr>
            <w:r>
              <w:rPr>
                <w:rFonts w:eastAsiaTheme="minorEastAsia"/>
                <w:color w:val="000000" w:themeColor="text1"/>
                <w:szCs w:val="21"/>
              </w:rPr>
              <w:t>0.99%</w:t>
            </w:r>
          </w:p>
        </w:tc>
      </w:tr>
      <w:tr w:rsidR="00096EEF">
        <w:tc>
          <w:tcPr>
            <w:tcW w:w="1290" w:type="dxa"/>
            <w:vAlign w:val="center"/>
          </w:tcPr>
          <w:p w:rsidR="00096EEF" w:rsidRDefault="00BF57BA">
            <w:pPr>
              <w:jc w:val="left"/>
            </w:pPr>
            <w:r>
              <w:rPr>
                <w:rFonts w:eastAsiaTheme="minorEastAsia"/>
                <w:color w:val="000000" w:themeColor="text1"/>
                <w:szCs w:val="21"/>
              </w:rPr>
              <w:t>过去一年</w:t>
            </w:r>
          </w:p>
        </w:tc>
        <w:tc>
          <w:tcPr>
            <w:tcW w:w="1291" w:type="dxa"/>
            <w:vAlign w:val="center"/>
          </w:tcPr>
          <w:p w:rsidR="00096EEF" w:rsidRDefault="00BF57BA">
            <w:pPr>
              <w:jc w:val="right"/>
            </w:pPr>
            <w:r>
              <w:rPr>
                <w:rFonts w:eastAsiaTheme="minorEastAsia"/>
                <w:color w:val="000000" w:themeColor="text1"/>
                <w:szCs w:val="21"/>
              </w:rPr>
              <w:t>-14.55%</w:t>
            </w:r>
          </w:p>
        </w:tc>
        <w:tc>
          <w:tcPr>
            <w:tcW w:w="1291" w:type="dxa"/>
            <w:vAlign w:val="center"/>
          </w:tcPr>
          <w:p w:rsidR="00096EEF" w:rsidRDefault="00BF57BA">
            <w:pPr>
              <w:jc w:val="right"/>
            </w:pPr>
            <w:r>
              <w:rPr>
                <w:rFonts w:eastAsiaTheme="minorEastAsia"/>
                <w:color w:val="000000" w:themeColor="text1"/>
                <w:szCs w:val="21"/>
              </w:rPr>
              <w:t>1.70%</w:t>
            </w:r>
          </w:p>
        </w:tc>
        <w:tc>
          <w:tcPr>
            <w:tcW w:w="1291" w:type="dxa"/>
            <w:vAlign w:val="center"/>
          </w:tcPr>
          <w:p w:rsidR="00096EEF" w:rsidRDefault="00BF57BA">
            <w:pPr>
              <w:jc w:val="right"/>
            </w:pPr>
            <w:r>
              <w:rPr>
                <w:rFonts w:eastAsiaTheme="minorEastAsia"/>
                <w:color w:val="000000" w:themeColor="text1"/>
                <w:szCs w:val="21"/>
              </w:rPr>
              <w:t>-1.67%</w:t>
            </w:r>
          </w:p>
        </w:tc>
        <w:tc>
          <w:tcPr>
            <w:tcW w:w="1291" w:type="dxa"/>
            <w:vAlign w:val="center"/>
          </w:tcPr>
          <w:p w:rsidR="00096EEF" w:rsidRDefault="00BF57BA">
            <w:pPr>
              <w:jc w:val="right"/>
            </w:pPr>
            <w:r>
              <w:rPr>
                <w:rFonts w:eastAsiaTheme="minorEastAsia"/>
                <w:color w:val="000000" w:themeColor="text1"/>
                <w:szCs w:val="21"/>
              </w:rPr>
              <w:t>0.67%</w:t>
            </w:r>
          </w:p>
        </w:tc>
        <w:tc>
          <w:tcPr>
            <w:tcW w:w="1291" w:type="dxa"/>
            <w:vAlign w:val="center"/>
          </w:tcPr>
          <w:p w:rsidR="00096EEF" w:rsidRDefault="00BF57BA">
            <w:pPr>
              <w:jc w:val="right"/>
            </w:pPr>
            <w:r>
              <w:rPr>
                <w:rFonts w:eastAsiaTheme="minorEastAsia"/>
                <w:color w:val="000000" w:themeColor="text1"/>
                <w:szCs w:val="21"/>
              </w:rPr>
              <w:t>-12.88%</w:t>
            </w:r>
          </w:p>
        </w:tc>
        <w:tc>
          <w:tcPr>
            <w:tcW w:w="1291" w:type="dxa"/>
            <w:vAlign w:val="center"/>
          </w:tcPr>
          <w:p w:rsidR="00096EEF" w:rsidRDefault="00BF57BA">
            <w:pPr>
              <w:jc w:val="right"/>
            </w:pPr>
            <w:r>
              <w:rPr>
                <w:rFonts w:eastAsiaTheme="minorEastAsia"/>
                <w:color w:val="000000" w:themeColor="text1"/>
                <w:szCs w:val="21"/>
              </w:rPr>
              <w:t>1.03%</w:t>
            </w:r>
          </w:p>
        </w:tc>
      </w:tr>
      <w:tr w:rsidR="00096EEF">
        <w:tc>
          <w:tcPr>
            <w:tcW w:w="1290" w:type="dxa"/>
            <w:vAlign w:val="center"/>
          </w:tcPr>
          <w:p w:rsidR="00096EEF" w:rsidRDefault="00BF57BA">
            <w:pPr>
              <w:jc w:val="left"/>
            </w:pPr>
            <w:r>
              <w:rPr>
                <w:rFonts w:eastAsiaTheme="minorEastAsia"/>
                <w:color w:val="000000" w:themeColor="text1"/>
                <w:szCs w:val="21"/>
              </w:rPr>
              <w:t>过去三年</w:t>
            </w:r>
          </w:p>
        </w:tc>
        <w:tc>
          <w:tcPr>
            <w:tcW w:w="1291" w:type="dxa"/>
            <w:vAlign w:val="center"/>
          </w:tcPr>
          <w:p w:rsidR="00096EEF" w:rsidRDefault="00BF57BA">
            <w:pPr>
              <w:jc w:val="right"/>
            </w:pPr>
            <w:r>
              <w:rPr>
                <w:rFonts w:eastAsiaTheme="minorEastAsia"/>
                <w:color w:val="000000" w:themeColor="text1"/>
                <w:szCs w:val="21"/>
              </w:rPr>
              <w:t>-5.16%</w:t>
            </w:r>
          </w:p>
        </w:tc>
        <w:tc>
          <w:tcPr>
            <w:tcW w:w="1291" w:type="dxa"/>
            <w:vAlign w:val="center"/>
          </w:tcPr>
          <w:p w:rsidR="00096EEF" w:rsidRDefault="00BF57BA">
            <w:pPr>
              <w:jc w:val="right"/>
            </w:pPr>
            <w:r>
              <w:rPr>
                <w:rFonts w:eastAsiaTheme="minorEastAsia"/>
                <w:color w:val="000000" w:themeColor="text1"/>
                <w:szCs w:val="21"/>
              </w:rPr>
              <w:t>1.53%</w:t>
            </w:r>
          </w:p>
        </w:tc>
        <w:tc>
          <w:tcPr>
            <w:tcW w:w="1291" w:type="dxa"/>
            <w:vAlign w:val="center"/>
          </w:tcPr>
          <w:p w:rsidR="00096EEF" w:rsidRDefault="00BF57BA">
            <w:pPr>
              <w:jc w:val="right"/>
            </w:pPr>
            <w:r>
              <w:rPr>
                <w:rFonts w:eastAsiaTheme="minorEastAsia"/>
                <w:color w:val="000000" w:themeColor="text1"/>
                <w:szCs w:val="21"/>
              </w:rPr>
              <w:t>7.91%</w:t>
            </w:r>
          </w:p>
        </w:tc>
        <w:tc>
          <w:tcPr>
            <w:tcW w:w="1291" w:type="dxa"/>
            <w:vAlign w:val="center"/>
          </w:tcPr>
          <w:p w:rsidR="00096EEF" w:rsidRDefault="00BF57BA">
            <w:pPr>
              <w:jc w:val="right"/>
            </w:pPr>
            <w:r>
              <w:rPr>
                <w:rFonts w:eastAsiaTheme="minorEastAsia"/>
                <w:color w:val="000000" w:themeColor="text1"/>
                <w:szCs w:val="21"/>
              </w:rPr>
              <w:t>0.70%</w:t>
            </w:r>
          </w:p>
        </w:tc>
        <w:tc>
          <w:tcPr>
            <w:tcW w:w="1291" w:type="dxa"/>
            <w:vAlign w:val="center"/>
          </w:tcPr>
          <w:p w:rsidR="00096EEF" w:rsidRDefault="00BF57BA">
            <w:pPr>
              <w:jc w:val="right"/>
            </w:pPr>
            <w:r>
              <w:rPr>
                <w:rFonts w:eastAsiaTheme="minorEastAsia"/>
                <w:color w:val="000000" w:themeColor="text1"/>
                <w:szCs w:val="21"/>
              </w:rPr>
              <w:t>-13.07%</w:t>
            </w:r>
          </w:p>
        </w:tc>
        <w:tc>
          <w:tcPr>
            <w:tcW w:w="1291" w:type="dxa"/>
            <w:vAlign w:val="center"/>
          </w:tcPr>
          <w:p w:rsidR="00096EEF" w:rsidRDefault="00BF57BA">
            <w:pPr>
              <w:jc w:val="right"/>
            </w:pPr>
            <w:r>
              <w:rPr>
                <w:rFonts w:eastAsiaTheme="minorEastAsia"/>
                <w:color w:val="000000" w:themeColor="text1"/>
                <w:szCs w:val="21"/>
              </w:rPr>
              <w:t>0.83%</w:t>
            </w:r>
          </w:p>
        </w:tc>
      </w:tr>
      <w:tr w:rsidR="00096EEF">
        <w:tc>
          <w:tcPr>
            <w:tcW w:w="1290" w:type="dxa"/>
            <w:vAlign w:val="center"/>
          </w:tcPr>
          <w:p w:rsidR="00096EEF" w:rsidRDefault="00BF57BA">
            <w:pPr>
              <w:jc w:val="left"/>
            </w:pPr>
            <w:r>
              <w:rPr>
                <w:rFonts w:eastAsiaTheme="minorEastAsia"/>
                <w:color w:val="000000" w:themeColor="text1"/>
                <w:szCs w:val="21"/>
              </w:rPr>
              <w:t>过去五年</w:t>
            </w:r>
          </w:p>
        </w:tc>
        <w:tc>
          <w:tcPr>
            <w:tcW w:w="1291" w:type="dxa"/>
            <w:vAlign w:val="center"/>
          </w:tcPr>
          <w:p w:rsidR="00096EEF" w:rsidRDefault="00BF57BA">
            <w:pPr>
              <w:jc w:val="right"/>
            </w:pPr>
            <w:r>
              <w:rPr>
                <w:rFonts w:eastAsiaTheme="minorEastAsia"/>
                <w:color w:val="000000" w:themeColor="text1"/>
                <w:szCs w:val="21"/>
              </w:rPr>
              <w:t>-15.06%</w:t>
            </w:r>
          </w:p>
        </w:tc>
        <w:tc>
          <w:tcPr>
            <w:tcW w:w="1291" w:type="dxa"/>
            <w:vAlign w:val="center"/>
          </w:tcPr>
          <w:p w:rsidR="00096EEF" w:rsidRDefault="00BF57BA">
            <w:pPr>
              <w:jc w:val="right"/>
            </w:pPr>
            <w:r>
              <w:rPr>
                <w:rFonts w:eastAsiaTheme="minorEastAsia"/>
                <w:color w:val="000000" w:themeColor="text1"/>
                <w:szCs w:val="21"/>
              </w:rPr>
              <w:t>1.52%</w:t>
            </w:r>
          </w:p>
        </w:tc>
        <w:tc>
          <w:tcPr>
            <w:tcW w:w="1291" w:type="dxa"/>
            <w:vAlign w:val="center"/>
          </w:tcPr>
          <w:p w:rsidR="00096EEF" w:rsidRDefault="00BF57BA">
            <w:pPr>
              <w:jc w:val="right"/>
            </w:pPr>
            <w:r>
              <w:rPr>
                <w:rFonts w:eastAsiaTheme="minorEastAsia"/>
                <w:color w:val="000000" w:themeColor="text1"/>
                <w:szCs w:val="21"/>
              </w:rPr>
              <w:t>5.57%</w:t>
            </w:r>
          </w:p>
        </w:tc>
        <w:tc>
          <w:tcPr>
            <w:tcW w:w="1291" w:type="dxa"/>
            <w:vAlign w:val="center"/>
          </w:tcPr>
          <w:p w:rsidR="00096EEF" w:rsidRDefault="00BF57BA">
            <w:pPr>
              <w:jc w:val="right"/>
            </w:pPr>
            <w:r>
              <w:rPr>
                <w:rFonts w:eastAsiaTheme="minorEastAsia"/>
                <w:color w:val="000000" w:themeColor="text1"/>
                <w:szCs w:val="21"/>
              </w:rPr>
              <w:t>0.76%</w:t>
            </w:r>
          </w:p>
        </w:tc>
        <w:tc>
          <w:tcPr>
            <w:tcW w:w="1291" w:type="dxa"/>
            <w:vAlign w:val="center"/>
          </w:tcPr>
          <w:p w:rsidR="00096EEF" w:rsidRDefault="00BF57BA">
            <w:pPr>
              <w:jc w:val="right"/>
            </w:pPr>
            <w:r>
              <w:rPr>
                <w:rFonts w:eastAsiaTheme="minorEastAsia"/>
                <w:color w:val="000000" w:themeColor="text1"/>
                <w:szCs w:val="21"/>
              </w:rPr>
              <w:t>-20.63%</w:t>
            </w:r>
          </w:p>
        </w:tc>
        <w:tc>
          <w:tcPr>
            <w:tcW w:w="1291" w:type="dxa"/>
            <w:vAlign w:val="center"/>
          </w:tcPr>
          <w:p w:rsidR="00096EEF" w:rsidRDefault="00BF57BA">
            <w:pPr>
              <w:jc w:val="right"/>
            </w:pPr>
            <w:r>
              <w:rPr>
                <w:rFonts w:eastAsiaTheme="minorEastAsia"/>
                <w:color w:val="000000" w:themeColor="text1"/>
                <w:szCs w:val="21"/>
              </w:rPr>
              <w:t>0.76%</w:t>
            </w:r>
          </w:p>
        </w:tc>
      </w:tr>
      <w:tr w:rsidR="00096EEF">
        <w:tc>
          <w:tcPr>
            <w:tcW w:w="1290" w:type="dxa"/>
            <w:vAlign w:val="center"/>
          </w:tcPr>
          <w:p w:rsidR="00096EEF" w:rsidRDefault="00BF57BA">
            <w:pPr>
              <w:jc w:val="left"/>
            </w:pPr>
            <w:r>
              <w:rPr>
                <w:rFonts w:eastAsiaTheme="minorEastAsia"/>
                <w:color w:val="000000" w:themeColor="text1"/>
                <w:szCs w:val="21"/>
              </w:rPr>
              <w:t>自基金合同生效起至今</w:t>
            </w:r>
          </w:p>
        </w:tc>
        <w:tc>
          <w:tcPr>
            <w:tcW w:w="1291" w:type="dxa"/>
            <w:vAlign w:val="center"/>
          </w:tcPr>
          <w:p w:rsidR="00096EEF" w:rsidRDefault="00BF57BA">
            <w:pPr>
              <w:jc w:val="right"/>
            </w:pPr>
            <w:r>
              <w:rPr>
                <w:rFonts w:eastAsiaTheme="minorEastAsia"/>
                <w:color w:val="000000" w:themeColor="text1"/>
                <w:szCs w:val="21"/>
              </w:rPr>
              <w:t>-40.63%</w:t>
            </w:r>
          </w:p>
        </w:tc>
        <w:tc>
          <w:tcPr>
            <w:tcW w:w="1291" w:type="dxa"/>
            <w:vAlign w:val="center"/>
          </w:tcPr>
          <w:p w:rsidR="00096EEF" w:rsidRDefault="00BF57BA">
            <w:pPr>
              <w:jc w:val="right"/>
            </w:pPr>
            <w:r>
              <w:rPr>
                <w:rFonts w:eastAsiaTheme="minorEastAsia"/>
                <w:color w:val="000000" w:themeColor="text1"/>
                <w:szCs w:val="21"/>
              </w:rPr>
              <w:t>1.68%</w:t>
            </w:r>
          </w:p>
        </w:tc>
        <w:tc>
          <w:tcPr>
            <w:tcW w:w="1291" w:type="dxa"/>
            <w:vAlign w:val="center"/>
          </w:tcPr>
          <w:p w:rsidR="00096EEF" w:rsidRDefault="00BF57BA">
            <w:pPr>
              <w:jc w:val="right"/>
            </w:pPr>
            <w:r>
              <w:rPr>
                <w:rFonts w:eastAsiaTheme="minorEastAsia"/>
                <w:color w:val="000000" w:themeColor="text1"/>
                <w:szCs w:val="21"/>
              </w:rPr>
              <w:t>-7.58%</w:t>
            </w:r>
          </w:p>
        </w:tc>
        <w:tc>
          <w:tcPr>
            <w:tcW w:w="1291" w:type="dxa"/>
            <w:vAlign w:val="center"/>
          </w:tcPr>
          <w:p w:rsidR="00096EEF" w:rsidRDefault="00BF57BA">
            <w:pPr>
              <w:jc w:val="right"/>
            </w:pPr>
            <w:r>
              <w:rPr>
                <w:rFonts w:eastAsiaTheme="minorEastAsia"/>
                <w:color w:val="000000" w:themeColor="text1"/>
                <w:szCs w:val="21"/>
              </w:rPr>
              <w:t>0.86%</w:t>
            </w:r>
          </w:p>
        </w:tc>
        <w:tc>
          <w:tcPr>
            <w:tcW w:w="1291" w:type="dxa"/>
            <w:vAlign w:val="center"/>
          </w:tcPr>
          <w:p w:rsidR="00096EEF" w:rsidRDefault="00BF57BA">
            <w:pPr>
              <w:jc w:val="right"/>
            </w:pPr>
            <w:r>
              <w:rPr>
                <w:rFonts w:eastAsiaTheme="minorEastAsia"/>
                <w:color w:val="000000" w:themeColor="text1"/>
                <w:szCs w:val="21"/>
              </w:rPr>
              <w:t>-33.05%</w:t>
            </w:r>
          </w:p>
        </w:tc>
        <w:tc>
          <w:tcPr>
            <w:tcW w:w="1291" w:type="dxa"/>
            <w:vAlign w:val="center"/>
          </w:tcPr>
          <w:p w:rsidR="00096EEF" w:rsidRDefault="00BF57BA">
            <w:pPr>
              <w:jc w:val="right"/>
            </w:pPr>
            <w:r>
              <w:rPr>
                <w:rFonts w:eastAsiaTheme="minorEastAsia"/>
                <w:color w:val="000000" w:themeColor="text1"/>
                <w:szCs w:val="21"/>
              </w:rPr>
              <w:t>0.82%</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lastRenderedPageBreak/>
        <w:t>2</w:t>
      </w:r>
      <w:r w:rsidRPr="00B27A29">
        <w:rPr>
          <w:rFonts w:eastAsiaTheme="minorEastAsia"/>
          <w:b/>
          <w:color w:val="000000" w:themeColor="text1"/>
          <w:szCs w:val="21"/>
        </w:rPr>
        <w:t>、</w:t>
      </w:r>
      <w:r w:rsidRPr="00B27A29">
        <w:rPr>
          <w:rFonts w:eastAsiaTheme="minorEastAsia"/>
          <w:b/>
          <w:color w:val="000000" w:themeColor="text1"/>
          <w:kern w:val="0"/>
          <w:szCs w:val="21"/>
        </w:rPr>
        <w:t>摩根整合驱动混合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096EEF">
        <w:tc>
          <w:tcPr>
            <w:tcW w:w="1290" w:type="dxa"/>
            <w:vAlign w:val="center"/>
          </w:tcPr>
          <w:p w:rsidR="00096EEF" w:rsidRDefault="00BF57BA">
            <w:pPr>
              <w:jc w:val="left"/>
            </w:pPr>
            <w:r>
              <w:rPr>
                <w:rFonts w:eastAsiaTheme="minorEastAsia"/>
                <w:color w:val="000000" w:themeColor="text1"/>
                <w:szCs w:val="21"/>
              </w:rPr>
              <w:t>过去三个月</w:t>
            </w:r>
          </w:p>
        </w:tc>
        <w:tc>
          <w:tcPr>
            <w:tcW w:w="1291" w:type="dxa"/>
            <w:vAlign w:val="center"/>
          </w:tcPr>
          <w:p w:rsidR="00096EEF" w:rsidRDefault="00BF57BA">
            <w:pPr>
              <w:jc w:val="right"/>
            </w:pPr>
            <w:r>
              <w:rPr>
                <w:rFonts w:eastAsiaTheme="minorEastAsia"/>
                <w:color w:val="000000" w:themeColor="text1"/>
                <w:szCs w:val="21"/>
              </w:rPr>
              <w:t>3.42%</w:t>
            </w:r>
          </w:p>
        </w:tc>
        <w:tc>
          <w:tcPr>
            <w:tcW w:w="1291" w:type="dxa"/>
            <w:vAlign w:val="center"/>
          </w:tcPr>
          <w:p w:rsidR="00096EEF" w:rsidRDefault="00BF57BA">
            <w:pPr>
              <w:jc w:val="right"/>
            </w:pPr>
            <w:r>
              <w:rPr>
                <w:rFonts w:eastAsiaTheme="minorEastAsia"/>
                <w:color w:val="000000" w:themeColor="text1"/>
                <w:szCs w:val="21"/>
              </w:rPr>
              <w:t>1.23%</w:t>
            </w:r>
          </w:p>
        </w:tc>
        <w:tc>
          <w:tcPr>
            <w:tcW w:w="1291" w:type="dxa"/>
            <w:vAlign w:val="center"/>
          </w:tcPr>
          <w:p w:rsidR="00096EEF" w:rsidRDefault="00BF57BA">
            <w:pPr>
              <w:jc w:val="right"/>
            </w:pPr>
            <w:r>
              <w:rPr>
                <w:rFonts w:eastAsiaTheme="minorEastAsia"/>
                <w:color w:val="000000" w:themeColor="text1"/>
                <w:szCs w:val="21"/>
              </w:rPr>
              <w:t>3.25%</w:t>
            </w:r>
          </w:p>
        </w:tc>
        <w:tc>
          <w:tcPr>
            <w:tcW w:w="1291" w:type="dxa"/>
            <w:vAlign w:val="center"/>
          </w:tcPr>
          <w:p w:rsidR="00096EEF" w:rsidRDefault="00BF57BA">
            <w:pPr>
              <w:jc w:val="right"/>
            </w:pPr>
            <w:r>
              <w:rPr>
                <w:rFonts w:eastAsiaTheme="minorEastAsia"/>
                <w:color w:val="000000" w:themeColor="text1"/>
                <w:szCs w:val="21"/>
              </w:rPr>
              <w:t>0.48%</w:t>
            </w:r>
          </w:p>
        </w:tc>
        <w:tc>
          <w:tcPr>
            <w:tcW w:w="1291" w:type="dxa"/>
            <w:vAlign w:val="center"/>
          </w:tcPr>
          <w:p w:rsidR="00096EEF" w:rsidRDefault="00BF57BA">
            <w:pPr>
              <w:jc w:val="right"/>
            </w:pPr>
            <w:r>
              <w:rPr>
                <w:rFonts w:eastAsiaTheme="minorEastAsia"/>
                <w:color w:val="000000" w:themeColor="text1"/>
                <w:szCs w:val="21"/>
              </w:rPr>
              <w:t>0.17%</w:t>
            </w:r>
          </w:p>
        </w:tc>
        <w:tc>
          <w:tcPr>
            <w:tcW w:w="1291" w:type="dxa"/>
            <w:vAlign w:val="center"/>
          </w:tcPr>
          <w:p w:rsidR="00096EEF" w:rsidRDefault="00BF57BA">
            <w:pPr>
              <w:jc w:val="right"/>
            </w:pPr>
            <w:r>
              <w:rPr>
                <w:rFonts w:eastAsiaTheme="minorEastAsia"/>
                <w:color w:val="000000" w:themeColor="text1"/>
                <w:szCs w:val="21"/>
              </w:rPr>
              <w:t>0.75%</w:t>
            </w:r>
          </w:p>
        </w:tc>
      </w:tr>
      <w:tr w:rsidR="00096EEF">
        <w:tc>
          <w:tcPr>
            <w:tcW w:w="1290" w:type="dxa"/>
            <w:vAlign w:val="center"/>
          </w:tcPr>
          <w:p w:rsidR="00096EEF" w:rsidRDefault="00BF57BA">
            <w:pPr>
              <w:jc w:val="left"/>
            </w:pPr>
            <w:r>
              <w:rPr>
                <w:rFonts w:eastAsiaTheme="minorEastAsia"/>
                <w:color w:val="000000" w:themeColor="text1"/>
                <w:szCs w:val="21"/>
              </w:rPr>
              <w:t>过去六个月</w:t>
            </w:r>
          </w:p>
        </w:tc>
        <w:tc>
          <w:tcPr>
            <w:tcW w:w="1291" w:type="dxa"/>
            <w:vAlign w:val="center"/>
          </w:tcPr>
          <w:p w:rsidR="00096EEF" w:rsidRDefault="00BF57BA">
            <w:pPr>
              <w:jc w:val="right"/>
            </w:pPr>
            <w:r>
              <w:rPr>
                <w:rFonts w:eastAsiaTheme="minorEastAsia"/>
                <w:color w:val="000000" w:themeColor="text1"/>
                <w:szCs w:val="21"/>
              </w:rPr>
              <w:t>-</w:t>
            </w:r>
          </w:p>
        </w:tc>
        <w:tc>
          <w:tcPr>
            <w:tcW w:w="1291" w:type="dxa"/>
            <w:vAlign w:val="center"/>
          </w:tcPr>
          <w:p w:rsidR="00096EEF" w:rsidRDefault="00BF57BA">
            <w:pPr>
              <w:jc w:val="right"/>
            </w:pPr>
            <w:r>
              <w:rPr>
                <w:rFonts w:eastAsiaTheme="minorEastAsia"/>
                <w:color w:val="000000" w:themeColor="text1"/>
                <w:szCs w:val="21"/>
              </w:rPr>
              <w:t>-</w:t>
            </w:r>
          </w:p>
        </w:tc>
        <w:tc>
          <w:tcPr>
            <w:tcW w:w="1291" w:type="dxa"/>
            <w:vAlign w:val="center"/>
          </w:tcPr>
          <w:p w:rsidR="00096EEF" w:rsidRDefault="00BF57BA">
            <w:pPr>
              <w:jc w:val="right"/>
            </w:pPr>
            <w:r>
              <w:rPr>
                <w:rFonts w:eastAsiaTheme="minorEastAsia"/>
                <w:color w:val="000000" w:themeColor="text1"/>
                <w:szCs w:val="21"/>
              </w:rPr>
              <w:t>-</w:t>
            </w:r>
          </w:p>
        </w:tc>
        <w:tc>
          <w:tcPr>
            <w:tcW w:w="1291" w:type="dxa"/>
            <w:vAlign w:val="center"/>
          </w:tcPr>
          <w:p w:rsidR="00096EEF" w:rsidRDefault="00BF57BA">
            <w:pPr>
              <w:jc w:val="right"/>
            </w:pPr>
            <w:r>
              <w:rPr>
                <w:rFonts w:eastAsiaTheme="minorEastAsia"/>
                <w:color w:val="000000" w:themeColor="text1"/>
                <w:szCs w:val="21"/>
              </w:rPr>
              <w:t>-</w:t>
            </w:r>
          </w:p>
        </w:tc>
        <w:tc>
          <w:tcPr>
            <w:tcW w:w="1291" w:type="dxa"/>
            <w:vAlign w:val="center"/>
          </w:tcPr>
          <w:p w:rsidR="00096EEF" w:rsidRDefault="00BF57BA">
            <w:pPr>
              <w:jc w:val="right"/>
            </w:pPr>
            <w:r>
              <w:rPr>
                <w:rFonts w:eastAsiaTheme="minorEastAsia"/>
                <w:color w:val="000000" w:themeColor="text1"/>
                <w:szCs w:val="21"/>
              </w:rPr>
              <w:t>-</w:t>
            </w:r>
          </w:p>
        </w:tc>
        <w:tc>
          <w:tcPr>
            <w:tcW w:w="1291" w:type="dxa"/>
            <w:vAlign w:val="center"/>
          </w:tcPr>
          <w:p w:rsidR="00096EEF" w:rsidRDefault="00BF57BA">
            <w:pPr>
              <w:jc w:val="right"/>
            </w:pPr>
            <w:r>
              <w:rPr>
                <w:rFonts w:eastAsiaTheme="minorEastAsia"/>
                <w:color w:val="000000" w:themeColor="text1"/>
                <w:szCs w:val="21"/>
              </w:rPr>
              <w:t>-</w:t>
            </w:r>
          </w:p>
        </w:tc>
      </w:tr>
      <w:tr w:rsidR="00096EEF">
        <w:tc>
          <w:tcPr>
            <w:tcW w:w="1290" w:type="dxa"/>
            <w:vAlign w:val="center"/>
          </w:tcPr>
          <w:p w:rsidR="00096EEF" w:rsidRDefault="00BF57BA">
            <w:pPr>
              <w:jc w:val="left"/>
            </w:pPr>
            <w:r>
              <w:rPr>
                <w:rFonts w:eastAsiaTheme="minorEastAsia"/>
                <w:color w:val="000000" w:themeColor="text1"/>
                <w:szCs w:val="21"/>
              </w:rPr>
              <w:t>过去一年</w:t>
            </w:r>
          </w:p>
        </w:tc>
        <w:tc>
          <w:tcPr>
            <w:tcW w:w="1291" w:type="dxa"/>
            <w:vAlign w:val="center"/>
          </w:tcPr>
          <w:p w:rsidR="00096EEF" w:rsidRDefault="00BF57BA">
            <w:pPr>
              <w:jc w:val="right"/>
            </w:pPr>
            <w:r>
              <w:rPr>
                <w:rFonts w:eastAsiaTheme="minorEastAsia"/>
                <w:color w:val="000000" w:themeColor="text1"/>
                <w:szCs w:val="21"/>
              </w:rPr>
              <w:t>-</w:t>
            </w:r>
          </w:p>
        </w:tc>
        <w:tc>
          <w:tcPr>
            <w:tcW w:w="1291" w:type="dxa"/>
            <w:vAlign w:val="center"/>
          </w:tcPr>
          <w:p w:rsidR="00096EEF" w:rsidRDefault="00BF57BA">
            <w:pPr>
              <w:jc w:val="right"/>
            </w:pPr>
            <w:r>
              <w:rPr>
                <w:rFonts w:eastAsiaTheme="minorEastAsia"/>
                <w:color w:val="000000" w:themeColor="text1"/>
                <w:szCs w:val="21"/>
              </w:rPr>
              <w:t>-</w:t>
            </w:r>
          </w:p>
        </w:tc>
        <w:tc>
          <w:tcPr>
            <w:tcW w:w="1291" w:type="dxa"/>
            <w:vAlign w:val="center"/>
          </w:tcPr>
          <w:p w:rsidR="00096EEF" w:rsidRDefault="00BF57BA">
            <w:pPr>
              <w:jc w:val="right"/>
            </w:pPr>
            <w:r>
              <w:rPr>
                <w:rFonts w:eastAsiaTheme="minorEastAsia"/>
                <w:color w:val="000000" w:themeColor="text1"/>
                <w:szCs w:val="21"/>
              </w:rPr>
              <w:t>-</w:t>
            </w:r>
          </w:p>
        </w:tc>
        <w:tc>
          <w:tcPr>
            <w:tcW w:w="1291" w:type="dxa"/>
            <w:vAlign w:val="center"/>
          </w:tcPr>
          <w:p w:rsidR="00096EEF" w:rsidRDefault="00BF57BA">
            <w:pPr>
              <w:jc w:val="right"/>
            </w:pPr>
            <w:r>
              <w:rPr>
                <w:rFonts w:eastAsiaTheme="minorEastAsia"/>
                <w:color w:val="000000" w:themeColor="text1"/>
                <w:szCs w:val="21"/>
              </w:rPr>
              <w:t>-</w:t>
            </w:r>
          </w:p>
        </w:tc>
        <w:tc>
          <w:tcPr>
            <w:tcW w:w="1291" w:type="dxa"/>
            <w:vAlign w:val="center"/>
          </w:tcPr>
          <w:p w:rsidR="00096EEF" w:rsidRDefault="00BF57BA">
            <w:pPr>
              <w:jc w:val="right"/>
            </w:pPr>
            <w:r>
              <w:rPr>
                <w:rFonts w:eastAsiaTheme="minorEastAsia"/>
                <w:color w:val="000000" w:themeColor="text1"/>
                <w:szCs w:val="21"/>
              </w:rPr>
              <w:t>-</w:t>
            </w:r>
          </w:p>
        </w:tc>
        <w:tc>
          <w:tcPr>
            <w:tcW w:w="1291" w:type="dxa"/>
            <w:vAlign w:val="center"/>
          </w:tcPr>
          <w:p w:rsidR="00096EEF" w:rsidRDefault="00BF57BA">
            <w:pPr>
              <w:jc w:val="right"/>
            </w:pPr>
            <w:r>
              <w:rPr>
                <w:rFonts w:eastAsiaTheme="minorEastAsia"/>
                <w:color w:val="000000" w:themeColor="text1"/>
                <w:szCs w:val="21"/>
              </w:rPr>
              <w:t>-</w:t>
            </w:r>
          </w:p>
        </w:tc>
      </w:tr>
      <w:tr w:rsidR="00096EEF">
        <w:tc>
          <w:tcPr>
            <w:tcW w:w="1290" w:type="dxa"/>
            <w:vAlign w:val="center"/>
          </w:tcPr>
          <w:p w:rsidR="00096EEF" w:rsidRDefault="00BF57BA">
            <w:pPr>
              <w:jc w:val="left"/>
            </w:pPr>
            <w:r>
              <w:rPr>
                <w:rFonts w:eastAsiaTheme="minorEastAsia"/>
                <w:color w:val="000000" w:themeColor="text1"/>
                <w:szCs w:val="21"/>
              </w:rPr>
              <w:t>过去三年</w:t>
            </w:r>
          </w:p>
        </w:tc>
        <w:tc>
          <w:tcPr>
            <w:tcW w:w="1291" w:type="dxa"/>
            <w:vAlign w:val="center"/>
          </w:tcPr>
          <w:p w:rsidR="00096EEF" w:rsidRDefault="00BF57BA">
            <w:pPr>
              <w:jc w:val="right"/>
            </w:pPr>
            <w:r>
              <w:rPr>
                <w:rFonts w:eastAsiaTheme="minorEastAsia"/>
                <w:color w:val="000000" w:themeColor="text1"/>
                <w:szCs w:val="21"/>
              </w:rPr>
              <w:t>-</w:t>
            </w:r>
          </w:p>
        </w:tc>
        <w:tc>
          <w:tcPr>
            <w:tcW w:w="1291" w:type="dxa"/>
            <w:vAlign w:val="center"/>
          </w:tcPr>
          <w:p w:rsidR="00096EEF" w:rsidRDefault="00BF57BA">
            <w:pPr>
              <w:jc w:val="right"/>
            </w:pPr>
            <w:r>
              <w:rPr>
                <w:rFonts w:eastAsiaTheme="minorEastAsia"/>
                <w:color w:val="000000" w:themeColor="text1"/>
                <w:szCs w:val="21"/>
              </w:rPr>
              <w:t>-</w:t>
            </w:r>
          </w:p>
        </w:tc>
        <w:tc>
          <w:tcPr>
            <w:tcW w:w="1291" w:type="dxa"/>
            <w:vAlign w:val="center"/>
          </w:tcPr>
          <w:p w:rsidR="00096EEF" w:rsidRDefault="00BF57BA">
            <w:pPr>
              <w:jc w:val="right"/>
            </w:pPr>
            <w:r>
              <w:rPr>
                <w:rFonts w:eastAsiaTheme="minorEastAsia"/>
                <w:color w:val="000000" w:themeColor="text1"/>
                <w:szCs w:val="21"/>
              </w:rPr>
              <w:t>-</w:t>
            </w:r>
          </w:p>
        </w:tc>
        <w:tc>
          <w:tcPr>
            <w:tcW w:w="1291" w:type="dxa"/>
            <w:vAlign w:val="center"/>
          </w:tcPr>
          <w:p w:rsidR="00096EEF" w:rsidRDefault="00BF57BA">
            <w:pPr>
              <w:jc w:val="right"/>
            </w:pPr>
            <w:r>
              <w:rPr>
                <w:rFonts w:eastAsiaTheme="minorEastAsia"/>
                <w:color w:val="000000" w:themeColor="text1"/>
                <w:szCs w:val="21"/>
              </w:rPr>
              <w:t>-</w:t>
            </w:r>
          </w:p>
        </w:tc>
        <w:tc>
          <w:tcPr>
            <w:tcW w:w="1291" w:type="dxa"/>
            <w:vAlign w:val="center"/>
          </w:tcPr>
          <w:p w:rsidR="00096EEF" w:rsidRDefault="00BF57BA">
            <w:pPr>
              <w:jc w:val="right"/>
            </w:pPr>
            <w:r>
              <w:rPr>
                <w:rFonts w:eastAsiaTheme="minorEastAsia"/>
                <w:color w:val="000000" w:themeColor="text1"/>
                <w:szCs w:val="21"/>
              </w:rPr>
              <w:t>-</w:t>
            </w:r>
          </w:p>
        </w:tc>
        <w:tc>
          <w:tcPr>
            <w:tcW w:w="1291" w:type="dxa"/>
            <w:vAlign w:val="center"/>
          </w:tcPr>
          <w:p w:rsidR="00096EEF" w:rsidRDefault="00BF57BA">
            <w:pPr>
              <w:jc w:val="right"/>
            </w:pPr>
            <w:r>
              <w:rPr>
                <w:rFonts w:eastAsiaTheme="minorEastAsia"/>
                <w:color w:val="000000" w:themeColor="text1"/>
                <w:szCs w:val="21"/>
              </w:rPr>
              <w:t>-</w:t>
            </w:r>
          </w:p>
        </w:tc>
      </w:tr>
      <w:tr w:rsidR="00096EEF">
        <w:tc>
          <w:tcPr>
            <w:tcW w:w="1290" w:type="dxa"/>
            <w:vAlign w:val="center"/>
          </w:tcPr>
          <w:p w:rsidR="00096EEF" w:rsidRDefault="00BF57BA">
            <w:pPr>
              <w:jc w:val="left"/>
            </w:pPr>
            <w:r>
              <w:rPr>
                <w:rFonts w:eastAsiaTheme="minorEastAsia"/>
                <w:color w:val="000000" w:themeColor="text1"/>
                <w:szCs w:val="21"/>
              </w:rPr>
              <w:t>过去五年</w:t>
            </w:r>
          </w:p>
        </w:tc>
        <w:tc>
          <w:tcPr>
            <w:tcW w:w="1291" w:type="dxa"/>
            <w:vAlign w:val="center"/>
          </w:tcPr>
          <w:p w:rsidR="00096EEF" w:rsidRDefault="00BF57BA">
            <w:pPr>
              <w:jc w:val="right"/>
            </w:pPr>
            <w:r>
              <w:rPr>
                <w:rFonts w:eastAsiaTheme="minorEastAsia"/>
                <w:color w:val="000000" w:themeColor="text1"/>
                <w:szCs w:val="21"/>
              </w:rPr>
              <w:t>-</w:t>
            </w:r>
          </w:p>
        </w:tc>
        <w:tc>
          <w:tcPr>
            <w:tcW w:w="1291" w:type="dxa"/>
            <w:vAlign w:val="center"/>
          </w:tcPr>
          <w:p w:rsidR="00096EEF" w:rsidRDefault="00BF57BA">
            <w:pPr>
              <w:jc w:val="right"/>
            </w:pPr>
            <w:r>
              <w:rPr>
                <w:rFonts w:eastAsiaTheme="minorEastAsia"/>
                <w:color w:val="000000" w:themeColor="text1"/>
                <w:szCs w:val="21"/>
              </w:rPr>
              <w:t>-</w:t>
            </w:r>
          </w:p>
        </w:tc>
        <w:tc>
          <w:tcPr>
            <w:tcW w:w="1291" w:type="dxa"/>
            <w:vAlign w:val="center"/>
          </w:tcPr>
          <w:p w:rsidR="00096EEF" w:rsidRDefault="00BF57BA">
            <w:pPr>
              <w:jc w:val="right"/>
            </w:pPr>
            <w:r>
              <w:rPr>
                <w:rFonts w:eastAsiaTheme="minorEastAsia"/>
                <w:color w:val="000000" w:themeColor="text1"/>
                <w:szCs w:val="21"/>
              </w:rPr>
              <w:t>-</w:t>
            </w:r>
          </w:p>
        </w:tc>
        <w:tc>
          <w:tcPr>
            <w:tcW w:w="1291" w:type="dxa"/>
            <w:vAlign w:val="center"/>
          </w:tcPr>
          <w:p w:rsidR="00096EEF" w:rsidRDefault="00BF57BA">
            <w:pPr>
              <w:jc w:val="right"/>
            </w:pPr>
            <w:r>
              <w:rPr>
                <w:rFonts w:eastAsiaTheme="minorEastAsia"/>
                <w:color w:val="000000" w:themeColor="text1"/>
                <w:szCs w:val="21"/>
              </w:rPr>
              <w:t>-</w:t>
            </w:r>
          </w:p>
        </w:tc>
        <w:tc>
          <w:tcPr>
            <w:tcW w:w="1291" w:type="dxa"/>
            <w:vAlign w:val="center"/>
          </w:tcPr>
          <w:p w:rsidR="00096EEF" w:rsidRDefault="00BF57BA">
            <w:pPr>
              <w:jc w:val="right"/>
            </w:pPr>
            <w:r>
              <w:rPr>
                <w:rFonts w:eastAsiaTheme="minorEastAsia"/>
                <w:color w:val="000000" w:themeColor="text1"/>
                <w:szCs w:val="21"/>
              </w:rPr>
              <w:t>-</w:t>
            </w:r>
          </w:p>
        </w:tc>
        <w:tc>
          <w:tcPr>
            <w:tcW w:w="1291" w:type="dxa"/>
            <w:vAlign w:val="center"/>
          </w:tcPr>
          <w:p w:rsidR="00096EEF" w:rsidRDefault="00BF57BA">
            <w:pPr>
              <w:jc w:val="right"/>
            </w:pPr>
            <w:r>
              <w:rPr>
                <w:rFonts w:eastAsiaTheme="minorEastAsia"/>
                <w:color w:val="000000" w:themeColor="text1"/>
                <w:szCs w:val="21"/>
              </w:rPr>
              <w:t>-</w:t>
            </w:r>
          </w:p>
        </w:tc>
      </w:tr>
      <w:tr w:rsidR="00096EEF">
        <w:tc>
          <w:tcPr>
            <w:tcW w:w="1290" w:type="dxa"/>
            <w:vAlign w:val="center"/>
          </w:tcPr>
          <w:p w:rsidR="00096EEF" w:rsidRDefault="00BF57BA">
            <w:pPr>
              <w:jc w:val="left"/>
            </w:pPr>
            <w:r>
              <w:rPr>
                <w:rFonts w:eastAsiaTheme="minorEastAsia"/>
                <w:color w:val="000000" w:themeColor="text1"/>
                <w:szCs w:val="21"/>
              </w:rPr>
              <w:t>自基金合同生效起至今</w:t>
            </w:r>
          </w:p>
        </w:tc>
        <w:tc>
          <w:tcPr>
            <w:tcW w:w="1291" w:type="dxa"/>
            <w:vAlign w:val="center"/>
          </w:tcPr>
          <w:p w:rsidR="00096EEF" w:rsidRDefault="00BF57BA">
            <w:pPr>
              <w:jc w:val="right"/>
            </w:pPr>
            <w:r>
              <w:rPr>
                <w:rFonts w:eastAsiaTheme="minorEastAsia"/>
                <w:color w:val="000000" w:themeColor="text1"/>
                <w:szCs w:val="21"/>
              </w:rPr>
              <w:t>-2.23%</w:t>
            </w:r>
          </w:p>
        </w:tc>
        <w:tc>
          <w:tcPr>
            <w:tcW w:w="1291" w:type="dxa"/>
            <w:vAlign w:val="center"/>
          </w:tcPr>
          <w:p w:rsidR="00096EEF" w:rsidRDefault="00BF57BA">
            <w:pPr>
              <w:jc w:val="right"/>
            </w:pPr>
            <w:r>
              <w:rPr>
                <w:rFonts w:eastAsiaTheme="minorEastAsia"/>
                <w:color w:val="000000" w:themeColor="text1"/>
                <w:szCs w:val="21"/>
              </w:rPr>
              <w:t>1.52%</w:t>
            </w:r>
          </w:p>
        </w:tc>
        <w:tc>
          <w:tcPr>
            <w:tcW w:w="1291" w:type="dxa"/>
            <w:vAlign w:val="center"/>
          </w:tcPr>
          <w:p w:rsidR="00096EEF" w:rsidRDefault="00BF57BA">
            <w:pPr>
              <w:jc w:val="right"/>
            </w:pPr>
            <w:r>
              <w:rPr>
                <w:rFonts w:eastAsiaTheme="minorEastAsia"/>
                <w:color w:val="000000" w:themeColor="text1"/>
                <w:szCs w:val="21"/>
              </w:rPr>
              <w:t>7.84%</w:t>
            </w:r>
          </w:p>
        </w:tc>
        <w:tc>
          <w:tcPr>
            <w:tcW w:w="1291" w:type="dxa"/>
            <w:vAlign w:val="center"/>
          </w:tcPr>
          <w:p w:rsidR="00096EEF" w:rsidRDefault="00BF57BA">
            <w:pPr>
              <w:jc w:val="right"/>
            </w:pPr>
            <w:r>
              <w:rPr>
                <w:rFonts w:eastAsiaTheme="minorEastAsia"/>
                <w:color w:val="000000" w:themeColor="text1"/>
                <w:szCs w:val="21"/>
              </w:rPr>
              <w:t>0.55%</w:t>
            </w:r>
          </w:p>
        </w:tc>
        <w:tc>
          <w:tcPr>
            <w:tcW w:w="1291" w:type="dxa"/>
            <w:vAlign w:val="center"/>
          </w:tcPr>
          <w:p w:rsidR="00096EEF" w:rsidRDefault="00BF57BA">
            <w:pPr>
              <w:jc w:val="right"/>
            </w:pPr>
            <w:r>
              <w:rPr>
                <w:rFonts w:eastAsiaTheme="minorEastAsia"/>
                <w:color w:val="000000" w:themeColor="text1"/>
                <w:szCs w:val="21"/>
              </w:rPr>
              <w:t>-10.07%</w:t>
            </w:r>
          </w:p>
        </w:tc>
        <w:tc>
          <w:tcPr>
            <w:tcW w:w="1291" w:type="dxa"/>
            <w:vAlign w:val="center"/>
          </w:tcPr>
          <w:p w:rsidR="00096EEF" w:rsidRDefault="00BF57BA">
            <w:pPr>
              <w:jc w:val="right"/>
            </w:pPr>
            <w:r>
              <w:rPr>
                <w:rFonts w:eastAsiaTheme="minorEastAsia"/>
                <w:color w:val="000000" w:themeColor="text1"/>
                <w:szCs w:val="21"/>
              </w:rPr>
              <w:t>0.97%</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摩根整合驱动灵活配置混合型证券投资基金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(2015</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4</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23</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．摩根整合驱动混合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096EEF" w:rsidRDefault="00BF57BA">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．摩根整合驱动混合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096EEF" w:rsidRDefault="00BF57BA">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096EEF">
        <w:tc>
          <w:tcPr>
            <w:tcW w:w="952" w:type="dxa"/>
            <w:vAlign w:val="center"/>
          </w:tcPr>
          <w:p w:rsidR="00096EEF" w:rsidRDefault="00BF57BA">
            <w:pPr>
              <w:jc w:val="center"/>
            </w:pPr>
            <w:r>
              <w:rPr>
                <w:rFonts w:eastAsiaTheme="minorEastAsia"/>
                <w:color w:val="000000" w:themeColor="text1"/>
                <w:szCs w:val="21"/>
              </w:rPr>
              <w:t>周战海</w:t>
            </w:r>
          </w:p>
        </w:tc>
        <w:tc>
          <w:tcPr>
            <w:tcW w:w="930" w:type="dxa"/>
            <w:vAlign w:val="center"/>
          </w:tcPr>
          <w:p w:rsidR="00096EEF" w:rsidRDefault="00BF57BA">
            <w:pPr>
              <w:jc w:val="center"/>
            </w:pPr>
            <w:r>
              <w:rPr>
                <w:rFonts w:eastAsiaTheme="minorEastAsia"/>
                <w:color w:val="000000" w:themeColor="text1"/>
                <w:szCs w:val="21"/>
              </w:rPr>
              <w:t>本基金基金经理</w:t>
            </w:r>
          </w:p>
        </w:tc>
        <w:tc>
          <w:tcPr>
            <w:tcW w:w="1210" w:type="dxa"/>
            <w:vAlign w:val="center"/>
          </w:tcPr>
          <w:p w:rsidR="00096EEF" w:rsidRDefault="00BF57BA">
            <w:pPr>
              <w:jc w:val="center"/>
            </w:pPr>
            <w:r>
              <w:rPr>
                <w:rFonts w:eastAsiaTheme="minorEastAsia"/>
                <w:color w:val="000000" w:themeColor="text1"/>
                <w:szCs w:val="21"/>
              </w:rPr>
              <w:t>2022-01-14</w:t>
            </w:r>
          </w:p>
        </w:tc>
        <w:tc>
          <w:tcPr>
            <w:tcW w:w="1309" w:type="dxa"/>
            <w:vAlign w:val="center"/>
          </w:tcPr>
          <w:p w:rsidR="00096EEF" w:rsidRDefault="00BF57BA">
            <w:pPr>
              <w:jc w:val="center"/>
            </w:pPr>
            <w:r>
              <w:rPr>
                <w:rFonts w:eastAsiaTheme="minorEastAsia"/>
                <w:color w:val="000000" w:themeColor="text1"/>
                <w:szCs w:val="21"/>
              </w:rPr>
              <w:t>-</w:t>
            </w:r>
          </w:p>
        </w:tc>
        <w:tc>
          <w:tcPr>
            <w:tcW w:w="1254" w:type="dxa"/>
            <w:vAlign w:val="center"/>
          </w:tcPr>
          <w:p w:rsidR="00096EEF" w:rsidRDefault="00BF57BA">
            <w:pPr>
              <w:jc w:val="center"/>
            </w:pPr>
            <w:r>
              <w:rPr>
                <w:rFonts w:eastAsiaTheme="minorEastAsia"/>
                <w:color w:val="000000" w:themeColor="text1"/>
                <w:szCs w:val="21"/>
              </w:rPr>
              <w:t>16</w:t>
            </w:r>
            <w:r>
              <w:rPr>
                <w:rFonts w:eastAsiaTheme="minorEastAsia"/>
                <w:color w:val="000000" w:themeColor="text1"/>
                <w:szCs w:val="21"/>
              </w:rPr>
              <w:t>年</w:t>
            </w:r>
          </w:p>
        </w:tc>
        <w:tc>
          <w:tcPr>
            <w:tcW w:w="3276" w:type="dxa"/>
            <w:vAlign w:val="center"/>
          </w:tcPr>
          <w:p w:rsidR="00096EEF" w:rsidRDefault="00BF57BA">
            <w:r>
              <w:rPr>
                <w:rFonts w:eastAsiaTheme="minorEastAsia"/>
                <w:color w:val="000000" w:themeColor="text1"/>
                <w:szCs w:val="21"/>
              </w:rPr>
              <w:t>周战海先生曾任国金证券研究所资深分析师，太平洋资产管理有限责任公司高级研究员。</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月起加入摩根基金管理（中国）有限公司（原上投摩根基金管理有限公司），历任行业专家、基金经理助理、基金经理，现任高级基金经理。</w:t>
            </w:r>
          </w:p>
        </w:tc>
      </w:tr>
    </w:tbl>
    <w:p w:rsidR="00096EEF" w:rsidRDefault="00BF57B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096EEF" w:rsidRDefault="00BF57B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096EEF" w:rsidRDefault="00BF57BA">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096EEF" w:rsidRDefault="00BF57B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096EEF" w:rsidRDefault="00BF57BA">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年一季度伴随防疫政策调整后国内经济的修复，市场情绪明显改善，</w:t>
      </w:r>
      <w:r>
        <w:rPr>
          <w:rFonts w:eastAsiaTheme="minorEastAsia"/>
          <w:color w:val="000000" w:themeColor="text1"/>
          <w:szCs w:val="21"/>
        </w:rPr>
        <w:t>A</w:t>
      </w:r>
      <w:r>
        <w:rPr>
          <w:rFonts w:eastAsiaTheme="minorEastAsia"/>
          <w:color w:val="000000" w:themeColor="text1"/>
          <w:szCs w:val="21"/>
        </w:rPr>
        <w:t>股整体重心上移，</w:t>
      </w:r>
      <w:r>
        <w:rPr>
          <w:rFonts w:eastAsiaTheme="minorEastAsia"/>
          <w:color w:val="000000" w:themeColor="text1"/>
          <w:szCs w:val="21"/>
        </w:rPr>
        <w:lastRenderedPageBreak/>
        <w:t>呈现震荡走高走势，其中，科技成长股表现出色。指数表现上，上证综指上涨</w:t>
      </w:r>
      <w:r>
        <w:rPr>
          <w:rFonts w:eastAsiaTheme="minorEastAsia"/>
          <w:color w:val="000000" w:themeColor="text1"/>
          <w:szCs w:val="21"/>
        </w:rPr>
        <w:t>5.94%</w:t>
      </w:r>
      <w:r>
        <w:rPr>
          <w:rFonts w:eastAsiaTheme="minorEastAsia"/>
          <w:color w:val="000000" w:themeColor="text1"/>
          <w:szCs w:val="21"/>
        </w:rPr>
        <w:t>，深证成指上涨</w:t>
      </w:r>
      <w:r>
        <w:rPr>
          <w:rFonts w:eastAsiaTheme="minorEastAsia"/>
          <w:color w:val="000000" w:themeColor="text1"/>
          <w:szCs w:val="21"/>
        </w:rPr>
        <w:t>6.45%</w:t>
      </w:r>
      <w:r>
        <w:rPr>
          <w:rFonts w:eastAsiaTheme="minorEastAsia"/>
          <w:color w:val="000000" w:themeColor="text1"/>
          <w:szCs w:val="21"/>
        </w:rPr>
        <w:t>，沪深</w:t>
      </w:r>
      <w:r>
        <w:rPr>
          <w:rFonts w:eastAsiaTheme="minorEastAsia"/>
          <w:color w:val="000000" w:themeColor="text1"/>
          <w:szCs w:val="21"/>
        </w:rPr>
        <w:t>300</w:t>
      </w:r>
      <w:r>
        <w:rPr>
          <w:rFonts w:eastAsiaTheme="minorEastAsia"/>
          <w:color w:val="000000" w:themeColor="text1"/>
          <w:szCs w:val="21"/>
        </w:rPr>
        <w:t>指数上涨</w:t>
      </w:r>
      <w:r>
        <w:rPr>
          <w:rFonts w:eastAsiaTheme="minorEastAsia"/>
          <w:color w:val="000000" w:themeColor="text1"/>
          <w:szCs w:val="21"/>
        </w:rPr>
        <w:t>4.63%</w:t>
      </w:r>
      <w:r>
        <w:rPr>
          <w:rFonts w:eastAsiaTheme="minorEastAsia"/>
          <w:color w:val="000000" w:themeColor="text1"/>
          <w:szCs w:val="21"/>
        </w:rPr>
        <w:t>，创业板指数上涨</w:t>
      </w:r>
      <w:r>
        <w:rPr>
          <w:rFonts w:eastAsiaTheme="minorEastAsia"/>
          <w:color w:val="000000" w:themeColor="text1"/>
          <w:szCs w:val="21"/>
        </w:rPr>
        <w:t>2.25%</w:t>
      </w:r>
      <w:r>
        <w:rPr>
          <w:rFonts w:eastAsiaTheme="minorEastAsia"/>
          <w:color w:val="000000" w:themeColor="text1"/>
          <w:szCs w:val="21"/>
        </w:rPr>
        <w:t>，科创</w:t>
      </w:r>
      <w:r>
        <w:rPr>
          <w:rFonts w:eastAsiaTheme="minorEastAsia"/>
          <w:color w:val="000000" w:themeColor="text1"/>
          <w:szCs w:val="21"/>
        </w:rPr>
        <w:t>50</w:t>
      </w:r>
      <w:r>
        <w:rPr>
          <w:rFonts w:eastAsiaTheme="minorEastAsia"/>
          <w:color w:val="000000" w:themeColor="text1"/>
          <w:szCs w:val="21"/>
        </w:rPr>
        <w:t>指数上涨</w:t>
      </w:r>
      <w:r>
        <w:rPr>
          <w:rFonts w:eastAsiaTheme="minorEastAsia"/>
          <w:color w:val="000000" w:themeColor="text1"/>
          <w:szCs w:val="21"/>
        </w:rPr>
        <w:t>12.67%</w:t>
      </w:r>
      <w:r>
        <w:rPr>
          <w:rFonts w:eastAsiaTheme="minorEastAsia"/>
          <w:color w:val="000000" w:themeColor="text1"/>
          <w:szCs w:val="21"/>
        </w:rPr>
        <w:t>。行业方面，计算机、电子、传媒、通信、建筑装饰等行业表现相对靠前；商贸零售、房地产、银行、电力设备、美容护理等行业表现相对落后。报告期内，本基金按照契约要求，重点投资了新能源汽车、光伏和</w:t>
      </w:r>
      <w:r>
        <w:rPr>
          <w:rFonts w:eastAsiaTheme="minorEastAsia"/>
          <w:color w:val="000000" w:themeColor="text1"/>
          <w:szCs w:val="21"/>
        </w:rPr>
        <w:t>TMT</w:t>
      </w:r>
      <w:r>
        <w:rPr>
          <w:rFonts w:eastAsiaTheme="minorEastAsia"/>
          <w:color w:val="000000" w:themeColor="text1"/>
          <w:szCs w:val="21"/>
        </w:rPr>
        <w:t>等行业。报告期内，基金净值表现良好，小幅上涨。</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w:t>
      </w:r>
      <w:r w:rsidRPr="00B27A29">
        <w:rPr>
          <w:rFonts w:eastAsiaTheme="minorEastAsia"/>
          <w:color w:val="000000" w:themeColor="text1"/>
          <w:szCs w:val="21"/>
        </w:rPr>
        <w:t>2023</w:t>
      </w:r>
      <w:r w:rsidRPr="00B27A29">
        <w:rPr>
          <w:rFonts w:eastAsiaTheme="minorEastAsia"/>
          <w:color w:val="000000" w:themeColor="text1"/>
          <w:szCs w:val="21"/>
        </w:rPr>
        <w:t>年二季度</w:t>
      </w:r>
      <w:r w:rsidRPr="00B27A29">
        <w:rPr>
          <w:rFonts w:eastAsiaTheme="minorEastAsia"/>
          <w:color w:val="000000" w:themeColor="text1"/>
          <w:szCs w:val="21"/>
        </w:rPr>
        <w:t xml:space="preserve">, </w:t>
      </w:r>
      <w:r w:rsidRPr="00B27A29">
        <w:rPr>
          <w:rFonts w:eastAsiaTheme="minorEastAsia"/>
          <w:color w:val="000000" w:themeColor="text1"/>
          <w:szCs w:val="21"/>
        </w:rPr>
        <w:t>国内经济改善的趋势将进一步得到确认。一方面随着疫情影响的消除，生产、消费场景的恢复将推动国内经济持续修复；另一方面信贷数据持续超预期，企业中长期贷款改善明显，从金融数据的领先性看，后期国内经济的修复依然可期；此外在上年同期低基数的背景下，国内经济改善的幅度将进一步增大。我们坚定看好科技这一投资主线，可以提高劳动生产率的科技是资本市场最为认可的方式之一，而其中</w:t>
      </w:r>
      <w:r w:rsidRPr="00B27A29">
        <w:rPr>
          <w:rFonts w:eastAsiaTheme="minorEastAsia"/>
          <w:color w:val="000000" w:themeColor="text1"/>
          <w:szCs w:val="21"/>
        </w:rPr>
        <w:t>AI</w:t>
      </w:r>
      <w:r w:rsidRPr="00B27A29">
        <w:rPr>
          <w:rFonts w:eastAsiaTheme="minorEastAsia"/>
          <w:color w:val="000000" w:themeColor="text1"/>
          <w:szCs w:val="21"/>
        </w:rPr>
        <w:t>赋能是确定性相对较大的方向。我们关注数据采集、算力等置信度高、落地能力强的细分方向。未来我们将重点投资科技相关行业里面具有相对估值优势、增长前景确定的高成长龙头公司。我们将加强对上市公司基本面的研究力度，筛选出竞争力持续提升的优秀公司，力争为持有人创造较好回报。</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096EEF" w:rsidRDefault="00BF57BA">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:3.54%</w:t>
      </w:r>
      <w:r>
        <w:rPr>
          <w:rFonts w:eastAsiaTheme="minorEastAsia"/>
          <w:color w:val="000000" w:themeColor="text1"/>
          <w:szCs w:val="21"/>
        </w:rPr>
        <w:t>，同期业绩比较基准收益率为</w:t>
      </w:r>
      <w:r>
        <w:rPr>
          <w:rFonts w:eastAsiaTheme="minorEastAsia"/>
          <w:color w:val="000000" w:themeColor="text1"/>
          <w:szCs w:val="21"/>
        </w:rPr>
        <w:t>:3.25%</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:3.42%</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:3.25%</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300,844,723.48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91.65</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300,844,723.48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91.65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27,344,365.61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8.33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79,011.78</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328,268,100.87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61,286.40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0.02</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156,451,965.61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47.85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6,619.60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29,108,895.18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8.90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2,292,456.00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0.70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16,118.86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112,278,545.83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34.34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628,836.00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300,844,723.48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92.02</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096EEF">
        <w:tc>
          <w:tcPr>
            <w:tcW w:w="817" w:type="dxa"/>
            <w:vAlign w:val="center"/>
          </w:tcPr>
          <w:p w:rsidR="00096EEF" w:rsidRDefault="00BF57BA">
            <w:pPr>
              <w:jc w:val="center"/>
            </w:pPr>
            <w:r>
              <w:rPr>
                <w:rFonts w:eastAsiaTheme="minorEastAsia"/>
                <w:kern w:val="0"/>
                <w:szCs w:val="21"/>
              </w:rPr>
              <w:t>1</w:t>
            </w:r>
          </w:p>
        </w:tc>
        <w:tc>
          <w:tcPr>
            <w:tcW w:w="1276" w:type="dxa"/>
            <w:vAlign w:val="center"/>
          </w:tcPr>
          <w:p w:rsidR="00096EEF" w:rsidRDefault="00BF57BA">
            <w:pPr>
              <w:jc w:val="center"/>
            </w:pPr>
            <w:r>
              <w:rPr>
                <w:rFonts w:eastAsiaTheme="minorEastAsia"/>
                <w:kern w:val="0"/>
                <w:szCs w:val="21"/>
              </w:rPr>
              <w:t>000032</w:t>
            </w:r>
          </w:p>
        </w:tc>
        <w:tc>
          <w:tcPr>
            <w:tcW w:w="1701" w:type="dxa"/>
            <w:vAlign w:val="center"/>
          </w:tcPr>
          <w:p w:rsidR="00096EEF" w:rsidRDefault="00BF57BA">
            <w:pPr>
              <w:jc w:val="center"/>
            </w:pPr>
            <w:r>
              <w:rPr>
                <w:rFonts w:eastAsiaTheme="minorEastAsia"/>
                <w:kern w:val="0"/>
                <w:szCs w:val="21"/>
              </w:rPr>
              <w:t>深桑达</w:t>
            </w:r>
            <w:r>
              <w:rPr>
                <w:rFonts w:eastAsiaTheme="minorEastAsia"/>
                <w:kern w:val="0"/>
                <w:szCs w:val="21"/>
              </w:rPr>
              <w:t>A</w:t>
            </w:r>
          </w:p>
        </w:tc>
        <w:tc>
          <w:tcPr>
            <w:tcW w:w="1276" w:type="dxa"/>
            <w:vAlign w:val="center"/>
          </w:tcPr>
          <w:p w:rsidR="00096EEF" w:rsidRDefault="00BF57BA">
            <w:pPr>
              <w:jc w:val="right"/>
            </w:pPr>
            <w:r>
              <w:rPr>
                <w:rFonts w:eastAsiaTheme="minorEastAsia"/>
                <w:kern w:val="0"/>
                <w:szCs w:val="21"/>
              </w:rPr>
              <w:t>794,300.00</w:t>
            </w:r>
          </w:p>
        </w:tc>
        <w:tc>
          <w:tcPr>
            <w:tcW w:w="1842" w:type="dxa"/>
            <w:vAlign w:val="center"/>
          </w:tcPr>
          <w:p w:rsidR="00096EEF" w:rsidRDefault="00BF57BA">
            <w:pPr>
              <w:jc w:val="right"/>
            </w:pPr>
            <w:r>
              <w:rPr>
                <w:rFonts w:eastAsiaTheme="minorEastAsia"/>
                <w:kern w:val="0"/>
                <w:szCs w:val="21"/>
              </w:rPr>
              <w:t>26,259,558.00</w:t>
            </w:r>
          </w:p>
        </w:tc>
        <w:tc>
          <w:tcPr>
            <w:tcW w:w="1616" w:type="dxa"/>
            <w:vAlign w:val="center"/>
          </w:tcPr>
          <w:p w:rsidR="00096EEF" w:rsidRDefault="00BF57BA">
            <w:pPr>
              <w:jc w:val="right"/>
            </w:pPr>
            <w:r>
              <w:rPr>
                <w:rFonts w:eastAsiaTheme="minorEastAsia"/>
                <w:kern w:val="0"/>
                <w:szCs w:val="21"/>
              </w:rPr>
              <w:t>8.03</w:t>
            </w:r>
          </w:p>
        </w:tc>
      </w:tr>
      <w:tr w:rsidR="00096EEF">
        <w:tc>
          <w:tcPr>
            <w:tcW w:w="817" w:type="dxa"/>
            <w:vAlign w:val="center"/>
          </w:tcPr>
          <w:p w:rsidR="00096EEF" w:rsidRDefault="00BF57BA">
            <w:pPr>
              <w:jc w:val="center"/>
            </w:pPr>
            <w:r>
              <w:rPr>
                <w:rFonts w:eastAsiaTheme="minorEastAsia"/>
                <w:kern w:val="0"/>
                <w:szCs w:val="21"/>
              </w:rPr>
              <w:t>2</w:t>
            </w:r>
          </w:p>
        </w:tc>
        <w:tc>
          <w:tcPr>
            <w:tcW w:w="1276" w:type="dxa"/>
            <w:vAlign w:val="center"/>
          </w:tcPr>
          <w:p w:rsidR="00096EEF" w:rsidRDefault="00BF57BA">
            <w:pPr>
              <w:jc w:val="center"/>
            </w:pPr>
            <w:r>
              <w:rPr>
                <w:rFonts w:eastAsiaTheme="minorEastAsia"/>
                <w:kern w:val="0"/>
                <w:szCs w:val="21"/>
              </w:rPr>
              <w:t>002236</w:t>
            </w:r>
          </w:p>
        </w:tc>
        <w:tc>
          <w:tcPr>
            <w:tcW w:w="1701" w:type="dxa"/>
            <w:vAlign w:val="center"/>
          </w:tcPr>
          <w:p w:rsidR="00096EEF" w:rsidRDefault="00BF57BA">
            <w:pPr>
              <w:jc w:val="center"/>
            </w:pPr>
            <w:r>
              <w:rPr>
                <w:rFonts w:eastAsiaTheme="minorEastAsia"/>
                <w:kern w:val="0"/>
                <w:szCs w:val="21"/>
              </w:rPr>
              <w:t>大华股份</w:t>
            </w:r>
          </w:p>
        </w:tc>
        <w:tc>
          <w:tcPr>
            <w:tcW w:w="1276" w:type="dxa"/>
            <w:vAlign w:val="center"/>
          </w:tcPr>
          <w:p w:rsidR="00096EEF" w:rsidRDefault="00BF57BA">
            <w:pPr>
              <w:jc w:val="right"/>
            </w:pPr>
            <w:r>
              <w:rPr>
                <w:rFonts w:eastAsiaTheme="minorEastAsia"/>
                <w:kern w:val="0"/>
                <w:szCs w:val="21"/>
              </w:rPr>
              <w:t>1,007,300.00</w:t>
            </w:r>
          </w:p>
        </w:tc>
        <w:tc>
          <w:tcPr>
            <w:tcW w:w="1842" w:type="dxa"/>
            <w:vAlign w:val="center"/>
          </w:tcPr>
          <w:p w:rsidR="00096EEF" w:rsidRDefault="00BF57BA">
            <w:pPr>
              <w:jc w:val="right"/>
            </w:pPr>
            <w:r>
              <w:rPr>
                <w:rFonts w:eastAsiaTheme="minorEastAsia"/>
                <w:kern w:val="0"/>
                <w:szCs w:val="21"/>
              </w:rPr>
              <w:t>22,775,053.00</w:t>
            </w:r>
          </w:p>
        </w:tc>
        <w:tc>
          <w:tcPr>
            <w:tcW w:w="1616" w:type="dxa"/>
            <w:vAlign w:val="center"/>
          </w:tcPr>
          <w:p w:rsidR="00096EEF" w:rsidRDefault="00BF57BA">
            <w:pPr>
              <w:jc w:val="right"/>
            </w:pPr>
            <w:r>
              <w:rPr>
                <w:rFonts w:eastAsiaTheme="minorEastAsia"/>
                <w:kern w:val="0"/>
                <w:szCs w:val="21"/>
              </w:rPr>
              <w:t>6.97</w:t>
            </w:r>
          </w:p>
        </w:tc>
      </w:tr>
      <w:tr w:rsidR="00096EEF">
        <w:tc>
          <w:tcPr>
            <w:tcW w:w="817" w:type="dxa"/>
            <w:vAlign w:val="center"/>
          </w:tcPr>
          <w:p w:rsidR="00096EEF" w:rsidRDefault="00BF57BA">
            <w:pPr>
              <w:jc w:val="center"/>
            </w:pPr>
            <w:r>
              <w:rPr>
                <w:rFonts w:eastAsiaTheme="minorEastAsia"/>
                <w:kern w:val="0"/>
                <w:szCs w:val="21"/>
              </w:rPr>
              <w:t>3</w:t>
            </w:r>
          </w:p>
        </w:tc>
        <w:tc>
          <w:tcPr>
            <w:tcW w:w="1276" w:type="dxa"/>
            <w:vAlign w:val="center"/>
          </w:tcPr>
          <w:p w:rsidR="00096EEF" w:rsidRDefault="00BF57BA">
            <w:pPr>
              <w:jc w:val="center"/>
            </w:pPr>
            <w:r>
              <w:rPr>
                <w:rFonts w:eastAsiaTheme="minorEastAsia"/>
                <w:kern w:val="0"/>
                <w:szCs w:val="21"/>
              </w:rPr>
              <w:t>002368</w:t>
            </w:r>
          </w:p>
        </w:tc>
        <w:tc>
          <w:tcPr>
            <w:tcW w:w="1701" w:type="dxa"/>
            <w:vAlign w:val="center"/>
          </w:tcPr>
          <w:p w:rsidR="00096EEF" w:rsidRDefault="00BF57BA">
            <w:pPr>
              <w:jc w:val="center"/>
            </w:pPr>
            <w:r>
              <w:rPr>
                <w:rFonts w:eastAsiaTheme="minorEastAsia"/>
                <w:kern w:val="0"/>
                <w:szCs w:val="21"/>
              </w:rPr>
              <w:t>太极股份</w:t>
            </w:r>
          </w:p>
        </w:tc>
        <w:tc>
          <w:tcPr>
            <w:tcW w:w="1276" w:type="dxa"/>
            <w:vAlign w:val="center"/>
          </w:tcPr>
          <w:p w:rsidR="00096EEF" w:rsidRDefault="00BF57BA">
            <w:pPr>
              <w:jc w:val="right"/>
            </w:pPr>
            <w:r>
              <w:rPr>
                <w:rFonts w:eastAsiaTheme="minorEastAsia"/>
                <w:kern w:val="0"/>
                <w:szCs w:val="21"/>
              </w:rPr>
              <w:t>437,617.00</w:t>
            </w:r>
          </w:p>
        </w:tc>
        <w:tc>
          <w:tcPr>
            <w:tcW w:w="1842" w:type="dxa"/>
            <w:vAlign w:val="center"/>
          </w:tcPr>
          <w:p w:rsidR="00096EEF" w:rsidRDefault="00BF57BA">
            <w:pPr>
              <w:jc w:val="right"/>
            </w:pPr>
            <w:r>
              <w:rPr>
                <w:rFonts w:eastAsiaTheme="minorEastAsia"/>
                <w:kern w:val="0"/>
                <w:szCs w:val="21"/>
              </w:rPr>
              <w:t>18,458,685.06</w:t>
            </w:r>
          </w:p>
        </w:tc>
        <w:tc>
          <w:tcPr>
            <w:tcW w:w="1616" w:type="dxa"/>
            <w:vAlign w:val="center"/>
          </w:tcPr>
          <w:p w:rsidR="00096EEF" w:rsidRDefault="00BF57BA">
            <w:pPr>
              <w:jc w:val="right"/>
            </w:pPr>
            <w:r>
              <w:rPr>
                <w:rFonts w:eastAsiaTheme="minorEastAsia"/>
                <w:kern w:val="0"/>
                <w:szCs w:val="21"/>
              </w:rPr>
              <w:t>5.65</w:t>
            </w:r>
          </w:p>
        </w:tc>
      </w:tr>
      <w:tr w:rsidR="00096EEF">
        <w:tc>
          <w:tcPr>
            <w:tcW w:w="817" w:type="dxa"/>
            <w:vAlign w:val="center"/>
          </w:tcPr>
          <w:p w:rsidR="00096EEF" w:rsidRDefault="00BF57BA">
            <w:pPr>
              <w:jc w:val="center"/>
            </w:pPr>
            <w:r>
              <w:rPr>
                <w:rFonts w:eastAsiaTheme="minorEastAsia"/>
                <w:kern w:val="0"/>
                <w:szCs w:val="21"/>
              </w:rPr>
              <w:t>4</w:t>
            </w:r>
          </w:p>
        </w:tc>
        <w:tc>
          <w:tcPr>
            <w:tcW w:w="1276" w:type="dxa"/>
            <w:vAlign w:val="center"/>
          </w:tcPr>
          <w:p w:rsidR="00096EEF" w:rsidRDefault="00BF57BA">
            <w:pPr>
              <w:jc w:val="center"/>
            </w:pPr>
            <w:r>
              <w:rPr>
                <w:rFonts w:eastAsiaTheme="minorEastAsia"/>
                <w:kern w:val="0"/>
                <w:szCs w:val="21"/>
              </w:rPr>
              <w:t>688111</w:t>
            </w:r>
          </w:p>
        </w:tc>
        <w:tc>
          <w:tcPr>
            <w:tcW w:w="1701" w:type="dxa"/>
            <w:vAlign w:val="center"/>
          </w:tcPr>
          <w:p w:rsidR="00096EEF" w:rsidRDefault="00BF57BA">
            <w:pPr>
              <w:jc w:val="center"/>
            </w:pPr>
            <w:r>
              <w:rPr>
                <w:rFonts w:eastAsiaTheme="minorEastAsia"/>
                <w:kern w:val="0"/>
                <w:szCs w:val="21"/>
              </w:rPr>
              <w:t>金山办公</w:t>
            </w:r>
          </w:p>
        </w:tc>
        <w:tc>
          <w:tcPr>
            <w:tcW w:w="1276" w:type="dxa"/>
            <w:vAlign w:val="center"/>
          </w:tcPr>
          <w:p w:rsidR="00096EEF" w:rsidRDefault="00BF57BA">
            <w:pPr>
              <w:jc w:val="right"/>
            </w:pPr>
            <w:r>
              <w:rPr>
                <w:rFonts w:eastAsiaTheme="minorEastAsia"/>
                <w:kern w:val="0"/>
                <w:szCs w:val="21"/>
              </w:rPr>
              <w:t>33,100.00</w:t>
            </w:r>
          </w:p>
        </w:tc>
        <w:tc>
          <w:tcPr>
            <w:tcW w:w="1842" w:type="dxa"/>
            <w:vAlign w:val="center"/>
          </w:tcPr>
          <w:p w:rsidR="00096EEF" w:rsidRDefault="00BF57BA">
            <w:pPr>
              <w:jc w:val="right"/>
            </w:pPr>
            <w:r>
              <w:rPr>
                <w:rFonts w:eastAsiaTheme="minorEastAsia"/>
                <w:kern w:val="0"/>
                <w:szCs w:val="21"/>
              </w:rPr>
              <w:t>15,656,300.00</w:t>
            </w:r>
          </w:p>
        </w:tc>
        <w:tc>
          <w:tcPr>
            <w:tcW w:w="1616" w:type="dxa"/>
            <w:vAlign w:val="center"/>
          </w:tcPr>
          <w:p w:rsidR="00096EEF" w:rsidRDefault="00BF57BA">
            <w:pPr>
              <w:jc w:val="right"/>
            </w:pPr>
            <w:r>
              <w:rPr>
                <w:rFonts w:eastAsiaTheme="minorEastAsia"/>
                <w:kern w:val="0"/>
                <w:szCs w:val="21"/>
              </w:rPr>
              <w:t>4.79</w:t>
            </w:r>
          </w:p>
        </w:tc>
      </w:tr>
      <w:tr w:rsidR="00096EEF">
        <w:tc>
          <w:tcPr>
            <w:tcW w:w="817" w:type="dxa"/>
            <w:vAlign w:val="center"/>
          </w:tcPr>
          <w:p w:rsidR="00096EEF" w:rsidRDefault="00BF57BA">
            <w:pPr>
              <w:jc w:val="center"/>
            </w:pPr>
            <w:r>
              <w:rPr>
                <w:rFonts w:eastAsiaTheme="minorEastAsia"/>
                <w:kern w:val="0"/>
                <w:szCs w:val="21"/>
              </w:rPr>
              <w:t>5</w:t>
            </w:r>
          </w:p>
        </w:tc>
        <w:tc>
          <w:tcPr>
            <w:tcW w:w="1276" w:type="dxa"/>
            <w:vAlign w:val="center"/>
          </w:tcPr>
          <w:p w:rsidR="00096EEF" w:rsidRDefault="00BF57BA">
            <w:pPr>
              <w:jc w:val="center"/>
            </w:pPr>
            <w:r>
              <w:rPr>
                <w:rFonts w:eastAsiaTheme="minorEastAsia"/>
                <w:kern w:val="0"/>
                <w:szCs w:val="21"/>
              </w:rPr>
              <w:t>688031</w:t>
            </w:r>
          </w:p>
        </w:tc>
        <w:tc>
          <w:tcPr>
            <w:tcW w:w="1701" w:type="dxa"/>
            <w:vAlign w:val="center"/>
          </w:tcPr>
          <w:p w:rsidR="00096EEF" w:rsidRDefault="00BF57BA">
            <w:pPr>
              <w:jc w:val="center"/>
            </w:pPr>
            <w:r>
              <w:rPr>
                <w:rFonts w:eastAsiaTheme="minorEastAsia"/>
                <w:kern w:val="0"/>
                <w:szCs w:val="21"/>
              </w:rPr>
              <w:t>星环科技</w:t>
            </w:r>
          </w:p>
        </w:tc>
        <w:tc>
          <w:tcPr>
            <w:tcW w:w="1276" w:type="dxa"/>
            <w:vAlign w:val="center"/>
          </w:tcPr>
          <w:p w:rsidR="00096EEF" w:rsidRDefault="00BF57BA">
            <w:pPr>
              <w:jc w:val="right"/>
            </w:pPr>
            <w:r>
              <w:rPr>
                <w:rFonts w:eastAsiaTheme="minorEastAsia"/>
                <w:kern w:val="0"/>
                <w:szCs w:val="21"/>
              </w:rPr>
              <w:t>118,962.00</w:t>
            </w:r>
          </w:p>
        </w:tc>
        <w:tc>
          <w:tcPr>
            <w:tcW w:w="1842" w:type="dxa"/>
            <w:vAlign w:val="center"/>
          </w:tcPr>
          <w:p w:rsidR="00096EEF" w:rsidRDefault="00BF57BA">
            <w:pPr>
              <w:jc w:val="right"/>
            </w:pPr>
            <w:r>
              <w:rPr>
                <w:rFonts w:eastAsiaTheme="minorEastAsia"/>
                <w:kern w:val="0"/>
                <w:szCs w:val="21"/>
              </w:rPr>
              <w:t>14,275,440.00</w:t>
            </w:r>
          </w:p>
        </w:tc>
        <w:tc>
          <w:tcPr>
            <w:tcW w:w="1616" w:type="dxa"/>
            <w:vAlign w:val="center"/>
          </w:tcPr>
          <w:p w:rsidR="00096EEF" w:rsidRDefault="00BF57BA">
            <w:pPr>
              <w:jc w:val="right"/>
            </w:pPr>
            <w:r>
              <w:rPr>
                <w:rFonts w:eastAsiaTheme="minorEastAsia"/>
                <w:kern w:val="0"/>
                <w:szCs w:val="21"/>
              </w:rPr>
              <w:t>4.37</w:t>
            </w:r>
          </w:p>
        </w:tc>
      </w:tr>
      <w:tr w:rsidR="00096EEF">
        <w:tc>
          <w:tcPr>
            <w:tcW w:w="817" w:type="dxa"/>
            <w:vAlign w:val="center"/>
          </w:tcPr>
          <w:p w:rsidR="00096EEF" w:rsidRDefault="00BF57BA">
            <w:pPr>
              <w:jc w:val="center"/>
            </w:pPr>
            <w:r>
              <w:rPr>
                <w:rFonts w:eastAsiaTheme="minorEastAsia"/>
                <w:kern w:val="0"/>
                <w:szCs w:val="21"/>
              </w:rPr>
              <w:t>6</w:t>
            </w:r>
          </w:p>
        </w:tc>
        <w:tc>
          <w:tcPr>
            <w:tcW w:w="1276" w:type="dxa"/>
            <w:vAlign w:val="center"/>
          </w:tcPr>
          <w:p w:rsidR="00096EEF" w:rsidRDefault="00BF57BA">
            <w:pPr>
              <w:jc w:val="center"/>
            </w:pPr>
            <w:r>
              <w:rPr>
                <w:rFonts w:eastAsiaTheme="minorEastAsia"/>
                <w:kern w:val="0"/>
                <w:szCs w:val="21"/>
              </w:rPr>
              <w:t>600519</w:t>
            </w:r>
          </w:p>
        </w:tc>
        <w:tc>
          <w:tcPr>
            <w:tcW w:w="1701" w:type="dxa"/>
            <w:vAlign w:val="center"/>
          </w:tcPr>
          <w:p w:rsidR="00096EEF" w:rsidRDefault="00BF57BA">
            <w:pPr>
              <w:jc w:val="center"/>
            </w:pPr>
            <w:r>
              <w:rPr>
                <w:rFonts w:eastAsiaTheme="minorEastAsia"/>
                <w:kern w:val="0"/>
                <w:szCs w:val="21"/>
              </w:rPr>
              <w:t>贵州茅台</w:t>
            </w:r>
          </w:p>
        </w:tc>
        <w:tc>
          <w:tcPr>
            <w:tcW w:w="1276" w:type="dxa"/>
            <w:vAlign w:val="center"/>
          </w:tcPr>
          <w:p w:rsidR="00096EEF" w:rsidRDefault="00BF57BA">
            <w:pPr>
              <w:jc w:val="right"/>
            </w:pPr>
            <w:r>
              <w:rPr>
                <w:rFonts w:eastAsiaTheme="minorEastAsia"/>
                <w:kern w:val="0"/>
                <w:szCs w:val="21"/>
              </w:rPr>
              <w:t>5,702.00</w:t>
            </w:r>
          </w:p>
        </w:tc>
        <w:tc>
          <w:tcPr>
            <w:tcW w:w="1842" w:type="dxa"/>
            <w:vAlign w:val="center"/>
          </w:tcPr>
          <w:p w:rsidR="00096EEF" w:rsidRDefault="00BF57BA">
            <w:pPr>
              <w:jc w:val="right"/>
            </w:pPr>
            <w:r>
              <w:rPr>
                <w:rFonts w:eastAsiaTheme="minorEastAsia"/>
                <w:kern w:val="0"/>
                <w:szCs w:val="21"/>
              </w:rPr>
              <w:t>10,377,640.00</w:t>
            </w:r>
          </w:p>
        </w:tc>
        <w:tc>
          <w:tcPr>
            <w:tcW w:w="1616" w:type="dxa"/>
            <w:vAlign w:val="center"/>
          </w:tcPr>
          <w:p w:rsidR="00096EEF" w:rsidRDefault="00BF57BA">
            <w:pPr>
              <w:jc w:val="right"/>
            </w:pPr>
            <w:r>
              <w:rPr>
                <w:rFonts w:eastAsiaTheme="minorEastAsia"/>
                <w:kern w:val="0"/>
                <w:szCs w:val="21"/>
              </w:rPr>
              <w:t>3.17</w:t>
            </w:r>
          </w:p>
        </w:tc>
      </w:tr>
      <w:tr w:rsidR="00096EEF">
        <w:tc>
          <w:tcPr>
            <w:tcW w:w="817" w:type="dxa"/>
            <w:vAlign w:val="center"/>
          </w:tcPr>
          <w:p w:rsidR="00096EEF" w:rsidRDefault="00BF57BA">
            <w:pPr>
              <w:jc w:val="center"/>
            </w:pPr>
            <w:r>
              <w:rPr>
                <w:rFonts w:eastAsiaTheme="minorEastAsia"/>
                <w:kern w:val="0"/>
                <w:szCs w:val="21"/>
              </w:rPr>
              <w:t>7</w:t>
            </w:r>
          </w:p>
        </w:tc>
        <w:tc>
          <w:tcPr>
            <w:tcW w:w="1276" w:type="dxa"/>
            <w:vAlign w:val="center"/>
          </w:tcPr>
          <w:p w:rsidR="00096EEF" w:rsidRDefault="00BF57BA">
            <w:pPr>
              <w:jc w:val="center"/>
            </w:pPr>
            <w:r>
              <w:rPr>
                <w:rFonts w:eastAsiaTheme="minorEastAsia"/>
                <w:kern w:val="0"/>
                <w:szCs w:val="21"/>
              </w:rPr>
              <w:t>002459</w:t>
            </w:r>
          </w:p>
        </w:tc>
        <w:tc>
          <w:tcPr>
            <w:tcW w:w="1701" w:type="dxa"/>
            <w:vAlign w:val="center"/>
          </w:tcPr>
          <w:p w:rsidR="00096EEF" w:rsidRDefault="00BF57BA">
            <w:pPr>
              <w:jc w:val="center"/>
            </w:pPr>
            <w:r>
              <w:rPr>
                <w:rFonts w:eastAsiaTheme="minorEastAsia"/>
                <w:kern w:val="0"/>
                <w:szCs w:val="21"/>
              </w:rPr>
              <w:t>晶澳科技</w:t>
            </w:r>
          </w:p>
        </w:tc>
        <w:tc>
          <w:tcPr>
            <w:tcW w:w="1276" w:type="dxa"/>
            <w:vAlign w:val="center"/>
          </w:tcPr>
          <w:p w:rsidR="00096EEF" w:rsidRDefault="00BF57BA">
            <w:pPr>
              <w:jc w:val="right"/>
            </w:pPr>
            <w:r>
              <w:rPr>
                <w:rFonts w:eastAsiaTheme="minorEastAsia"/>
                <w:kern w:val="0"/>
                <w:szCs w:val="21"/>
              </w:rPr>
              <w:t>173,700.00</w:t>
            </w:r>
          </w:p>
        </w:tc>
        <w:tc>
          <w:tcPr>
            <w:tcW w:w="1842" w:type="dxa"/>
            <w:vAlign w:val="center"/>
          </w:tcPr>
          <w:p w:rsidR="00096EEF" w:rsidRDefault="00BF57BA">
            <w:pPr>
              <w:jc w:val="right"/>
            </w:pPr>
            <w:r>
              <w:rPr>
                <w:rFonts w:eastAsiaTheme="minorEastAsia"/>
                <w:kern w:val="0"/>
                <w:szCs w:val="21"/>
              </w:rPr>
              <w:t>9,959,958.00</w:t>
            </w:r>
          </w:p>
        </w:tc>
        <w:tc>
          <w:tcPr>
            <w:tcW w:w="1616" w:type="dxa"/>
            <w:vAlign w:val="center"/>
          </w:tcPr>
          <w:p w:rsidR="00096EEF" w:rsidRDefault="00BF57BA">
            <w:pPr>
              <w:jc w:val="right"/>
            </w:pPr>
            <w:r>
              <w:rPr>
                <w:rFonts w:eastAsiaTheme="minorEastAsia"/>
                <w:kern w:val="0"/>
                <w:szCs w:val="21"/>
              </w:rPr>
              <w:t>3.05</w:t>
            </w:r>
          </w:p>
        </w:tc>
      </w:tr>
      <w:tr w:rsidR="00096EEF">
        <w:tc>
          <w:tcPr>
            <w:tcW w:w="817" w:type="dxa"/>
            <w:vAlign w:val="center"/>
          </w:tcPr>
          <w:p w:rsidR="00096EEF" w:rsidRDefault="00BF57BA">
            <w:pPr>
              <w:jc w:val="center"/>
            </w:pPr>
            <w:r>
              <w:rPr>
                <w:rFonts w:eastAsiaTheme="minorEastAsia"/>
                <w:kern w:val="0"/>
                <w:szCs w:val="21"/>
              </w:rPr>
              <w:t>8</w:t>
            </w:r>
          </w:p>
        </w:tc>
        <w:tc>
          <w:tcPr>
            <w:tcW w:w="1276" w:type="dxa"/>
            <w:vAlign w:val="center"/>
          </w:tcPr>
          <w:p w:rsidR="00096EEF" w:rsidRDefault="00BF57BA">
            <w:pPr>
              <w:jc w:val="center"/>
            </w:pPr>
            <w:r>
              <w:rPr>
                <w:rFonts w:eastAsiaTheme="minorEastAsia"/>
                <w:kern w:val="0"/>
                <w:szCs w:val="21"/>
              </w:rPr>
              <w:t>688390</w:t>
            </w:r>
          </w:p>
        </w:tc>
        <w:tc>
          <w:tcPr>
            <w:tcW w:w="1701" w:type="dxa"/>
            <w:vAlign w:val="center"/>
          </w:tcPr>
          <w:p w:rsidR="00096EEF" w:rsidRDefault="00BF57BA">
            <w:pPr>
              <w:jc w:val="center"/>
            </w:pPr>
            <w:r>
              <w:rPr>
                <w:rFonts w:eastAsiaTheme="minorEastAsia"/>
                <w:kern w:val="0"/>
                <w:szCs w:val="21"/>
              </w:rPr>
              <w:t>固德威</w:t>
            </w:r>
          </w:p>
        </w:tc>
        <w:tc>
          <w:tcPr>
            <w:tcW w:w="1276" w:type="dxa"/>
            <w:vAlign w:val="center"/>
          </w:tcPr>
          <w:p w:rsidR="00096EEF" w:rsidRDefault="00BF57BA">
            <w:pPr>
              <w:jc w:val="right"/>
            </w:pPr>
            <w:r>
              <w:rPr>
                <w:rFonts w:eastAsiaTheme="minorEastAsia"/>
                <w:kern w:val="0"/>
                <w:szCs w:val="21"/>
              </w:rPr>
              <w:t>31,099.00</w:t>
            </w:r>
          </w:p>
        </w:tc>
        <w:tc>
          <w:tcPr>
            <w:tcW w:w="1842" w:type="dxa"/>
            <w:vAlign w:val="center"/>
          </w:tcPr>
          <w:p w:rsidR="00096EEF" w:rsidRDefault="00BF57BA">
            <w:pPr>
              <w:jc w:val="right"/>
            </w:pPr>
            <w:r>
              <w:rPr>
                <w:rFonts w:eastAsiaTheme="minorEastAsia"/>
                <w:kern w:val="0"/>
                <w:szCs w:val="21"/>
              </w:rPr>
              <w:t>9,001,605.55</w:t>
            </w:r>
          </w:p>
        </w:tc>
        <w:tc>
          <w:tcPr>
            <w:tcW w:w="1616" w:type="dxa"/>
            <w:vAlign w:val="center"/>
          </w:tcPr>
          <w:p w:rsidR="00096EEF" w:rsidRDefault="00BF57BA">
            <w:pPr>
              <w:jc w:val="right"/>
            </w:pPr>
            <w:r>
              <w:rPr>
                <w:rFonts w:eastAsiaTheme="minorEastAsia"/>
                <w:kern w:val="0"/>
                <w:szCs w:val="21"/>
              </w:rPr>
              <w:t>2.75</w:t>
            </w:r>
          </w:p>
        </w:tc>
      </w:tr>
      <w:tr w:rsidR="00096EEF">
        <w:tc>
          <w:tcPr>
            <w:tcW w:w="817" w:type="dxa"/>
            <w:vAlign w:val="center"/>
          </w:tcPr>
          <w:p w:rsidR="00096EEF" w:rsidRDefault="00BF57BA">
            <w:pPr>
              <w:jc w:val="center"/>
            </w:pPr>
            <w:r>
              <w:rPr>
                <w:rFonts w:eastAsiaTheme="minorEastAsia"/>
                <w:kern w:val="0"/>
                <w:szCs w:val="21"/>
              </w:rPr>
              <w:t>9</w:t>
            </w:r>
          </w:p>
        </w:tc>
        <w:tc>
          <w:tcPr>
            <w:tcW w:w="1276" w:type="dxa"/>
            <w:vAlign w:val="center"/>
          </w:tcPr>
          <w:p w:rsidR="00096EEF" w:rsidRDefault="00BF57BA">
            <w:pPr>
              <w:jc w:val="center"/>
            </w:pPr>
            <w:r>
              <w:rPr>
                <w:rFonts w:eastAsiaTheme="minorEastAsia"/>
                <w:kern w:val="0"/>
                <w:szCs w:val="21"/>
              </w:rPr>
              <w:t>600602</w:t>
            </w:r>
          </w:p>
        </w:tc>
        <w:tc>
          <w:tcPr>
            <w:tcW w:w="1701" w:type="dxa"/>
            <w:vAlign w:val="center"/>
          </w:tcPr>
          <w:p w:rsidR="00096EEF" w:rsidRDefault="00BF57BA">
            <w:pPr>
              <w:jc w:val="center"/>
            </w:pPr>
            <w:r>
              <w:rPr>
                <w:rFonts w:eastAsiaTheme="minorEastAsia"/>
                <w:kern w:val="0"/>
                <w:szCs w:val="21"/>
              </w:rPr>
              <w:t>云赛智联</w:t>
            </w:r>
          </w:p>
        </w:tc>
        <w:tc>
          <w:tcPr>
            <w:tcW w:w="1276" w:type="dxa"/>
            <w:vAlign w:val="center"/>
          </w:tcPr>
          <w:p w:rsidR="00096EEF" w:rsidRDefault="00BF57BA">
            <w:pPr>
              <w:jc w:val="right"/>
            </w:pPr>
            <w:r>
              <w:rPr>
                <w:rFonts w:eastAsiaTheme="minorEastAsia"/>
                <w:kern w:val="0"/>
                <w:szCs w:val="21"/>
              </w:rPr>
              <w:t>794,900.00</w:t>
            </w:r>
          </w:p>
        </w:tc>
        <w:tc>
          <w:tcPr>
            <w:tcW w:w="1842" w:type="dxa"/>
            <w:vAlign w:val="center"/>
          </w:tcPr>
          <w:p w:rsidR="00096EEF" w:rsidRDefault="00BF57BA">
            <w:pPr>
              <w:jc w:val="right"/>
            </w:pPr>
            <w:r>
              <w:rPr>
                <w:rFonts w:eastAsiaTheme="minorEastAsia"/>
                <w:kern w:val="0"/>
                <w:szCs w:val="21"/>
              </w:rPr>
              <w:t>8,934,676.00</w:t>
            </w:r>
          </w:p>
        </w:tc>
        <w:tc>
          <w:tcPr>
            <w:tcW w:w="1616" w:type="dxa"/>
            <w:vAlign w:val="center"/>
          </w:tcPr>
          <w:p w:rsidR="00096EEF" w:rsidRDefault="00BF57BA">
            <w:pPr>
              <w:jc w:val="right"/>
            </w:pPr>
            <w:r>
              <w:rPr>
                <w:rFonts w:eastAsiaTheme="minorEastAsia"/>
                <w:kern w:val="0"/>
                <w:szCs w:val="21"/>
              </w:rPr>
              <w:t>2.73</w:t>
            </w:r>
          </w:p>
        </w:tc>
      </w:tr>
      <w:tr w:rsidR="00096EEF">
        <w:tc>
          <w:tcPr>
            <w:tcW w:w="817" w:type="dxa"/>
            <w:vAlign w:val="center"/>
          </w:tcPr>
          <w:p w:rsidR="00096EEF" w:rsidRDefault="00BF57BA">
            <w:pPr>
              <w:jc w:val="center"/>
            </w:pPr>
            <w:r>
              <w:rPr>
                <w:rFonts w:eastAsiaTheme="minorEastAsia"/>
                <w:kern w:val="0"/>
                <w:szCs w:val="21"/>
              </w:rPr>
              <w:t>10</w:t>
            </w:r>
          </w:p>
        </w:tc>
        <w:tc>
          <w:tcPr>
            <w:tcW w:w="1276" w:type="dxa"/>
            <w:vAlign w:val="center"/>
          </w:tcPr>
          <w:p w:rsidR="00096EEF" w:rsidRDefault="00BF57BA">
            <w:pPr>
              <w:jc w:val="center"/>
            </w:pPr>
            <w:r>
              <w:rPr>
                <w:rFonts w:eastAsiaTheme="minorEastAsia"/>
                <w:kern w:val="0"/>
                <w:szCs w:val="21"/>
              </w:rPr>
              <w:t>002063</w:t>
            </w:r>
          </w:p>
        </w:tc>
        <w:tc>
          <w:tcPr>
            <w:tcW w:w="1701" w:type="dxa"/>
            <w:vAlign w:val="center"/>
          </w:tcPr>
          <w:p w:rsidR="00096EEF" w:rsidRDefault="00BF57BA">
            <w:pPr>
              <w:jc w:val="center"/>
            </w:pPr>
            <w:r>
              <w:rPr>
                <w:rFonts w:eastAsiaTheme="minorEastAsia"/>
                <w:kern w:val="0"/>
                <w:szCs w:val="21"/>
              </w:rPr>
              <w:t>远光软件</w:t>
            </w:r>
          </w:p>
        </w:tc>
        <w:tc>
          <w:tcPr>
            <w:tcW w:w="1276" w:type="dxa"/>
            <w:vAlign w:val="center"/>
          </w:tcPr>
          <w:p w:rsidR="00096EEF" w:rsidRDefault="00BF57BA">
            <w:pPr>
              <w:jc w:val="right"/>
            </w:pPr>
            <w:r>
              <w:rPr>
                <w:rFonts w:eastAsiaTheme="minorEastAsia"/>
                <w:kern w:val="0"/>
                <w:szCs w:val="21"/>
              </w:rPr>
              <w:t>940,660.00</w:t>
            </w:r>
          </w:p>
        </w:tc>
        <w:tc>
          <w:tcPr>
            <w:tcW w:w="1842" w:type="dxa"/>
            <w:vAlign w:val="center"/>
          </w:tcPr>
          <w:p w:rsidR="00096EEF" w:rsidRDefault="00BF57BA">
            <w:pPr>
              <w:jc w:val="right"/>
            </w:pPr>
            <w:r>
              <w:rPr>
                <w:rFonts w:eastAsiaTheme="minorEastAsia"/>
                <w:kern w:val="0"/>
                <w:szCs w:val="21"/>
              </w:rPr>
              <w:t>8,795,171.00</w:t>
            </w:r>
          </w:p>
        </w:tc>
        <w:tc>
          <w:tcPr>
            <w:tcW w:w="1616" w:type="dxa"/>
            <w:vAlign w:val="center"/>
          </w:tcPr>
          <w:p w:rsidR="00096EEF" w:rsidRDefault="00BF57BA">
            <w:pPr>
              <w:jc w:val="right"/>
            </w:pPr>
            <w:r>
              <w:rPr>
                <w:rFonts w:eastAsiaTheme="minorEastAsia"/>
                <w:kern w:val="0"/>
                <w:szCs w:val="21"/>
              </w:rPr>
              <w:t>2.69</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lastRenderedPageBreak/>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65,996.52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13,015.26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79,011.78</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摩根整合驱动混合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摩根整合驱动混合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555,494,376.48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112,435.38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4,867,456.13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235,951.27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9,845,157.02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191,331.19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550,516,675.59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157,055.46</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096EEF" w:rsidRDefault="00BF57BA">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中国证监会批准本基金设立的文件；</w:t>
      </w:r>
    </w:p>
    <w:p w:rsidR="00096EEF" w:rsidRDefault="00BF57BA">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《摩根整合驱动灵活配置混合型证券投资基金基金合同》；</w:t>
      </w:r>
    </w:p>
    <w:p w:rsidR="00096EEF" w:rsidRDefault="00BF57BA">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《摩根整合驱动灵活配置混合型证券投资基金托管协议》；</w:t>
      </w:r>
    </w:p>
    <w:p w:rsidR="00096EEF" w:rsidRDefault="00BF57BA">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《摩根基金管理（中国）有限公司开放式基金业务规则》；</w:t>
      </w:r>
    </w:p>
    <w:p w:rsidR="00096EEF" w:rsidRDefault="00BF57BA">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二〇二三年四月二十一日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E92891">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E92891">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E92891">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摩根整合驱动灵活配置混合型证券投资基金</w:t>
    </w:r>
    <w:r>
      <w:t>2023</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96EEF"/>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A"/>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2891"/>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5BCC89-B823-4174-ACCD-E62734C3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23</TotalTime>
  <Pages>13</Pages>
  <Words>1077</Words>
  <Characters>6145</Characters>
  <Application>Microsoft Office Word</Application>
  <DocSecurity>0</DocSecurity>
  <Lines>51</Lines>
  <Paragraphs>14</Paragraphs>
  <ScaleCrop>false</ScaleCrop>
  <Company>TRT. Ltd. Co.</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Wang,Xiaodi@FA</cp:lastModifiedBy>
  <cp:revision>220</cp:revision>
  <cp:lastPrinted>2007-07-19T00:46:00Z</cp:lastPrinted>
  <dcterms:created xsi:type="dcterms:W3CDTF">2013-06-21T06:56:00Z</dcterms:created>
  <dcterms:modified xsi:type="dcterms:W3CDTF">2023-04-20T06:26:00Z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