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44C15BAA"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8E65E7A"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8C3405E"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05892C05"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7A6A756F"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1281750"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上投摩根整合驱动灵活配置混合型证券投资基金</w:t>
      </w:r>
    </w:p>
    <w:p w14:paraId="5A1338CB"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2021年第2季度报告</w:t>
      </w:r>
    </w:p>
    <w:p w14:paraId="2E76B0B1"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2021年6月30日</w:t>
      </w:r>
    </w:p>
    <w:p w14:paraId="1A655430" w14:textId="77777777" w:rsidR="00D06738" w:rsidRDefault="00D06738" w:rsidRPr="00FF6B9A">
      <w:pPr>
        <w:spacing w:line="360" w:lineRule="auto"/>
        <w:jc w:val="center"/>
        <w:rPr>
          <w:rFonts w:eastAsiaTheme="minorEastAsia"/>
          <w:b/>
          <w:bCs/>
          <w:color w:themeColor="text1" w:val="000000"/>
          <w:sz w:val="24"/>
          <w:szCs w:val="24"/>
        </w:rPr>
      </w:pPr>
    </w:p>
    <w:p w14:paraId="3C5B7FC4" w14:textId="77777777" w:rsidR="00D06738" w:rsidRDefault="00D06738" w:rsidRPr="00FF6B9A">
      <w:pPr>
        <w:spacing w:line="360" w:lineRule="auto"/>
        <w:jc w:val="center"/>
        <w:rPr>
          <w:rFonts w:eastAsiaTheme="minorEastAsia"/>
          <w:b/>
          <w:bCs/>
          <w:color w:themeColor="text1" w:val="000000"/>
          <w:sz w:val="24"/>
          <w:szCs w:val="24"/>
        </w:rPr>
      </w:pPr>
    </w:p>
    <w:p w14:paraId="1D41633D" w14:textId="77777777" w:rsidR="00D06738" w:rsidRDefault="00D06738" w:rsidRPr="00FF6B9A">
      <w:pPr>
        <w:spacing w:line="360" w:lineRule="auto"/>
        <w:jc w:val="center"/>
        <w:rPr>
          <w:rFonts w:eastAsiaTheme="minorEastAsia"/>
          <w:b/>
          <w:bCs/>
          <w:color w:themeColor="text1" w:val="000000"/>
          <w:sz w:val="24"/>
          <w:szCs w:val="24"/>
        </w:rPr>
      </w:pPr>
    </w:p>
    <w:p w14:paraId="7088D740" w14:textId="77777777" w:rsidR="00D06738" w:rsidRDefault="00D06738" w:rsidRPr="00FF6B9A">
      <w:pPr>
        <w:spacing w:line="360" w:lineRule="auto"/>
        <w:jc w:val="center"/>
        <w:rPr>
          <w:rFonts w:eastAsiaTheme="minorEastAsia"/>
          <w:b/>
          <w:bCs/>
          <w:color w:themeColor="text1" w:val="000000"/>
          <w:sz w:val="24"/>
          <w:szCs w:val="24"/>
        </w:rPr>
      </w:pPr>
    </w:p>
    <w:p w14:paraId="4CB6A604" w14:textId="77777777" w:rsidR="00D06738" w:rsidRDefault="00D06738" w:rsidRPr="00FF6B9A">
      <w:pPr>
        <w:spacing w:line="360" w:lineRule="auto"/>
        <w:jc w:val="center"/>
        <w:rPr>
          <w:rFonts w:eastAsiaTheme="minorEastAsia"/>
          <w:b/>
          <w:bCs/>
          <w:color w:themeColor="text1" w:val="000000"/>
          <w:sz w:val="24"/>
          <w:szCs w:val="24"/>
        </w:rPr>
      </w:pPr>
    </w:p>
    <w:p w14:paraId="160BB35C" w14:textId="77777777" w:rsidR="00D06738" w:rsidRDefault="00D06738" w:rsidRPr="00FF6B9A">
      <w:pPr>
        <w:spacing w:line="360" w:lineRule="auto"/>
        <w:jc w:val="center"/>
        <w:rPr>
          <w:rFonts w:eastAsiaTheme="minorEastAsia"/>
          <w:b/>
          <w:bCs/>
          <w:color w:themeColor="text1" w:val="000000"/>
          <w:sz w:val="24"/>
          <w:szCs w:val="24"/>
        </w:rPr>
      </w:pPr>
    </w:p>
    <w:p w14:paraId="59EC83F9" w14:textId="77777777" w:rsidR="00D06738" w:rsidRDefault="00D06738" w:rsidRPr="00FF6B9A">
      <w:pPr>
        <w:spacing w:line="360" w:lineRule="auto"/>
        <w:jc w:val="center"/>
        <w:rPr>
          <w:rFonts w:eastAsiaTheme="minorEastAsia"/>
          <w:b/>
          <w:bCs/>
          <w:color w:themeColor="text1" w:val="000000"/>
          <w:sz w:val="24"/>
          <w:szCs w:val="24"/>
        </w:rPr>
      </w:pPr>
    </w:p>
    <w:p w14:paraId="618FC018" w14:textId="77777777" w:rsidR="00D06738" w:rsidRDefault="00D06738" w:rsidRPr="00FF6B9A">
      <w:pPr>
        <w:spacing w:line="360" w:lineRule="auto"/>
        <w:jc w:val="center"/>
        <w:rPr>
          <w:rFonts w:eastAsiaTheme="minorEastAsia"/>
          <w:b/>
          <w:bCs/>
          <w:color w:themeColor="text1" w:val="000000"/>
          <w:sz w:val="24"/>
          <w:szCs w:val="24"/>
        </w:rPr>
      </w:pPr>
    </w:p>
    <w:p w14:paraId="62C95459" w14:textId="77777777" w:rsidR="00D06738" w:rsidRDefault="00D06738" w:rsidRPr="00FF6B9A">
      <w:pPr>
        <w:spacing w:line="360" w:lineRule="auto"/>
        <w:jc w:val="center"/>
        <w:rPr>
          <w:rFonts w:eastAsiaTheme="minorEastAsia"/>
          <w:b/>
          <w:bCs/>
          <w:color w:themeColor="text1" w:val="000000"/>
          <w:sz w:val="24"/>
          <w:szCs w:val="24"/>
        </w:rPr>
      </w:pPr>
    </w:p>
    <w:p w14:paraId="60B5CF4B" w14:textId="77777777" w:rsidR="00D06738" w:rsidRDefault="00D06738" w:rsidRPr="00FF6B9A">
      <w:pPr>
        <w:spacing w:line="360" w:lineRule="auto"/>
        <w:jc w:val="center"/>
        <w:rPr>
          <w:rFonts w:eastAsiaTheme="minorEastAsia"/>
          <w:b/>
          <w:bCs/>
          <w:color w:themeColor="text1" w:val="000000"/>
          <w:sz w:val="24"/>
          <w:szCs w:val="24"/>
        </w:rPr>
      </w:pPr>
    </w:p>
    <w:p w14:paraId="39DE5ED7" w14:textId="77777777" w:rsidR="00D06738" w:rsidRDefault="00D06738" w:rsidRPr="00FF6B9A">
      <w:pPr>
        <w:spacing w:line="360" w:lineRule="auto"/>
        <w:jc w:val="center"/>
        <w:rPr>
          <w:rFonts w:eastAsiaTheme="minorEastAsia"/>
          <w:b/>
          <w:bCs/>
          <w:color w:themeColor="text1" w:val="000000"/>
          <w:sz w:val="24"/>
          <w:szCs w:val="24"/>
        </w:rPr>
      </w:pPr>
    </w:p>
    <w:p w14:paraId="22E93BD8" w14:textId="77777777" w:rsidR="00D06738" w:rsidRDefault="00D06738" w:rsidRPr="00FF6B9A">
      <w:pPr>
        <w:spacing w:line="360" w:lineRule="auto"/>
        <w:jc w:val="center"/>
        <w:rPr>
          <w:rFonts w:eastAsiaTheme="minorEastAsia"/>
          <w:b/>
          <w:bCs/>
          <w:color w:themeColor="text1" w:val="000000"/>
          <w:sz w:val="24"/>
          <w:szCs w:val="24"/>
        </w:rPr>
      </w:pPr>
    </w:p>
    <w:p w14:paraId="68A989DC" w14:textId="77777777" w:rsidR="00D06738" w:rsidRDefault="00D06738" w:rsidRPr="00FF6B9A">
      <w:pPr>
        <w:spacing w:line="360" w:lineRule="auto"/>
        <w:jc w:val="center"/>
        <w:rPr>
          <w:rFonts w:eastAsiaTheme="minorEastAsia"/>
          <w:b/>
          <w:bCs/>
          <w:color w:themeColor="text1" w:val="000000"/>
          <w:sz w:val="24"/>
          <w:szCs w:val="24"/>
        </w:rPr>
      </w:pPr>
    </w:p>
    <w:p w14:paraId="4B1AA632" w14:textId="77777777" w:rsidR="00D06738" w:rsidRDefault="00D06738" w:rsidRPr="00FF6B9A">
      <w:pPr>
        <w:spacing w:line="360" w:lineRule="auto"/>
        <w:rPr>
          <w:rFonts w:eastAsiaTheme="minorEastAsia"/>
          <w:b/>
          <w:bCs/>
          <w:color w:themeColor="text1" w:val="000000"/>
          <w:sz w:val="24"/>
          <w:szCs w:val="24"/>
        </w:rPr>
      </w:pPr>
    </w:p>
    <w:p w14:paraId="5866ADDF" w14:textId="77777777" w:rsidR="00D06738" w:rsidRDefault="00454D20" w:rsidRPr="00FF6B9A">
      <w:pPr>
        <w:spacing w:line="360" w:lineRule="auto"/>
        <w:ind w:firstLine="2168" w:firstLineChars="900"/>
        <w:rPr>
          <w:rFonts w:eastAsiaTheme="minorEastAsia"/>
          <w:b/>
          <w:color w:themeColor="text1" w:val="000000"/>
          <w:sz w:val="24"/>
          <w:szCs w:val="24"/>
        </w:rPr>
      </w:pPr>
      <w:r w:rsidRPr="00FF6B9A">
        <w:rPr>
          <w:rFonts w:eastAsiaTheme="minorEastAsia"/>
          <w:b/>
          <w:color w:themeColor="text1" w:val="000000"/>
          <w:sz w:val="24"/>
          <w:szCs w:val="24"/>
        </w:rPr>
        <w:t>基金管理人：</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上投摩根基金管理有限公司</w:t>
      </w:r>
    </w:p>
    <w:p w14:paraId="76291874" w14:textId="77777777" w:rsidR="00D06738" w:rsidRDefault="00454D20" w:rsidRPr="00FF6B9A">
      <w:pPr>
        <w:spacing w:line="360" w:lineRule="auto"/>
        <w:ind w:firstLine="2168" w:firstLineChars="900"/>
        <w:rPr>
          <w:rFonts w:eastAsiaTheme="minorEastAsia"/>
          <w:b/>
          <w:color w:themeColor="text1" w:val="000000"/>
          <w:sz w:val="24"/>
          <w:szCs w:val="24"/>
        </w:rPr>
      </w:pPr>
      <w:r w:rsidRPr="00FF6B9A">
        <w:rPr>
          <w:rFonts w:eastAsiaTheme="minorEastAsia"/>
          <w:b/>
          <w:color w:themeColor="text1" w:val="000000"/>
          <w:sz w:val="24"/>
          <w:szCs w:val="24"/>
        </w:rPr>
        <w:t>基金托管人：</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中国银行股份有限公司</w:t>
      </w:r>
    </w:p>
    <w:p w14:paraId="219C0F2E" w14:textId="77777777" w:rsidR="00D06738" w:rsidRDefault="00454D20" w:rsidRPr="00FF6B9A">
      <w:pPr>
        <w:spacing w:line="360" w:lineRule="auto"/>
        <w:ind w:firstLine="2168" w:firstLineChars="900"/>
        <w:rPr>
          <w:rFonts w:eastAsiaTheme="minorEastAsia"/>
          <w:b/>
          <w:color w:themeColor="text1" w:val="000000"/>
          <w:sz w:val="24"/>
          <w:szCs w:val="24"/>
        </w:rPr>
        <w:sectPr w:rsidR="00D06738" w:rsidRPr="00FF6B9A">
          <w:headerReference r:id="rId8" w:type="default"/>
          <w:footerReference r:id="rId9" w:type="default"/>
          <w:pgSz w:h="15840" w:w="11926"/>
          <w:pgMar w:bottom="851" w:footer="992" w:gutter="0" w:header="851" w:left="1418" w:right="1418" w:top="1418"/>
          <w:cols w:space="720"/>
        </w:sectPr>
      </w:pPr>
      <w:r w:rsidRPr="00FF6B9A">
        <w:rPr>
          <w:rFonts w:eastAsiaTheme="minorEastAsia"/>
          <w:b/>
          <w:color w:themeColor="text1" w:val="000000"/>
          <w:sz w:val="24"/>
          <w:szCs w:val="24"/>
        </w:rPr>
        <w:t>报告送出日期：</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二〇二一年七月二十一日</w:t>
      </w:r>
    </w:p>
    <w:p w14:paraId="7AFF270F" w14:textId="77777777" w:rsidR="00D06738" w:rsidRDefault="00454D20" w:rsidRPr="00FF6B9A">
      <w:pPr>
        <w:pStyle w:val="1"/>
        <w:spacing w:after="312" w:afterLines="100" w:before="312" w:beforeLines="100" w:line="360" w:lineRule="auto"/>
        <w:jc w:val="center"/>
        <w:rPr>
          <w:rFonts w:eastAsiaTheme="minorEastAsia"/>
          <w:b w:val="0"/>
          <w:bCs w:val="0"/>
          <w:color w:themeColor="text1" w:val="000000"/>
          <w:kern w:val="0"/>
          <w:sz w:val="24"/>
          <w:szCs w:val="24"/>
        </w:rPr>
      </w:pPr>
      <w:r w:rsidRPr="00FF6B9A">
        <w:rPr>
          <w:rFonts w:eastAsiaTheme="minorEastAsia"/>
          <w:color w:themeColor="text1" w:val="000000"/>
          <w:kern w:val="0"/>
          <w:sz w:val="24"/>
          <w:szCs w:val="24"/>
        </w:rPr>
        <w:lastRenderedPageBreak/>
        <w:t xml:space="preserve">§1  </w:t>
      </w:r>
      <w:r w:rsidRPr="00FF6B9A">
        <w:rPr>
          <w:rFonts w:eastAsiaTheme="minorEastAsia"/>
          <w:color w:themeColor="text1" w:val="000000"/>
          <w:kern w:val="0"/>
          <w:sz w:val="24"/>
          <w:szCs w:val="24"/>
        </w:rPr>
        <w:t>重要提示</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基金托管人中国银行股份有限公司根据本基金合同规定，于2021年7月20日复核了本报告中的财务指标、净值表现和投资组合报告等内容，保证复核内容不存在虚假记载、误导性陈述或者重大遗漏。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rPr>
      </w:pPr>
      <w:r>
        <w:rPr>
          <w:rFonts w:eastAsiaTheme="minorEastAsia"/>
          <w:color w:themeColor="text1" w:val="000000"/>
        </w:rPr>
        <w:t>本报告中财务资料未经审计。</w:t>
      </w:r>
    </w:p>
    <w:p w14:paraId="298A5200"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本报告期自2021年4月1日起至6月30日止。</w:t>
      </w:r>
    </w:p>
    <w:p w14:paraId="3A78A50A"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§2  </w:t>
      </w:r>
      <w:r w:rsidRPr="00FF6B9A">
        <w:rPr>
          <w:rFonts w:eastAsiaTheme="minor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rsidRPr="00FF6B9A">
        <w:tc>
          <w:tcPr>
            <w:tcW w:type="dxa" w:w="2835"/>
            <w:vAlign w:val="center"/>
          </w:tcPr>
          <w:p w14:paraId="41603EB5"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基金简称</w:t>
            </w:r>
          </w:p>
        </w:tc>
        <w:tc>
          <w:tcPr>
            <w:tcW w:type="dxa" w:w="5479"/>
            <w:gridSpan w:val="2"/>
            <w:vAlign w:val="center"/>
          </w:tcPr>
          <w:p w14:paraId="245289EF"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上投摩根整合驱动混合</w:t>
            </w:r>
          </w:p>
        </w:tc>
      </w:tr>
      <w:tr w14:paraId="6487C456" w14:textId="77777777" w:rsidR="00D06738" w:rsidRPr="00FF6B9A">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001192</w:t>
            </w:r>
          </w:p>
        </w:tc>
      </w:tr>
      <w:tr w14:paraId="2443AB88" w14:textId="77777777" w:rsidR="00D06738" w:rsidRPr="00FF6B9A">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gramStart"/>
            <w:r w:rsidRPr="00FF6B9A">
              <w:rPr>
                <w:rFonts w:eastAsiaTheme="minorEastAsia"/>
                <w:color w:themeColor="text1" w:val="000000"/>
                <w:kern w:val="0"/>
              </w:rPr>
              <w:t/>
            </w:r>
            <w:proofErr w:type="spellEnd"/>
            <w:r w:rsidRPr="00FF6B9A">
              <w:rPr>
                <w:rFonts w:eastAsiaTheme="minorEastAsia"/>
                <w:color w:themeColor="text1" w:val="000000"/>
                <w:kern w:val="0"/>
              </w:rPr>
              <w:t/>
            </w:r>
            <w:proofErr w:type="spellStart"/>
            <w:proofErr w:type="gramEnd"/>
            <w:r w:rsidRPr="00FF6B9A">
              <w:rPr>
                <w:rFonts w:eastAsiaTheme="minorEastAsia"/>
                <w:color w:themeColor="text1" w:val="000000"/>
                <w:kern w:val="0"/>
              </w:rPr>
              <w:t/>
            </w:r>
            <w:proofErr w:type="spellEnd"/>
            <w:r w:rsidRPr="00FF6B9A">
              <w:rPr>
                <w:rFonts w:eastAsiaTheme="minorEastAsia"/>
                <w:color w:themeColor="text1" w:val="000000"/>
                <w:kern w:val="0"/>
              </w:rPr>
              <w:t>001192</w:t>
            </w:r>
          </w:p>
        </w:tc>
      </w:tr>
      <w:tr w14:paraId="7AF1FD7C" w14:textId="77777777" w:rsidR="00D06738" w:rsidRPr="00FF6B9A">
        <w:tc>
          <w:tcPr>
            <w:tcW w:type="dxa" w:w="2835"/>
            <w:vAlign w:val="center"/>
          </w:tcPr>
          <w:p w14:paraId="042D4F2C"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基金运作方式</w:t>
            </w:r>
          </w:p>
        </w:tc>
        <w:tc>
          <w:tcPr>
            <w:tcW w:type="dxa" w:w="5479"/>
            <w:gridSpan w:val="2"/>
            <w:vAlign w:val="center"/>
          </w:tcPr>
          <w:p w14:paraId="594303B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契约型开放式</w:t>
            </w:r>
          </w:p>
        </w:tc>
      </w:tr>
      <w:tr w14:paraId="5E254ABC" w14:textId="77777777" w:rsidR="00D06738" w:rsidRPr="00FF6B9A">
        <w:tc>
          <w:tcPr>
            <w:tcW w:type="dxa" w:w="2835"/>
            <w:vAlign w:val="center"/>
          </w:tcPr>
          <w:p w14:paraId="309669DF"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基金合同生效日</w:t>
            </w:r>
          </w:p>
        </w:tc>
        <w:tc>
          <w:tcPr>
            <w:tcW w:type="dxa" w:w="5479"/>
            <w:gridSpan w:val="2"/>
            <w:vAlign w:val="center"/>
          </w:tcPr>
          <w:p w14:paraId="1568522D"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2015年4月23日</w:t>
            </w:r>
          </w:p>
        </w:tc>
      </w:tr>
      <w:tr w14:paraId="06DF9713" w14:textId="77777777" w:rsidR="00D06738" w:rsidRPr="00FF6B9A">
        <w:tc>
          <w:tcPr>
            <w:tcW w:type="dxa" w:w="2835"/>
            <w:vAlign w:val="center"/>
          </w:tcPr>
          <w:p w14:paraId="57B0E596"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报告期末基金份额总额</w:t>
            </w:r>
          </w:p>
        </w:tc>
        <w:tc>
          <w:tcPr>
            <w:tcW w:type="dxa" w:w="5479"/>
            <w:gridSpan w:val="2"/>
            <w:vAlign w:val="center"/>
          </w:tcPr>
          <w:p w14:paraId="38649CC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648,736,560.36</w:t>
            </w:r>
            <w:r w:rsidRPr="00FF6B9A">
              <w:rPr>
                <w:rFonts w:eastAsiaTheme="minorEastAsia"/>
                <w:color w:themeColor="text1" w:val="000000"/>
                <w:kern w:val="0"/>
              </w:rPr>
              <w:t>份</w:t>
            </w:r>
          </w:p>
        </w:tc>
      </w:tr>
      <w:tr w14:paraId="03D1AE98" w14:textId="77777777" w:rsidR="00D06738" w:rsidRPr="00FF6B9A">
        <w:tc>
          <w:tcPr>
            <w:tcW w:type="dxa" w:w="2835"/>
            <w:vAlign w:val="center"/>
          </w:tcPr>
          <w:p w14:paraId="4AB3756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投资目标</w:t>
            </w:r>
          </w:p>
        </w:tc>
        <w:tc>
          <w:tcPr>
            <w:tcW w:type="dxa" w:w="5479"/>
            <w:gridSpan w:val="2"/>
            <w:vAlign w:val="center"/>
          </w:tcPr>
          <w:p w14:paraId="61AB4DB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通过深入细致的基本面研究，把握企业整合发展带来的投资机会，在严格的风险控制前提下，力争实现基金资产的长期增值。</w:t>
            </w:r>
          </w:p>
        </w:tc>
      </w:tr>
      <w:tr w14:paraId="0CFEC550" w14:textId="77777777" w:rsidR="00D06738" w:rsidRPr="00FF6B9A">
        <w:tc>
          <w:tcPr>
            <w:tcW w:type="dxa" w:w="2835"/>
            <w:vAlign w:val="center"/>
          </w:tcPr>
          <w:p w14:paraId="1E239E6A"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投资策略</w:t>
            </w:r>
          </w:p>
        </w:tc>
        <w:tc>
          <w:tcPr>
            <w:tcW w:type="dxa" w:w="5479"/>
            <w:gridSpan w:val="2"/>
            <w:vAlign w:val="center"/>
          </w:tcPr>
          <w:p>
            <w:pPr>
              <w:adjustRightInd w:val="0"/>
              <w:spacing w:before="29" w:line="360" w:lineRule="auto"/>
              <w:ind w:left="17"/>
              <w:rPr>
                <w:rFonts w:eastAsiaTheme="minorEastAsia"/>
                <w:color w:themeColor="text1" w:val="000000"/>
              </w:rPr>
            </w:pPr>
            <w:r>
              <w:rPr>
                <w:rFonts w:eastAsiaTheme="minorEastAsia"/>
                <w:color w:themeColor="text1" w:val="000000"/>
                <w:kern w:val="0"/>
              </w:rPr>
              <w:t>本基金通过自上而下和自下而上相结合、定性分析和定量分析互相补充的方法，在股票、债券和现金等资产类别之间进行相对灵活的配置。</w:t>
            </w:r>
          </w:p>
          <w:p w14:paraId="57810DE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tc>
      </w:tr>
      <w:tr w14:paraId="43AD7C9F" w14:textId="77777777" w:rsidR="00D06738" w:rsidRPr="00FF6B9A">
        <w:tc>
          <w:tcPr>
            <w:tcW w:type="dxa" w:w="2835"/>
            <w:vAlign w:val="center"/>
          </w:tcPr>
          <w:p w14:paraId="24E44D9B"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业绩比较基准</w:t>
            </w:r>
          </w:p>
        </w:tc>
        <w:tc>
          <w:tcPr>
            <w:tcW w:type="dxa" w:w="5479"/>
            <w:gridSpan w:val="2"/>
            <w:vAlign w:val="center"/>
          </w:tcPr>
          <w:p w14:paraId="6581E7FB"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中证800指数收益率*60%+中债总指数收益率*40%</w:t>
            </w:r>
          </w:p>
        </w:tc>
      </w:tr>
      <w:tr w14:paraId="42EA0DB3" w14:textId="77777777" w:rsidR="00D06738" w:rsidRPr="00FF6B9A">
        <w:tc>
          <w:tcPr>
            <w:tcW w:type="dxa" w:w="2835"/>
            <w:vAlign w:val="center"/>
          </w:tcPr>
          <w:p w14:paraId="7192C3F0"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风险收益特征</w:t>
            </w:r>
          </w:p>
        </w:tc>
        <w:tc>
          <w:tcPr>
            <w:tcW w:type="dxa" w:w="5479"/>
            <w:gridSpan w:val="2"/>
            <w:vAlign w:val="center"/>
          </w:tcPr>
          <w:p>
            <w:pPr>
              <w:adjustRightInd w:val="0"/>
              <w:spacing w:before="29" w:line="360" w:lineRule="auto"/>
              <w:ind w:left="17"/>
              <w:rPr>
                <w:rFonts w:eastAsiaTheme="minorEastAsia"/>
                <w:color w:themeColor="text1" w:val="000000"/>
              </w:rPr>
            </w:pPr>
            <w:r>
              <w:rPr>
                <w:rFonts w:eastAsia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rsidRPr="00FF6B9A">
        <w:tc>
          <w:tcPr>
            <w:tcW w:type="dxa" w:w="2835"/>
            <w:vAlign w:val="center"/>
          </w:tcPr>
          <w:p w14:paraId="281C6797"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基金管理人</w:t>
            </w:r>
          </w:p>
        </w:tc>
        <w:tc>
          <w:tcPr>
            <w:tcW w:type="dxa" w:w="5479"/>
            <w:gridSpan w:val="2"/>
            <w:vAlign w:val="center"/>
          </w:tcPr>
          <w:p w14:paraId="64BEE458"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上投摩根基金管理有限公司</w:t>
            </w:r>
          </w:p>
        </w:tc>
      </w:tr>
      <w:tr w14:paraId="76894E86" w14:textId="77777777" w:rsidR="00D06738" w:rsidRPr="00FF6B9A">
        <w:tc>
          <w:tcPr>
            <w:tcW w:type="dxa" w:w="2835"/>
            <w:vAlign w:val="center"/>
          </w:tcPr>
          <w:p w14:paraId="7825DD9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基金托管人</w:t>
            </w:r>
          </w:p>
        </w:tc>
        <w:tc>
          <w:tcPr>
            <w:tcW w:type="dxa" w:w="5479"/>
            <w:gridSpan w:val="2"/>
            <w:vAlign w:val="center"/>
          </w:tcPr>
          <w:p w14:paraId="5FB3246D"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中国银行股份有限公司</w:t>
            </w:r>
          </w:p>
        </w:tc>
      </w:tr>
    </w:tbl>
    <w:p w14:paraId="0FD2B1FF"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§3  </w:t>
      </w:r>
      <w:r w:rsidRPr="00FF6B9A">
        <w:rPr>
          <w:rFonts w:eastAsiaTheme="minorEastAsia"/>
          <w:color w:themeColor="text1" w:val="000000"/>
          <w:kern w:val="0"/>
          <w:sz w:val="24"/>
          <w:szCs w:val="24"/>
        </w:rPr>
        <w:t>主要财务指标和基金净值表现</w:t>
      </w:r>
    </w:p>
    <w:p w14:paraId="210337B7"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3.1 </w:t>
      </w:r>
      <w:r w:rsidRPr="00FF6B9A">
        <w:rPr>
          <w:rFonts w:eastAsiaTheme="minorEastAsia"/>
          <w:b/>
          <w:bCs/>
          <w:color w:themeColor="text1" w:val="000000"/>
          <w:kern w:val="0"/>
          <w:sz w:val="24"/>
          <w:szCs w:val="24"/>
        </w:rPr>
        <w:t>主要财务指标</w:t>
      </w:r>
    </w:p>
    <w:p w14:paraId="137D242D"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rsidRPr="00FF6B9A">
        <w:tc>
          <w:tcPr>
            <w:tcW w:type="dxa" w:w="3402"/>
            <w:vAlign w:val="center"/>
          </w:tcPr>
          <w:p w14:paraId="42E18AC5" w14:textId="77777777" w:rsidR="00D06738" w:rsidRDefault="00454D20" w:rsidRPr="00FF6B9A">
            <w:pPr>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lastRenderedPageBreak/>
              <w:t>主要财务指标</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4962"/>
            <w:hMerge w:val="restart"/>
            <w:vAlign w:val="center"/>
          </w:tcPr>
          <w:p w14:paraId="619578C9"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报告期</w:t>
            </w:r>
          </w:p>
          <w:p w14:paraId="3E47B353"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w:t>
            </w:r>
            <w:proofErr w:type="spellStart"/>
            <w:r w:rsidRPr="00FF6B9A">
              <w:rPr>
                <w:rFonts w:eastAsiaTheme="minorEastAsia"/>
                <w:color w:themeColor="text1" w:val="000000"/>
              </w:rPr>
              <w:t/>
            </w:r>
            <w:proofErr w:type="spellEnd"/>
            <w:r w:rsidRPr="00FF6B9A">
              <w:rPr>
                <w:rFonts w:eastAsiaTheme="minorEastAsia"/>
                <w:color w:themeColor="text1" w:val="000000"/>
              </w:rPr>
              <w:t>2021年4月1日-</w:t>
            </w:r>
            <w:proofErr w:type="spellStart"/>
            <w:r w:rsidRPr="00FF6B9A">
              <w:rPr>
                <w:rFonts w:eastAsiaTheme="minorEastAsia"/>
                <w:color w:themeColor="text1" w:val="000000"/>
              </w:rPr>
              <w:t/>
            </w:r>
            <w:proofErr w:type="spellEnd"/>
            <w:r w:rsidRPr="00FF6B9A">
              <w:rPr>
                <w:rFonts w:eastAsiaTheme="minorEastAsia"/>
                <w:color w:themeColor="text1" w:val="000000"/>
              </w:rPr>
              <w:t>2021年6月30日)</w:t>
            </w:r>
          </w:p>
        </w:tc>
        <w:tc>
          <w:tcPr>
            <w:tcW w:type="dxa" w:w="2410"/>
            <w:hMerge/>
            <w:vAlign w:val="center"/>
          </w:tcPr>
          <w:p w14:paraId="5FB75E1A"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上期金额</w:t>
            </w: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
            </w:r>
          </w:p>
        </w:tc>
      </w:tr>
      <w:tr w14:paraId="221834C8" w14:textId="77777777" w:rsidR="00D06738" w:rsidRPr="00FF6B9A">
        <w:tc>
          <w:tcPr>
            <w:tcW w:type="dxa" w:w="3402"/>
            <w:vAlign w:val="center"/>
          </w:tcPr>
          <w:p w14:paraId="19330D2C"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1.</w:t>
            </w:r>
            <w:r w:rsidRPr="00FF6B9A">
              <w:rPr>
                <w:rFonts w:eastAsiaTheme="minorEastAsia"/>
                <w:color w:themeColor="text1" w:val="000000"/>
                <w:kern w:val="0"/>
              </w:rPr>
              <w:t>本期已实现收益</w:t>
            </w:r>
          </w:p>
        </w:tc>
        <w:tc>
          <w:tcPr>
            <w:tcW w:type="dxa" w:w="4962"/>
            <w:hMerge w:val="restart"/>
            <w:vAlign w:val="center"/>
          </w:tcPr>
          <w:p w14:paraId="568D140B"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47,372,898.25</w:t>
            </w:r>
          </w:p>
        </w:tc>
        <w:tc>
          <w:tcPr>
            <w:tcW w:type="dxa" w:w="2410"/>
            <w:hMerge/>
            <w:vAlign w:val="center"/>
          </w:tcPr>
          <w:p w14:paraId="7D46D9A3"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10AEC81A" w14:textId="77777777" w:rsidR="00D06738" w:rsidRPr="00FF6B9A">
        <w:tc>
          <w:tcPr>
            <w:tcW w:type="dxa" w:w="3402"/>
            <w:vAlign w:val="center"/>
          </w:tcPr>
          <w:p w14:paraId="15ADAC28"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2.</w:t>
            </w:r>
            <w:r w:rsidRPr="00FF6B9A">
              <w:rPr>
                <w:rFonts w:eastAsiaTheme="minorEastAsia"/>
                <w:color w:themeColor="text1" w:val="000000"/>
                <w:kern w:val="0"/>
              </w:rPr>
              <w:t>本期利润</w:t>
            </w:r>
          </w:p>
        </w:tc>
        <w:tc>
          <w:tcPr>
            <w:tcW w:type="dxa" w:w="4962"/>
            <w:hMerge w:val="restart"/>
            <w:vAlign w:val="center"/>
          </w:tcPr>
          <w:p w14:paraId="42B249A8"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61,180,515.78</w:t>
            </w:r>
          </w:p>
        </w:tc>
        <w:tc>
          <w:tcPr>
            <w:tcW w:type="dxa" w:w="2410"/>
            <w:hMerge/>
            <w:vAlign w:val="center"/>
          </w:tcPr>
          <w:p w14:paraId="4CC084AD"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5C8E1F6F" w14:textId="77777777" w:rsidR="00D06738" w:rsidRPr="00FF6B9A">
        <w:tc>
          <w:tcPr>
            <w:tcW w:type="dxa" w:w="3402"/>
            <w:vAlign w:val="center"/>
          </w:tcPr>
          <w:p w14:paraId="1C3F4C76"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3.</w:t>
            </w:r>
            <w:r w:rsidRPr="00FF6B9A">
              <w:rPr>
                <w:rFonts w:eastAsiaTheme="minorEastAsia"/>
                <w:color w:themeColor="text1" w:val="000000"/>
                <w:kern w:val="0"/>
              </w:rPr>
              <w:t>加权平均基金份额本期利润</w:t>
            </w:r>
          </w:p>
        </w:tc>
        <w:tc>
          <w:tcPr>
            <w:tcW w:type="dxa" w:w="4962"/>
            <w:hMerge w:val="restart"/>
            <w:vAlign w:val="center"/>
          </w:tcPr>
          <w:p w14:paraId="43651B7D"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0.0918</w:t>
            </w:r>
          </w:p>
        </w:tc>
        <w:tc>
          <w:tcPr>
            <w:tcW w:type="dxa" w:w="2410"/>
            <w:hMerge/>
            <w:vAlign w:val="center"/>
          </w:tcPr>
          <w:p w14:paraId="18DC7556"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19975AED" w14:textId="77777777" w:rsidR="00D06738" w:rsidRPr="00FF6B9A">
        <w:tc>
          <w:tcPr>
            <w:tcW w:type="dxa" w:w="3402"/>
            <w:vAlign w:val="center"/>
          </w:tcPr>
          <w:p w14:paraId="5358D232"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4.</w:t>
            </w:r>
            <w:r w:rsidRPr="00FF6B9A">
              <w:rPr>
                <w:rFonts w:eastAsiaTheme="minorEastAsia"/>
                <w:color w:themeColor="text1" w:val="000000"/>
                <w:kern w:val="0"/>
              </w:rPr>
              <w:t>期末基金资产净值</w:t>
            </w:r>
          </w:p>
        </w:tc>
        <w:tc>
          <w:tcPr>
            <w:tcW w:type="dxa" w:w="4962"/>
            <w:hMerge w:val="restart"/>
            <w:vAlign w:val="center"/>
          </w:tcPr>
          <w:p w14:paraId="11849F16"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654,602,237.09</w:t>
            </w:r>
          </w:p>
        </w:tc>
        <w:tc>
          <w:tcPr>
            <w:tcW w:type="dxa" w:w="2410"/>
            <w:hMerge/>
            <w:vAlign w:val="center"/>
          </w:tcPr>
          <w:p w14:paraId="27D7B715"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5BC36451" w14:textId="77777777" w:rsidR="00D06738" w:rsidRPr="00FF6B9A">
        <w:trPr>
          <w:trHeight w:val="158"/>
        </w:trPr>
        <w:tc>
          <w:tcPr>
            <w:tcW w:type="dxa" w:w="3402"/>
            <w:vAlign w:val="center"/>
          </w:tcPr>
          <w:p w14:paraId="5E87F5B6"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5.</w:t>
            </w:r>
            <w:r w:rsidRPr="00FF6B9A">
              <w:rPr>
                <w:rFonts w:eastAsiaTheme="minorEastAsia"/>
                <w:color w:themeColor="text1" w:val="000000"/>
                <w:kern w:val="0"/>
              </w:rPr>
              <w:t>期末基金份额净值</w:t>
            </w:r>
          </w:p>
        </w:tc>
        <w:tc>
          <w:tcPr>
            <w:tcW w:type="dxa" w:w="4962"/>
            <w:hMerge w:val="restart"/>
            <w:vAlign w:val="center"/>
          </w:tcPr>
          <w:p w14:paraId="20EA2920"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1.0090</w:t>
            </w:r>
          </w:p>
        </w:tc>
        <w:tc>
          <w:tcPr>
            <w:tcW w:type="dxa" w:w="2410"/>
            <w:hMerge/>
            <w:vAlign w:val="center"/>
          </w:tcPr>
          <w:p w14:paraId="52387A94"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bl>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560E0A0"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3.2 </w:t>
      </w:r>
      <w:r w:rsidRPr="00FF6B9A">
        <w:rPr>
          <w:rFonts w:eastAsiaTheme="minorEastAsia"/>
          <w:b/>
          <w:bCs/>
          <w:color w:themeColor="text1" w:val="000000"/>
          <w:kern w:val="0"/>
          <w:sz w:val="24"/>
          <w:szCs w:val="24"/>
        </w:rPr>
        <w:t>基金净值表现</w:t>
      </w:r>
    </w:p>
    <w:p w14:paraId="6096210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3.2.1 </w:t>
      </w:r>
      <w:r w:rsidRPr="00FF6B9A">
        <w:rPr>
          <w:rFonts w:eastAsiaTheme="minorEastAsia"/>
          <w:b/>
          <w:bCs/>
          <w:color w:themeColor="text1" w:val="000000"/>
          <w:kern w:val="0"/>
          <w:sz w:val="24"/>
          <w:szCs w:val="24"/>
        </w:rPr>
        <w:t>本报告</w:t>
      </w:r>
      <w:proofErr w:type="gramStart"/>
      <w:r w:rsidRPr="00FF6B9A">
        <w:rPr>
          <w:rFonts w:eastAsiaTheme="minorEastAsia"/>
          <w:b/>
          <w:bCs/>
          <w:color w:themeColor="text1" w:val="000000"/>
          <w:kern w:val="0"/>
          <w:sz w:val="24"/>
          <w:szCs w:val="24"/>
        </w:rPr>
        <w:t>期基金</w:t>
      </w:r>
      <w:proofErr w:type="gramEnd"/>
      <w:r w:rsidRPr="00FF6B9A">
        <w:rPr>
          <w:rFonts w:eastAsiaTheme="minor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rsidRPr="00FF6B9A">
        <w:tc>
          <w:tcPr>
            <w:tcW w:type="dxa" w:w="1395"/>
            <w:vAlign w:val="center"/>
          </w:tcPr>
          <w:p w14:paraId="7A7D1D1E"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阶段</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1092"/>
            <w:vAlign w:val="center"/>
          </w:tcPr>
          <w:p w14:paraId="2CD30E79"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净值增长率</w:t>
            </w:r>
            <w:r w:rsidRPr="00FF6B9A">
              <w:rPr>
                <w:rFonts w:ascii="宋体" w:cs="宋体" w:hAnsi="宋体" w:hint="eastAsia"/>
                <w:color w:themeColor="text1" w:val="000000"/>
                <w:kern w:val="0"/>
              </w:rPr>
              <w:t>①</w:t>
            </w:r>
          </w:p>
        </w:tc>
        <w:tc>
          <w:tcPr>
            <w:tcW w:type="dxa" w:w="1161"/>
            <w:vAlign w:val="center"/>
          </w:tcPr>
          <w:p w14:paraId="37DEF420"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净值增长率标准差</w:t>
            </w:r>
            <w:r w:rsidRPr="00FF6B9A">
              <w:rPr>
                <w:rFonts w:ascii="宋体" w:cs="宋体" w:hAnsi="宋体" w:hint="eastAsia"/>
                <w:color w:themeColor="text1" w:val="000000"/>
                <w:kern w:val="0"/>
              </w:rPr>
              <w:t>②</w:t>
            </w:r>
          </w:p>
        </w:tc>
        <w:tc>
          <w:tcPr>
            <w:tcW w:type="dxa" w:w="1181"/>
            <w:vAlign w:val="center"/>
          </w:tcPr>
          <w:p w14:paraId="7F4843FE"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业绩比较基准收益率</w:t>
            </w:r>
            <w:r w:rsidRPr="00FF6B9A">
              <w:rPr>
                <w:rFonts w:ascii="宋体" w:cs="宋体" w:hAnsi="宋体" w:hint="eastAsia"/>
                <w:color w:themeColor="text1" w:val="000000"/>
                <w:kern w:val="0"/>
              </w:rPr>
              <w:t>③</w:t>
            </w:r>
          </w:p>
        </w:tc>
        <w:tc>
          <w:tcPr>
            <w:tcW w:type="dxa" w:w="1188"/>
            <w:vAlign w:val="center"/>
          </w:tcPr>
          <w:p w14:paraId="12655559"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业绩比较基准收益率标准差</w:t>
            </w:r>
            <w:r w:rsidRPr="00FF6B9A">
              <w:rPr>
                <w:rFonts w:ascii="宋体" w:cs="宋体" w:hAnsi="宋体" w:hint="eastAsia"/>
                <w:color w:themeColor="text1" w:val="000000"/>
                <w:kern w:val="0"/>
              </w:rPr>
              <w:t>④</w:t>
            </w:r>
          </w:p>
        </w:tc>
        <w:tc>
          <w:tcPr>
            <w:tcW w:type="dxa" w:w="1199"/>
            <w:vAlign w:val="center"/>
          </w:tcPr>
          <w:p w14:paraId="5487E45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ascii="宋体" w:cs="宋体" w:hAnsi="宋体" w:hint="eastAsia"/>
                <w:color w:themeColor="text1" w:val="000000"/>
                <w:kern w:val="0"/>
              </w:rPr>
              <w:t>①</w:t>
            </w:r>
            <w:r w:rsidRPr="00FF6B9A">
              <w:rPr>
                <w:rFonts w:eastAsiaTheme="minorEastAsia"/>
                <w:color w:themeColor="text1" w:val="000000"/>
                <w:kern w:val="0"/>
              </w:rPr>
              <w:t>-</w:t>
            </w:r>
            <w:r w:rsidRPr="00FF6B9A">
              <w:rPr>
                <w:rFonts w:ascii="宋体" w:cs="宋体" w:hAnsi="宋体" w:hint="eastAsia"/>
                <w:color w:themeColor="text1" w:val="000000"/>
                <w:kern w:val="0"/>
              </w:rPr>
              <w:t>③</w:t>
            </w:r>
          </w:p>
        </w:tc>
        <w:tc>
          <w:tcPr>
            <w:tcW w:type="dxa" w:w="1204"/>
            <w:vAlign w:val="center"/>
          </w:tcPr>
          <w:p w14:paraId="7C50A3F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ascii="宋体" w:cs="宋体" w:hAnsi="宋体" w:hint="eastAsia"/>
                <w:color w:themeColor="text1" w:val="000000"/>
                <w:kern w:val="0"/>
              </w:rPr>
              <w:t>②</w:t>
            </w:r>
            <w:r w:rsidRPr="00FF6B9A">
              <w:rPr>
                <w:rFonts w:eastAsiaTheme="minorEastAsia"/>
                <w:color w:themeColor="text1" w:val="000000"/>
                <w:kern w:val="0"/>
              </w:rPr>
              <w:t>-</w:t>
            </w:r>
            <w:r w:rsidRPr="00FF6B9A">
              <w:rPr>
                <w:rFonts w:ascii="宋体" w:cs="宋体" w:hAnsi="宋体" w:hint="eastAsia"/>
                <w:color w:themeColor="text1" w:val="000000"/>
                <w:kern w:val="0"/>
              </w:rPr>
              <w:t>④</w:t>
            </w:r>
          </w:p>
        </w:tc>
      </w:tr>
      <w:tr>
        <w:tc>
          <w:tcPr>
            <w:vAlign w:val="center"/>
          </w:tcPr>
          <w:p>
            <w:pPr>
              <w:jc w:val="left"/>
            </w:pPr>
            <w:r>
              <w:rPr>
                <w:rFonts w:eastAsiaTheme="minorEastAsia"/>
                <w:color w:themeColor="text1" w:val="000000"/>
                <w:kern w:val="0"/>
              </w:rPr>
              <w:t>过去三个月</w:t>
            </w:r>
          </w:p>
        </w:tc>
        <w:tc>
          <w:tcPr>
            <w:vAlign w:val="center"/>
          </w:tcPr>
          <w:p>
            <w:pPr>
              <w:jc w:val="center"/>
            </w:pPr>
            <w:r>
              <w:rPr>
                <w:rFonts w:eastAsiaTheme="minorEastAsia"/>
                <w:color w:themeColor="text1" w:val="000000"/>
                <w:kern w:val="0"/>
              </w:rPr>
              <w:t>9.96%</w:t>
            </w:r>
          </w:p>
        </w:tc>
        <w:tc>
          <w:tcPr>
            <w:vAlign w:val="center"/>
          </w:tcPr>
          <w:p>
            <w:pPr>
              <w:jc w:val="center"/>
            </w:pPr>
            <w:r>
              <w:rPr>
                <w:rFonts w:eastAsiaTheme="minorEastAsia"/>
                <w:color w:themeColor="text1" w:val="000000"/>
                <w:kern w:val="0"/>
              </w:rPr>
              <w:t>1.29%</w:t>
            </w:r>
          </w:p>
        </w:tc>
        <w:tc>
          <w:tcPr>
            <w:vAlign w:val="center"/>
          </w:tcPr>
          <w:p>
            <w:pPr>
              <w:jc w:val="center"/>
            </w:pPr>
            <w:r>
              <w:rPr>
                <w:rFonts w:eastAsiaTheme="minorEastAsia"/>
                <w:color w:themeColor="text1" w:val="000000"/>
                <w:kern w:val="0"/>
              </w:rPr>
              <w:t>2.99%</w:t>
            </w:r>
          </w:p>
        </w:tc>
        <w:tc>
          <w:tcPr>
            <w:vAlign w:val="center"/>
          </w:tcPr>
          <w:p>
            <w:pPr>
              <w:jc w:val="center"/>
            </w:pPr>
            <w:r>
              <w:rPr>
                <w:rFonts w:eastAsiaTheme="minorEastAsia"/>
                <w:color w:themeColor="text1" w:val="000000"/>
                <w:kern w:val="0"/>
              </w:rPr>
              <w:t>0.53%</w:t>
            </w:r>
          </w:p>
        </w:tc>
        <w:tc>
          <w:tcPr>
            <w:vAlign w:val="center"/>
          </w:tcPr>
          <w:p>
            <w:pPr>
              <w:jc w:val="center"/>
            </w:pPr>
            <w:r>
              <w:rPr>
                <w:rFonts w:eastAsiaTheme="minorEastAsia"/>
                <w:color w:themeColor="text1" w:val="000000"/>
                <w:kern w:val="0"/>
              </w:rPr>
              <w:t>6.97%</w:t>
            </w:r>
          </w:p>
        </w:tc>
        <w:tc>
          <w:tcPr>
            <w:vAlign w:val="center"/>
          </w:tcPr>
          <w:p>
            <w:pPr>
              <w:jc w:val="center"/>
            </w:pPr>
            <w:r>
              <w:rPr>
                <w:rFonts w:eastAsiaTheme="minorEastAsia"/>
                <w:color w:themeColor="text1" w:val="000000"/>
                <w:kern w:val="0"/>
              </w:rPr>
              <w:t>0.76%</w:t>
            </w:r>
          </w:p>
        </w:tc>
      </w:tr>
      <w:tr>
        <w:tc>
          <w:tcPr>
            <w:vAlign w:val="center"/>
          </w:tcPr>
          <w:p>
            <w:pPr>
              <w:jc w:val="left"/>
            </w:pPr>
            <w:r>
              <w:rPr>
                <w:rFonts w:eastAsiaTheme="minorEastAsia"/>
                <w:color w:themeColor="text1" w:val="000000"/>
                <w:kern w:val="0"/>
              </w:rPr>
              <w:t>过去六个月</w:t>
            </w:r>
          </w:p>
        </w:tc>
        <w:tc>
          <w:tcPr>
            <w:vAlign w:val="center"/>
          </w:tcPr>
          <w:p>
            <w:pPr>
              <w:jc w:val="center"/>
            </w:pPr>
            <w:r>
              <w:rPr>
                <w:rFonts w:eastAsiaTheme="minorEastAsia"/>
                <w:color w:themeColor="text1" w:val="000000"/>
                <w:kern w:val="0"/>
              </w:rPr>
              <w:t>2.88%</w:t>
            </w:r>
          </w:p>
        </w:tc>
        <w:tc>
          <w:tcPr>
            <w:vAlign w:val="center"/>
          </w:tcPr>
          <w:p>
            <w:pPr>
              <w:jc w:val="center"/>
            </w:pPr>
            <w:r>
              <w:rPr>
                <w:rFonts w:eastAsiaTheme="minorEastAsia"/>
                <w:color w:themeColor="text1" w:val="000000"/>
                <w:kern w:val="0"/>
              </w:rPr>
              <w:t>1.70%</w:t>
            </w:r>
          </w:p>
        </w:tc>
        <w:tc>
          <w:tcPr>
            <w:vAlign w:val="center"/>
          </w:tcPr>
          <w:p>
            <w:pPr>
              <w:jc w:val="center"/>
            </w:pPr>
            <w:r>
              <w:rPr>
                <w:rFonts w:eastAsiaTheme="minorEastAsia"/>
                <w:color w:themeColor="text1" w:val="000000"/>
                <w:kern w:val="0"/>
              </w:rPr>
              <w:t>1.13%</w:t>
            </w:r>
          </w:p>
        </w:tc>
        <w:tc>
          <w:tcPr>
            <w:vAlign w:val="center"/>
          </w:tcPr>
          <w:p>
            <w:pPr>
              <w:jc w:val="center"/>
            </w:pPr>
            <w:r>
              <w:rPr>
                <w:rFonts w:eastAsiaTheme="minorEastAsia"/>
                <w:color w:themeColor="text1" w:val="000000"/>
                <w:kern w:val="0"/>
              </w:rPr>
              <w:t>0.73%</w:t>
            </w:r>
          </w:p>
        </w:tc>
        <w:tc>
          <w:tcPr>
            <w:vAlign w:val="center"/>
          </w:tcPr>
          <w:p>
            <w:pPr>
              <w:jc w:val="center"/>
            </w:pPr>
            <w:r>
              <w:rPr>
                <w:rFonts w:eastAsiaTheme="minorEastAsia"/>
                <w:color w:themeColor="text1" w:val="000000"/>
                <w:kern w:val="0"/>
              </w:rPr>
              <w:t>1.75%</w:t>
            </w:r>
          </w:p>
        </w:tc>
        <w:tc>
          <w:tcPr>
            <w:vAlign w:val="center"/>
          </w:tcPr>
          <w:p>
            <w:pPr>
              <w:jc w:val="center"/>
            </w:pPr>
            <w:r>
              <w:rPr>
                <w:rFonts w:eastAsiaTheme="minorEastAsia"/>
                <w:color w:themeColor="text1" w:val="000000"/>
                <w:kern w:val="0"/>
              </w:rPr>
              <w:t>0.97%</w:t>
            </w:r>
          </w:p>
        </w:tc>
      </w:tr>
      <w:tr>
        <w:tc>
          <w:tcPr>
            <w:vAlign w:val="center"/>
          </w:tcPr>
          <w:p>
            <w:pPr>
              <w:jc w:val="left"/>
            </w:pPr>
            <w:r>
              <w:rPr>
                <w:rFonts w:eastAsiaTheme="minorEastAsia"/>
                <w:color w:themeColor="text1" w:val="000000"/>
                <w:kern w:val="0"/>
              </w:rPr>
              <w:t>过去一年</w:t>
            </w:r>
          </w:p>
        </w:tc>
        <w:tc>
          <w:tcPr>
            <w:vAlign w:val="center"/>
          </w:tcPr>
          <w:p>
            <w:pPr>
              <w:jc w:val="center"/>
            </w:pPr>
            <w:r>
              <w:rPr>
                <w:rFonts w:eastAsiaTheme="minorEastAsia"/>
                <w:color w:themeColor="text1" w:val="000000"/>
                <w:kern w:val="0"/>
              </w:rPr>
              <w:t>27.24%</w:t>
            </w:r>
          </w:p>
        </w:tc>
        <w:tc>
          <w:tcPr>
            <w:vAlign w:val="center"/>
          </w:tcPr>
          <w:p>
            <w:pPr>
              <w:jc w:val="center"/>
            </w:pPr>
            <w:r>
              <w:rPr>
                <w:rFonts w:eastAsiaTheme="minorEastAsia"/>
                <w:color w:themeColor="text1" w:val="000000"/>
                <w:kern w:val="0"/>
              </w:rPr>
              <w:t>1.58%</w:t>
            </w:r>
          </w:p>
        </w:tc>
        <w:tc>
          <w:tcPr>
            <w:vAlign w:val="center"/>
          </w:tcPr>
          <w:p>
            <w:pPr>
              <w:jc w:val="center"/>
            </w:pPr>
            <w:r>
              <w:rPr>
                <w:rFonts w:eastAsiaTheme="minorEastAsia"/>
                <w:color w:themeColor="text1" w:val="000000"/>
                <w:kern w:val="0"/>
              </w:rPr>
              <w:t>13.56%</w:t>
            </w:r>
          </w:p>
        </w:tc>
        <w:tc>
          <w:tcPr>
            <w:vAlign w:val="center"/>
          </w:tcPr>
          <w:p>
            <w:pPr>
              <w:jc w:val="center"/>
            </w:pPr>
            <w:r>
              <w:rPr>
                <w:rFonts w:eastAsiaTheme="minorEastAsia"/>
                <w:color w:themeColor="text1" w:val="000000"/>
                <w:kern w:val="0"/>
              </w:rPr>
              <w:t>0.76%</w:t>
            </w:r>
          </w:p>
        </w:tc>
        <w:tc>
          <w:tcPr>
            <w:vAlign w:val="center"/>
          </w:tcPr>
          <w:p>
            <w:pPr>
              <w:jc w:val="center"/>
            </w:pPr>
            <w:r>
              <w:rPr>
                <w:rFonts w:eastAsiaTheme="minorEastAsia"/>
                <w:color w:themeColor="text1" w:val="000000"/>
                <w:kern w:val="0"/>
              </w:rPr>
              <w:t>13.68%</w:t>
            </w:r>
          </w:p>
        </w:tc>
        <w:tc>
          <w:tcPr>
            <w:vAlign w:val="center"/>
          </w:tcPr>
          <w:p>
            <w:pPr>
              <w:jc w:val="center"/>
            </w:pPr>
            <w:r>
              <w:rPr>
                <w:rFonts w:eastAsiaTheme="minorEastAsia"/>
                <w:color w:themeColor="text1" w:val="000000"/>
                <w:kern w:val="0"/>
              </w:rPr>
              <w:t>0.82%</w:t>
            </w:r>
          </w:p>
        </w:tc>
      </w:tr>
      <w:tr>
        <w:tc>
          <w:tcPr>
            <w:vAlign w:val="center"/>
          </w:tcPr>
          <w:p>
            <w:pPr>
              <w:jc w:val="left"/>
            </w:pPr>
            <w:r>
              <w:rPr>
                <w:rFonts w:eastAsiaTheme="minorEastAsia"/>
                <w:color w:themeColor="text1" w:val="000000"/>
                <w:kern w:val="0"/>
              </w:rPr>
              <w:t>过去三年</w:t>
            </w:r>
          </w:p>
        </w:tc>
        <w:tc>
          <w:tcPr>
            <w:vAlign w:val="center"/>
          </w:tcPr>
          <w:p>
            <w:pPr>
              <w:jc w:val="center"/>
            </w:pPr>
            <w:r>
              <w:rPr>
                <w:rFonts w:eastAsiaTheme="minorEastAsia"/>
                <w:color w:themeColor="text1" w:val="000000"/>
                <w:kern w:val="0"/>
              </w:rPr>
              <w:t>51.27%</w:t>
            </w:r>
          </w:p>
        </w:tc>
        <w:tc>
          <w:tcPr>
            <w:vAlign w:val="center"/>
          </w:tcPr>
          <w:p>
            <w:pPr>
              <w:jc w:val="center"/>
            </w:pPr>
            <w:r>
              <w:rPr>
                <w:rFonts w:eastAsiaTheme="minorEastAsia"/>
                <w:color w:themeColor="text1" w:val="000000"/>
                <w:kern w:val="0"/>
              </w:rPr>
              <w:t>1.50%</w:t>
            </w:r>
          </w:p>
        </w:tc>
        <w:tc>
          <w:tcPr>
            <w:vAlign w:val="center"/>
          </w:tcPr>
          <w:p>
            <w:pPr>
              <w:jc w:val="center"/>
            </w:pPr>
            <w:r>
              <w:rPr>
                <w:rFonts w:eastAsiaTheme="minorEastAsia"/>
                <w:color w:themeColor="text1" w:val="000000"/>
                <w:kern w:val="0"/>
              </w:rPr>
              <w:t>28.24%</w:t>
            </w:r>
          </w:p>
        </w:tc>
        <w:tc>
          <w:tcPr>
            <w:vAlign w:val="center"/>
          </w:tcPr>
          <w:p>
            <w:pPr>
              <w:jc w:val="center"/>
            </w:pPr>
            <w:r>
              <w:rPr>
                <w:rFonts w:eastAsiaTheme="minorEastAsia"/>
                <w:color w:themeColor="text1" w:val="000000"/>
                <w:kern w:val="0"/>
              </w:rPr>
              <w:t>0.81%</w:t>
            </w:r>
          </w:p>
        </w:tc>
        <w:tc>
          <w:tcPr>
            <w:vAlign w:val="center"/>
          </w:tcPr>
          <w:p>
            <w:pPr>
              <w:jc w:val="center"/>
            </w:pPr>
            <w:r>
              <w:rPr>
                <w:rFonts w:eastAsiaTheme="minorEastAsia"/>
                <w:color w:themeColor="text1" w:val="000000"/>
                <w:kern w:val="0"/>
              </w:rPr>
              <w:t>23.03%</w:t>
            </w:r>
          </w:p>
        </w:tc>
        <w:tc>
          <w:tcPr>
            <w:vAlign w:val="center"/>
          </w:tcPr>
          <w:p>
            <w:pPr>
              <w:jc w:val="center"/>
            </w:pPr>
            <w:r>
              <w:rPr>
                <w:rFonts w:eastAsiaTheme="minorEastAsia"/>
                <w:color w:themeColor="text1" w:val="000000"/>
                <w:kern w:val="0"/>
              </w:rPr>
              <w:t>0.69%</w:t>
            </w:r>
          </w:p>
        </w:tc>
      </w:tr>
      <w:tr>
        <w:tc>
          <w:tcPr>
            <w:vAlign w:val="center"/>
          </w:tcPr>
          <w:p>
            <w:pPr>
              <w:jc w:val="left"/>
            </w:pPr>
            <w:r>
              <w:rPr>
                <w:rFonts w:eastAsiaTheme="minorEastAsia"/>
                <w:color w:themeColor="text1" w:val="000000"/>
                <w:kern w:val="0"/>
              </w:rPr>
              <w:t>过去五年</w:t>
            </w:r>
          </w:p>
        </w:tc>
        <w:tc>
          <w:tcPr>
            <w:vAlign w:val="center"/>
          </w:tcPr>
          <w:p>
            <w:pPr>
              <w:jc w:val="center"/>
            </w:pPr>
            <w:r>
              <w:rPr>
                <w:rFonts w:eastAsiaTheme="minorEastAsia"/>
                <w:color w:themeColor="text1" w:val="000000"/>
                <w:kern w:val="0"/>
              </w:rPr>
              <w:t>47.30%</w:t>
            </w:r>
          </w:p>
        </w:tc>
        <w:tc>
          <w:tcPr>
            <w:vAlign w:val="center"/>
          </w:tcPr>
          <w:p>
            <w:pPr>
              <w:jc w:val="center"/>
            </w:pPr>
            <w:r>
              <w:rPr>
                <w:rFonts w:eastAsiaTheme="minorEastAsia"/>
                <w:color w:themeColor="text1" w:val="000000"/>
                <w:kern w:val="0"/>
              </w:rPr>
              <w:t>1.37%</w:t>
            </w:r>
          </w:p>
        </w:tc>
        <w:tc>
          <w:tcPr>
            <w:vAlign w:val="center"/>
          </w:tcPr>
          <w:p>
            <w:pPr>
              <w:jc w:val="center"/>
            </w:pPr>
            <w:r>
              <w:rPr>
                <w:rFonts w:eastAsiaTheme="minorEastAsia"/>
                <w:color w:themeColor="text1" w:val="000000"/>
                <w:kern w:val="0"/>
              </w:rPr>
              <w:t>29.97%</w:t>
            </w:r>
          </w:p>
        </w:tc>
        <w:tc>
          <w:tcPr>
            <w:vAlign w:val="center"/>
          </w:tcPr>
          <w:p>
            <w:pPr>
              <w:jc w:val="center"/>
            </w:pPr>
            <w:r>
              <w:rPr>
                <w:rFonts w:eastAsiaTheme="minorEastAsia"/>
                <w:color w:themeColor="text1" w:val="000000"/>
                <w:kern w:val="0"/>
              </w:rPr>
              <w:t>0.70%</w:t>
            </w:r>
          </w:p>
        </w:tc>
        <w:tc>
          <w:tcPr>
            <w:vAlign w:val="center"/>
          </w:tcPr>
          <w:p>
            <w:pPr>
              <w:jc w:val="center"/>
            </w:pPr>
            <w:r>
              <w:rPr>
                <w:rFonts w:eastAsiaTheme="minorEastAsia"/>
                <w:color w:themeColor="text1" w:val="000000"/>
                <w:kern w:val="0"/>
              </w:rPr>
              <w:t>17.33%</w:t>
            </w:r>
          </w:p>
        </w:tc>
        <w:tc>
          <w:tcPr>
            <w:vAlign w:val="center"/>
          </w:tcPr>
          <w:p>
            <w:pPr>
              <w:jc w:val="center"/>
            </w:pPr>
            <w:r>
              <w:rPr>
                <w:rFonts w:eastAsiaTheme="minorEastAsia"/>
                <w:color w:themeColor="text1" w:val="000000"/>
                <w:kern w:val="0"/>
              </w:rPr>
              <w:t>0.67%</w:t>
            </w:r>
          </w:p>
        </w:tc>
      </w:tr>
      <w:tr>
        <w:tc>
          <w:tcPr>
            <w:vAlign w:val="center"/>
          </w:tcPr>
          <w:p>
            <w:pPr>
              <w:jc w:val="left"/>
            </w:pPr>
            <w:r>
              <w:rPr>
                <w:rFonts w:eastAsiaTheme="minorEastAsia"/>
                <w:color w:themeColor="text1" w:val="000000"/>
                <w:kern w:val="0"/>
              </w:rPr>
              <w:t>自基金合同生效起至今</w:t>
            </w:r>
          </w:p>
        </w:tc>
        <w:tc>
          <w:tcPr>
            <w:vAlign w:val="center"/>
          </w:tcPr>
          <w:p>
            <w:pPr>
              <w:jc w:val="center"/>
            </w:pPr>
            <w:r>
              <w:rPr>
                <w:rFonts w:eastAsiaTheme="minorEastAsia"/>
                <w:color w:themeColor="text1" w:val="000000"/>
                <w:kern w:val="0"/>
              </w:rPr>
              <w:t>0.90%</w:t>
            </w:r>
          </w:p>
        </w:tc>
        <w:tc>
          <w:tcPr>
            <w:vAlign w:val="center"/>
          </w:tcPr>
          <w:p>
            <w:pPr>
              <w:jc w:val="center"/>
            </w:pPr>
            <w:r>
              <w:rPr>
                <w:rFonts w:eastAsiaTheme="minorEastAsia"/>
                <w:color w:themeColor="text1" w:val="000000"/>
                <w:kern w:val="0"/>
              </w:rPr>
              <w:t>1.72%</w:t>
            </w:r>
          </w:p>
        </w:tc>
        <w:tc>
          <w:tcPr>
            <w:vAlign w:val="center"/>
          </w:tcPr>
          <w:p>
            <w:pPr>
              <w:jc w:val="center"/>
            </w:pPr>
            <w:r>
              <w:rPr>
                <w:rFonts w:eastAsiaTheme="minorEastAsia"/>
                <w:color w:themeColor="text1" w:val="000000"/>
                <w:kern w:val="0"/>
              </w:rPr>
              <w:t>3.19%</w:t>
            </w:r>
          </w:p>
        </w:tc>
        <w:tc>
          <w:tcPr>
            <w:vAlign w:val="center"/>
          </w:tcPr>
          <w:p>
            <w:pPr>
              <w:jc w:val="center"/>
            </w:pPr>
            <w:r>
              <w:rPr>
                <w:rFonts w:eastAsiaTheme="minorEastAsia"/>
                <w:color w:themeColor="text1" w:val="000000"/>
                <w:kern w:val="0"/>
              </w:rPr>
              <w:t>0.91%</w:t>
            </w:r>
          </w:p>
        </w:tc>
        <w:tc>
          <w:tcPr>
            <w:vAlign w:val="center"/>
          </w:tcPr>
          <w:p>
            <w:pPr>
              <w:jc w:val="center"/>
            </w:pPr>
            <w:r>
              <w:rPr>
                <w:rFonts w:eastAsiaTheme="minorEastAsia"/>
                <w:color w:themeColor="text1" w:val="000000"/>
                <w:kern w:val="0"/>
              </w:rPr>
              <w:t>-2.29%</w:t>
            </w:r>
          </w:p>
        </w:tc>
        <w:tc>
          <w:tcPr>
            <w:vAlign w:val="center"/>
          </w:tcPr>
          <w:p>
            <w:pPr>
              <w:jc w:val="center"/>
            </w:pPr>
            <w:r>
              <w:rPr>
                <w:rFonts w:eastAsiaTheme="minorEastAsia"/>
                <w:color w:themeColor="text1" w:val="000000"/>
                <w:kern w:val="0"/>
              </w:rPr>
              <w:t>0.81%</w:t>
            </w:r>
          </w:p>
        </w:tc>
      </w:tr>
    </w:tbl>
    <w:p w14:paraId="11CC28FB"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04CD2E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3.2.2</w:t>
      </w:r>
      <w:r w:rsidRPr="00FF6B9A">
        <w:rPr>
          <w:rStyle w:val="afe"/>
          <w:color w:themeColor="text1" w:val="000000"/>
          <w:sz w:val="24"/>
          <w:szCs w:val="24"/>
          <w:shd w:color="auto" w:fill="FFFFFF" w:val="clear"/>
        </w:rPr>
        <w:t/>
      </w:r>
      <w:proofErr w:type="spellStart"/>
      <w:r w:rsidRPr="00FF6B9A">
        <w:rPr>
          <w:rStyle w:val="afe"/>
          <w:color w:themeColor="text1" w:val="000000"/>
          <w:sz w:val="24"/>
          <w:szCs w:val="24"/>
          <w:shd w:color="auto" w:fill="FFFFFF" w:val="clear"/>
        </w:rPr>
        <w:t/>
      </w:r>
      <w:proofErr w:type="spellEnd"/>
      <w:r w:rsidRPr="00FF6B9A">
        <w:rPr>
          <w:rStyle w:val="afe"/>
          <w:color w:themeColor="text1" w:val="000000"/>
          <w:sz w:val="24"/>
          <w:szCs w:val="24"/>
          <w:shd w:color="auto" w:fill="FFFFFF" w:val="clear"/>
        </w:rPr>
        <w:t>自基金合同生效以来</w:t>
      </w:r>
      <w:r w:rsidRPr="00FF6B9A">
        <w:rPr>
          <w:rFonts w:eastAsiaTheme="minorEastAsia"/>
          <w:b/>
          <w:bCs/>
          <w:color w:themeColor="text1" w:val="000000"/>
          <w:kern w:val="0"/>
          <w:sz w:val="24"/>
          <w:szCs w:val="24"/>
        </w:rPr>
        <w:t>基金累计净值增长率变动及其与同期业绩比较基准收益率变动的比较</w:t>
      </w:r>
    </w:p>
    <w:p w14:paraId="7E434705" w14:textId="77777777" w:rsidR="00D06738" w:rsidRDefault="00454D20" w:rsidRPr="00FF6B9A">
      <w:pPr>
        <w:spacing w:line="360" w:lineRule="auto"/>
        <w:jc w:val="center"/>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上投摩根整合驱动灵活配置混合型证券投资基金</w:t>
      </w:r>
    </w:p>
    <w:p w14:paraId="760894FB" w14:textId="77777777" w:rsidR="00D06738" w:rsidRDefault="00454D20" w:rsidRPr="00FF6B9A">
      <w:pPr>
        <w:pStyle w:val="ae"/>
        <w:snapToGrid w:val="0"/>
        <w:spacing w:line="360" w:lineRule="auto"/>
        <w:jc w:val="center"/>
        <w:rPr>
          <w:rFonts w:ascii="Times New Roman" w:cs="Times New Roman" w:eastAsiaTheme="minorEastAsia" w:hAnsi="Times New Roman"/>
          <w:color w:themeColor="text1" w:val="000000"/>
        </w:rPr>
      </w:pPr>
      <w:r w:rsidRPr="00FF6B9A">
        <w:rPr>
          <w:rFonts w:ascii="Times New Roman" w:cs="Times New Roman" w:eastAsiaTheme="minorEastAsia" w:hAnsi="Times New Roman"/>
          <w:color w:themeColor="text1" w:val="000000"/>
        </w:rPr>
        <w:t>累计净值增长率与业绩比较基准收益率历史走势对比图</w:t>
      </w:r>
    </w:p>
    <w:p w14:paraId="42485F4A" w14:textId="77777777" w:rsidR="00D06738" w:rsidRDefault="00454D20" w:rsidRPr="00FF6B9A">
      <w:pPr>
        <w:pStyle w:val="ae"/>
        <w:snapToGrid w:val="0"/>
        <w:spacing w:line="360" w:lineRule="auto"/>
        <w:ind w:firstLine="480"/>
        <w:jc w:val="center"/>
        <w:rPr>
          <w:rFonts w:ascii="Times New Roman" w:cs="Times New Roman" w:eastAsiaTheme="minorEastAsia" w:hAnsi="Times New Roman"/>
          <w:color w:themeColor="text1" w:val="000000"/>
          <w:sz w:val="24"/>
          <w:szCs w:val="24"/>
        </w:rPr>
      </w:pPr>
      <w:r w:rsidRPr="00FF6B9A">
        <w:rPr>
          <w:rFonts w:ascii="Times New Roman" w:cs="Times New Roman" w:eastAsiaTheme="minorEastAsia" w:hAnsi="Times New Roman"/>
          <w:color w:themeColor="text1" w:val="000000"/>
        </w:rPr>
        <w:t>(</w:t>
      </w:r>
      <w:proofErr w:type="spellStart"/>
      <w:r w:rsidRPr="00FF6B9A">
        <w:rPr>
          <w:rFonts w:ascii="Times New Roman" w:cs="Times New Roman" w:eastAsiaTheme="minorEastAsia" w:hAnsi="Times New Roman"/>
          <w:color w:themeColor="text1" w:val="000000"/>
        </w:rPr>
        <w:t/>
      </w:r>
      <w:proofErr w:type="spellEnd"/>
      <w:r w:rsidRPr="00FF6B9A">
        <w:rPr>
          <w:rFonts w:ascii="Times New Roman" w:cs="Times New Roman" w:eastAsiaTheme="minorEastAsia" w:hAnsi="Times New Roman"/>
          <w:color w:themeColor="text1" w:val="000000"/>
        </w:rPr>
        <w:t>2015年4月23日</w:t>
      </w:r>
      <w:r w:rsidRPr="00FF6B9A">
        <w:rPr>
          <w:rFonts w:ascii="Times New Roman" w:cs="Times New Roman" w:eastAsiaTheme="minorEastAsia" w:hAnsi="Times New Roman"/>
          <w:color w:themeColor="text1" w:val="000000"/>
        </w:rPr>
        <w:t>至</w:t>
      </w:r>
      <w:r w:rsidRPr="00FF6B9A">
        <w:rPr>
          <w:rFonts w:ascii="Times New Roman" w:cs="Times New Roman" w:eastAsiaTheme="minorEastAsia" w:hAnsi="Times New Roman"/>
          <w:color w:themeColor="text1" w:val="000000"/>
        </w:rPr>
        <w:t/>
      </w:r>
      <w:proofErr w:type="spellStart"/>
      <w:r w:rsidRPr="00FF6B9A">
        <w:rPr>
          <w:rFonts w:ascii="Times New Roman" w:cs="Times New Roman" w:eastAsiaTheme="minorEastAsia" w:hAnsi="Times New Roman"/>
          <w:color w:themeColor="text1" w:val="000000"/>
        </w:rPr>
        <w:t/>
      </w:r>
      <w:proofErr w:type="spellEnd"/>
      <w:r w:rsidRPr="00FF6B9A">
        <w:rPr>
          <w:rFonts w:ascii="Times New Roman" w:cs="Times New Roman" w:eastAsiaTheme="minorEastAsia" w:hAnsi="Times New Roman"/>
          <w:color w:themeColor="text1" w:val="000000"/>
        </w:rPr>
        <w:t>2021年6月30日)</w:t>
      </w:r>
    </w:p>
    <w:p w14:paraId="6D7C6855" w14:textId="77777777" w:rsidR="00D06738" w:rsidRDefault="00454D20" w:rsidRPr="00FF6B9A">
      <w:pPr>
        <w:pStyle w:val="ae"/>
        <w:snapToGrid w:val="0"/>
        <w:spacing w:before="120" w:line="360" w:lineRule="auto"/>
        <w:jc w:val="center"/>
        <w:rPr>
          <w:rFonts w:ascii="Times New Roman" w:cs="Times New Roman" w:eastAsiaTheme="minorEastAsia" w:hAnsi="Times New Roman"/>
          <w:color w:themeColor="text1" w:val="000000"/>
          <w:sz w:val="24"/>
          <w:szCs w:val="24"/>
        </w:rPr>
      </w:pPr>
      <w:r w:rsidRPr="00FF6B9A">
        <w:rPr>
          <w:rFonts w:ascii="Times New Roman" w:cs="Times New Roman" w:eastAsiaTheme="minorEastAsia" w:hAnsi="Times New Roman"/>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注：本基金合同生效日为2015年4月23日，图示的时间段为合同生效日至本报告期末。</w:t>
      </w:r>
    </w:p>
    <w:p w14:paraId="58BB6589"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本基金建仓期为本基金合同生效日起6个月，建仓期结束时资产配置比例符合本基金基金合同规定。</w:t>
      </w:r>
    </w:p>
    <w:p w14:paraId="28331EE6" w14:textId="77777777" w:rsidR="00D06738" w:rsidRDefault="00D06738" w:rsidRPr="00FF6B9A">
      <w:pPr>
        <w:tabs>
          <w:tab w:pos="1800" w:val="left"/>
        </w:tabs>
        <w:spacing w:line="360" w:lineRule="auto"/>
        <w:rPr>
          <w:rFonts w:eastAsiaTheme="minorEastAsia"/>
          <w:color w:themeColor="text1" w:val="000000"/>
          <w:sz w:val="24"/>
          <w:szCs w:val="24"/>
        </w:rPr>
      </w:pPr>
    </w:p>
    <w:p w14:paraId="6B938858" w14:textId="77777777" w:rsidR="00D06738" w:rsidRDefault="00D06738" w:rsidRPr="00FF6B9A">
      <w:pPr>
        <w:tabs>
          <w:tab w:pos="1800" w:val="left"/>
        </w:tabs>
        <w:spacing w:line="288" w:lineRule="auto"/>
        <w:rPr>
          <w:rFonts w:eastAsiaTheme="minorEastAsia"/>
          <w:color w:themeColor="text1" w:val="000000"/>
          <w:sz w:val="24"/>
          <w:szCs w:val="24"/>
        </w:rPr>
      </w:pPr>
    </w:p>
    <w:p w14:paraId="0B771B4D"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§4  </w:t>
      </w:r>
      <w:r w:rsidRPr="00FF6B9A">
        <w:rPr>
          <w:rFonts w:eastAsiaTheme="minorEastAsia"/>
          <w:color w:themeColor="text1" w:val="000000"/>
          <w:kern w:val="0"/>
          <w:sz w:val="24"/>
          <w:szCs w:val="24"/>
        </w:rPr>
        <w:t>管理人报告</w:t>
      </w:r>
    </w:p>
    <w:p w14:paraId="735F051A"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4.1 </w:t>
      </w:r>
      <w:r w:rsidRPr="00FF6B9A">
        <w:rPr>
          <w:rFonts w:eastAsiaTheme="minorEastAsia"/>
          <w:b/>
          <w:bCs/>
          <w:color w:themeColor="text1" w:val="000000"/>
          <w:kern w:val="0"/>
          <w:sz w:val="24"/>
          <w:szCs w:val="24"/>
        </w:rPr>
        <w:t>基金经理</w:t>
      </w:r>
      <w:r w:rsidRPr="00FF6B9A">
        <w:rPr>
          <w:rFonts w:eastAsiaTheme="minorEastAsia"/>
          <w:b/>
          <w:bCs/>
          <w:color w:themeColor="text1" w:val="000000"/>
          <w:kern w:val="0"/>
          <w:sz w:val="24"/>
          <w:szCs w:val="24"/>
        </w:rPr>
        <w:t>(</w:t>
      </w:r>
      <w:r w:rsidRPr="00FF6B9A">
        <w:rPr>
          <w:rFonts w:eastAsiaTheme="minorEastAsia"/>
          <w:b/>
          <w:bCs/>
          <w:color w:themeColor="text1" w:val="000000"/>
          <w:kern w:val="0"/>
          <w:sz w:val="24"/>
          <w:szCs w:val="24"/>
        </w:rPr>
        <w:t>或基金经理小组</w:t>
      </w:r>
      <w:r w:rsidRPr="00FF6B9A">
        <w:rPr>
          <w:rFonts w:eastAsiaTheme="minorEastAsia"/>
          <w:b/>
          <w:bCs/>
          <w:color w:themeColor="text1" w:val="000000"/>
          <w:kern w:val="0"/>
          <w:sz w:val="24"/>
          <w:szCs w:val="24"/>
        </w:rPr>
        <w:t>)</w:t>
      </w:r>
      <w:r w:rsidRPr="00FF6B9A">
        <w:rPr>
          <w:rFonts w:eastAsiaTheme="minorEastAsia"/>
          <w:b/>
          <w:bCs/>
          <w:color w:themeColor="text1"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rsidRPr="00FF6B9A">
        <w:trPr>
          <w:cantSplit/>
          <w:trHeight w:val="292"/>
        </w:trPr>
        <w:tc>
          <w:tcPr>
            <w:tcW w:type="dxa" w:w="851"/>
            <w:vMerge w:val="restart"/>
            <w:vAlign w:val="center"/>
          </w:tcPr>
          <w:p w14:paraId="1F53B620"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姓名</w:t>
            </w:r>
          </w:p>
        </w:tc>
        <w:tc>
          <w:tcPr>
            <w:tcW w:type="dxa" w:w="850"/>
            <w:vMerge w:val="restart"/>
            <w:vAlign w:val="center"/>
          </w:tcPr>
          <w:p w14:paraId="697EB0E1"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职务</w:t>
            </w:r>
          </w:p>
        </w:tc>
        <w:tc>
          <w:tcPr>
            <w:tcW w:type="dxa" w:w="3119"/>
            <w:gridSpan w:val="2"/>
            <w:vAlign w:val="center"/>
          </w:tcPr>
          <w:p w14:paraId="3C549DFA"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proofErr w:type="gramStart"/>
            <w:r w:rsidRPr="00FF6B9A">
              <w:rPr>
                <w:rFonts w:eastAsiaTheme="minorEastAsia"/>
                <w:color w:themeColor="text1" w:val="000000"/>
                <w:kern w:val="0"/>
              </w:rPr>
              <w:t>任本基金</w:t>
            </w:r>
            <w:proofErr w:type="gramEnd"/>
            <w:r w:rsidRPr="00FF6B9A">
              <w:rPr>
                <w:rFonts w:eastAsiaTheme="minorEastAsia"/>
                <w:color w:themeColor="text1" w:val="000000"/>
                <w:kern w:val="0"/>
              </w:rPr>
              <w:t>的基金经理期限</w:t>
            </w:r>
          </w:p>
        </w:tc>
        <w:tc>
          <w:tcPr>
            <w:tcW w:type="dxa" w:w="1417"/>
            <w:vMerge w:val="restart"/>
            <w:vAlign w:val="center"/>
          </w:tcPr>
          <w:p w14:paraId="153D4B6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证券从业年限</w:t>
            </w:r>
          </w:p>
        </w:tc>
        <w:tc>
          <w:tcPr>
            <w:tcW w:type="dxa" w:w="2694"/>
            <w:vMerge w:val="restart"/>
            <w:vAlign w:val="center"/>
          </w:tcPr>
          <w:p w14:paraId="6B8352A3"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说明</w:t>
            </w:r>
          </w:p>
        </w:tc>
      </w:tr>
      <w:tr w14:paraId="12458907" w14:textId="77777777" w:rsidR="00D06738" w:rsidRPr="00FF6B9A">
        <w:trPr>
          <w:cantSplit/>
        </w:trPr>
        <w:tc>
          <w:tcPr>
            <w:tcW w:type="dxa" w:w="851"/>
            <w:vMerge/>
            <w:vAlign w:val="center"/>
          </w:tcPr>
          <w:p w14:paraId="0E137D74" w14:textId="77777777" w:rsidR="00D06738" w:rsidRDefault="00D06738" w:rsidRPr="00FF6B9A">
            <w:pPr>
              <w:widowControl/>
              <w:spacing w:line="360" w:lineRule="auto"/>
              <w:jc w:val="left"/>
              <w:rPr>
                <w:rFonts w:eastAsiaTheme="minorEastAsia"/>
                <w:color w:themeColor="text1" w:val="000000"/>
                <w:kern w:val="0"/>
              </w:rPr>
            </w:pPr>
          </w:p>
        </w:tc>
        <w:tc>
          <w:tcPr>
            <w:tcW w:type="dxa" w:w="850"/>
            <w:vMerge/>
            <w:vAlign w:val="center"/>
          </w:tcPr>
          <w:p w14:paraId="1CC0886F" w14:textId="77777777" w:rsidR="00D06738" w:rsidRDefault="00D06738" w:rsidRPr="00FF6B9A">
            <w:pPr>
              <w:widowControl/>
              <w:spacing w:line="360" w:lineRule="auto"/>
              <w:jc w:val="left"/>
              <w:rPr>
                <w:rFonts w:eastAsiaTheme="minorEastAsia"/>
                <w:color w:themeColor="text1" w:val="000000"/>
                <w:kern w:val="0"/>
              </w:rPr>
            </w:pPr>
          </w:p>
        </w:tc>
        <w:tc>
          <w:tcPr>
            <w:tcW w:type="dxa" w:w="1560"/>
            <w:vAlign w:val="center"/>
          </w:tcPr>
          <w:p w14:paraId="213ED421"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任职日期</w:t>
            </w:r>
          </w:p>
        </w:tc>
        <w:tc>
          <w:tcPr>
            <w:tcW w:type="dxa" w:w="1559"/>
            <w:vAlign w:val="center"/>
          </w:tcPr>
          <w:p w14:paraId="025CCC9C"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离任日期</w:t>
            </w:r>
          </w:p>
        </w:tc>
        <w:tc>
          <w:tcPr>
            <w:tcW w:type="dxa" w:w="1417"/>
            <w:vMerge/>
            <w:vAlign w:val="center"/>
          </w:tcPr>
          <w:p w14:paraId="3D222F40" w14:textId="77777777" w:rsidR="00D06738" w:rsidRDefault="00D06738" w:rsidRPr="00FF6B9A">
            <w:pPr>
              <w:widowControl/>
              <w:spacing w:line="360" w:lineRule="auto"/>
              <w:jc w:val="left"/>
              <w:rPr>
                <w:rFonts w:eastAsiaTheme="minorEastAsia"/>
                <w:color w:themeColor="text1" w:val="000000"/>
                <w:kern w:val="0"/>
              </w:rPr>
            </w:pPr>
          </w:p>
        </w:tc>
        <w:tc>
          <w:tcPr>
            <w:tcW w:type="dxa" w:w="2694"/>
            <w:vMerge/>
            <w:vAlign w:val="center"/>
          </w:tcPr>
          <w:p w14:paraId="637B7507" w14:textId="77777777" w:rsidR="00D06738" w:rsidRDefault="00D06738" w:rsidRPr="00FF6B9A">
            <w:pPr>
              <w:widowControl/>
              <w:spacing w:line="360" w:lineRule="auto"/>
              <w:jc w:val="left"/>
              <w:rPr>
                <w:rFonts w:eastAsiaTheme="minorEastAsia"/>
                <w:color w:themeColor="text1" w:val="000000"/>
                <w:kern w:val="0"/>
              </w:rPr>
            </w:pPr>
          </w:p>
        </w:tc>
      </w:tr>
      <w:tr>
        <w:tc>
          <w:tcPr>
            <w:vAlign w:val="center"/>
          </w:tcPr>
          <w:p>
            <w:pPr>
              <w:jc w:val="center"/>
            </w:pPr>
            <w:r>
              <w:rPr>
                <w:rFonts w:eastAsiaTheme="minorEastAsia"/>
                <w:color w:themeColor="text1" w:val="000000"/>
              </w:rPr>
              <w:t>征茂平</w:t>
            </w:r>
          </w:p>
        </w:tc>
        <w:tc>
          <w:tcPr>
            <w:vAlign w:val="center"/>
          </w:tcPr>
          <w:p>
            <w:pPr>
              <w:jc w:val="center"/>
            </w:pPr>
            <w:r>
              <w:rPr>
                <w:rFonts w:eastAsiaTheme="minorEastAsia"/>
                <w:color w:themeColor="text1" w:val="000000"/>
              </w:rPr>
              <w:t>本基金基金经理</w:t>
            </w:r>
          </w:p>
        </w:tc>
        <w:tc>
          <w:tcPr>
            <w:vAlign w:val="center"/>
          </w:tcPr>
          <w:p>
            <w:pPr>
              <w:jc w:val="center"/>
            </w:pPr>
            <w:r>
              <w:rPr>
                <w:rFonts w:eastAsiaTheme="minorEastAsia"/>
                <w:color w:themeColor="text1" w:val="000000"/>
              </w:rPr>
              <w:t>2015-09-18</w:t>
            </w:r>
          </w:p>
        </w:tc>
        <w:tc>
          <w:tcPr>
            <w:vAlign w:val="center"/>
          </w:tcPr>
          <w:p>
            <w:pPr>
              <w:jc w:val="center"/>
            </w:pPr>
            <w:r>
              <w:rPr>
                <w:rFonts w:eastAsiaTheme="minorEastAsia"/>
                <w:color w:themeColor="text1" w:val="000000"/>
              </w:rPr>
              <w:t>-</w:t>
            </w:r>
          </w:p>
        </w:tc>
        <w:tc>
          <w:tcPr>
            <w:vAlign w:val="center"/>
          </w:tcPr>
          <w:p>
            <w:pPr>
              <w:jc w:val="center"/>
            </w:pPr>
            <w:r>
              <w:rPr>
                <w:rFonts w:eastAsiaTheme="minorEastAsia"/>
                <w:color w:themeColor="text1" w:val="000000"/>
              </w:rPr>
              <w:t>20年</w:t>
            </w:r>
          </w:p>
        </w:tc>
        <w:tc>
          <w:tcPr>
            <w:vAlign w:val="center"/>
          </w:tcPr>
          <w:p>
            <w:pPr>
              <w:jc w:val="both"/>
            </w:pPr>
            <w:r>
              <w:rPr>
                <w:rFonts w:eastAsiaTheme="minorEastAsia"/>
                <w:color w:themeColor="text1" w:val="000000"/>
              </w:rPr>
              <w:t>征茂平先生，自2001年3月至2004年3月在上海证大投资管理有限公司任高级研究员从事证券研究的工作；2004年3月至2005年4月在平安证券有限公司任高级研究员从事证券研究的工作；2005年5月至2008年5月在大成基金管理有限公司任研究员从事成长股票组合的管理工作。2008年5月起加入上投摩根基金管理有限公司，先后担任行业专家、基金经理助理、研究部总监助理、基金经理，2013年7月至2019年7月担任上投摩根大盘蓝筹股票型证券投资基金基金经理，2013年9月至2018年6月同时担任上投摩根红利回报混合型证券投资基金基金经理,2014年1月至2015年2月同时担任上投摩根阿尔法混合型证券投资基金基金经理，自2015年9月起担任上投摩根整合驱动灵活配置混合型证券投资基金基金经理，自2016年11月起同时担任上投摩根中国世纪灵活配置混合型证券投资基金基金经理。</w:t>
            </w:r>
          </w:p>
        </w:tc>
      </w:tr>
    </w:tbl>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注：1.任职日期和离任日期均指根据公司决定确定的聘任日期和解聘日期。</w:t>
      </w:r>
    </w:p>
    <w:p w14:paraId="617FFBB9"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gramStart"/>
      <w:r w:rsidRPr="00FF6B9A">
        <w:rPr>
          <w:rFonts w:eastAsiaTheme="minorEastAsia"/>
          <w:color w:themeColor="text1" w:val="000000"/>
        </w:rPr>
        <w:t/>
      </w:r>
      <w:proofErr w:type="gramEnd"/>
      <w:r w:rsidRPr="00FF6B9A">
        <w:rPr>
          <w:rFonts w:eastAsiaTheme="minorEastAsia"/>
          <w:color w:themeColor="text1" w:val="000000"/>
        </w:rPr>
        <w:t>2.证券从业的含义遵从行业协会《证券业从业人员资格管理办法》的相关规定。</w:t>
      </w:r>
    </w:p>
    <w:p w14:paraId="4FBEFD2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4.2 </w:t>
      </w:r>
      <w:r w:rsidRPr="00FF6B9A">
        <w:rPr>
          <w:rFonts w:eastAsiaTheme="minorEastAsia"/>
          <w:b/>
          <w:bCs/>
          <w:color w:themeColor="text1" w:val="000000"/>
          <w:kern w:val="0"/>
          <w:sz w:val="24"/>
          <w:szCs w:val="24"/>
        </w:rPr>
        <w:t>管理人对报告期内本基金运作遵规守信情况的说明</w:t>
      </w:r>
    </w:p>
    <w:p w14:paraId="6D01CD8D"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整合驱动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79379002"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39C8B3E"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4.3 </w:t>
      </w:r>
      <w:r w:rsidRPr="00FF6B9A">
        <w:rPr>
          <w:rFonts w:eastAsiaTheme="minorEastAsia"/>
          <w:b/>
          <w:bCs/>
          <w:color w:themeColor="text1" w:val="000000"/>
          <w:kern w:val="0"/>
          <w:sz w:val="24"/>
          <w:szCs w:val="24"/>
        </w:rPr>
        <w:t>公平交易专项说明</w:t>
      </w:r>
    </w:p>
    <w:p w14:paraId="0796C6BB"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xml:space="preserve">4.3.1 </w:t>
      </w:r>
      <w:r w:rsidRPr="00FF6B9A">
        <w:rPr>
          <w:rFonts w:eastAsiaTheme="minorEastAsia"/>
          <w:color w:themeColor="text1" w:val="000000"/>
          <w:sz w:val="24"/>
          <w:szCs w:val="24"/>
        </w:rPr>
        <w:t>公平交易制度的执行情况</w:t>
      </w:r>
    </w:p>
    <w:p>
      <w:pPr>
        <w:spacing w:line="360" w:lineRule="auto"/>
        <w:ind w:firstLine="420" w:firstLineChars="200"/>
        <w:rPr>
          <w:rFonts w:eastAsiaTheme="minorEastAsia"/>
          <w:color w:themeColor="text1" w:val="000000"/>
        </w:rPr>
      </w:pPr>
      <w:r>
        <w:rPr>
          <w:rFonts w:eastAsia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rPr>
      </w:pPr>
      <w:r>
        <w:rPr>
          <w:rFonts w:eastAsia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xml:space="preserve">4.3.2 </w:t>
      </w:r>
      <w:r w:rsidRPr="00FF6B9A">
        <w:rPr>
          <w:rFonts w:eastAsiaTheme="minorEastAsia"/>
          <w:color w:themeColor="text1" w:val="000000"/>
          <w:sz w:val="24"/>
          <w:szCs w:val="24"/>
        </w:rPr>
        <w:t>异常交易行为的专项说明</w:t>
      </w:r>
    </w:p>
    <w:p>
      <w:pPr>
        <w:spacing w:line="360" w:lineRule="auto"/>
        <w:ind w:firstLine="420" w:firstLineChars="200"/>
        <w:rPr>
          <w:rFonts w:eastAsiaTheme="minorEastAsia"/>
          <w:color w:themeColor="text1" w:val="000000"/>
        </w:rPr>
      </w:pPr>
      <w:r>
        <w:rPr>
          <w:rFonts w:eastAsiaTheme="minor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所有投资组合参与的交易所公开竞价同日反向交易成交较少的单边交易量超过该证券当日成交量的5%的情形：无。</w:t>
      </w:r>
    </w:p>
    <w:p w14:paraId="78B72EC9" w14:textId="77777777" w:rsidR="00D06738" w:rsidRDefault="00D06738" w:rsidRPr="00FF6B9A">
      <w:pPr>
        <w:spacing w:line="360" w:lineRule="auto"/>
        <w:ind w:firstLine="480" w:firstLineChars="200"/>
        <w:rPr>
          <w:rFonts w:eastAsiaTheme="minorEastAsia"/>
          <w:color w:themeColor="text1" w:val="000000"/>
          <w:sz w:val="24"/>
          <w:szCs w:val="24"/>
        </w:rPr>
      </w:pPr>
    </w:p>
    <w:p w14:paraId="268AD9F2"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4.4 </w:t>
      </w:r>
      <w:r w:rsidRPr="00FF6B9A">
        <w:rPr>
          <w:rFonts w:eastAsiaTheme="minorEastAsia"/>
          <w:b/>
          <w:bCs/>
          <w:color w:themeColor="text1" w:val="000000"/>
          <w:kern w:val="0"/>
          <w:sz w:val="24"/>
          <w:szCs w:val="24"/>
        </w:rPr>
        <w:t>报告期内基金的投资策略和业绩表现说明</w:t>
      </w:r>
    </w:p>
    <w:p w14:paraId="37D7D562"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4.4.1</w:t>
      </w:r>
      <w:r w:rsidRPr="00FF6B9A">
        <w:rPr>
          <w:rFonts w:eastAsiaTheme="minorEastAsia"/>
          <w:color w:themeColor="text1" w:val="000000"/>
          <w:sz w:val="24"/>
          <w:szCs w:val="24"/>
        </w:rPr>
        <w:t>报告期内基金投资策略和运作分析</w:t>
      </w:r>
    </w:p>
    <w:p>
      <w:pPr>
        <w:spacing w:line="360" w:lineRule="auto"/>
        <w:ind w:firstLine="420" w:firstLineChars="200"/>
        <w:rPr>
          <w:rFonts w:eastAsiaTheme="minorEastAsia"/>
          <w:color w:themeColor="text1" w:val="000000"/>
        </w:rPr>
      </w:pPr>
      <w:r>
        <w:rPr>
          <w:rFonts w:eastAsiaTheme="minorEastAsia"/>
          <w:color w:themeColor="text1" w:val="000000"/>
        </w:rPr>
        <w:t>二季度国内经济平稳增长、流动性相对宽裕，A股市场风险偏好和活跃度较一季度明显提升，整体呈现震荡整理、估值逐步修复走势，具体表现为各种主题投资层出不穷，同时以医美、CXO、半导体为代表的行业景气确定性较高的板块估值继续提升；另一方面，在存量资金博弈下，以各行业龙头为代表的白马价值板块表现乏善可陈，部分基本面出现向下拐点的相关个股调整幅度远超预期。</w:t>
      </w:r>
    </w:p>
    <w:p>
      <w:pPr>
        <w:spacing w:line="360" w:lineRule="auto"/>
        <w:ind w:firstLine="420" w:firstLineChars="200"/>
        <w:rPr>
          <w:rFonts w:eastAsiaTheme="minorEastAsia"/>
          <w:color w:themeColor="text1" w:val="000000"/>
        </w:rPr>
      </w:pPr>
      <w:r>
        <w:rPr>
          <w:rFonts w:eastAsiaTheme="minorEastAsia"/>
          <w:color w:themeColor="text1" w:val="000000"/>
        </w:rPr>
        <w:t>本基金在二季度初判断国内外流动性边际将趋紧，核心资产由于估值处于较高水平，获取超额收益的概率较小，但由于国外疫情和国内经济存在反复，因此海外流动性和国内的微观流动性均超出预期，叠加高景气行业标的的稀缺性，使得市场对估值的容忍度超出本基金的判断，投资结果表明：报告期内组合重点持有的食品饮料、医药等核心品种基本面和盈利趋势向好的格局未有明显变化，但存量资金博弈以及超预期的业绩或事件的缺乏导致报告期内相关标的整体呈现震荡走势，对组合净值贡献有限；而基于行业景气和估值考虑所增持的新能源汽车和光伏板块则对净值有一定积极贡献。</w:t>
      </w:r>
    </w:p>
    <w:p w14:paraId="6E21DA7A"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展望未来，本基金认为市场流动性仍将维持较为宽松的局面，而上市公司全年的盈利增速也维持在较高水平，因此下半年仍将存在结构性投资机会，本基金将重点遵循“自下而上”精选行业景气较好、估值与盈利相匹配标的投资策略，并重点关注光伏、医药、食品饮料等行业以及上游原材料价格回落带来的中游制造业投资机会，同时回避估值高企、涨幅较大的主题性投资。</w:t>
      </w:r>
    </w:p>
    <w:p w14:paraId="23C77E45"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4.4.2</w:t>
      </w:r>
      <w:r w:rsidRPr="00FF6B9A">
        <w:rPr>
          <w:rFonts w:eastAsiaTheme="minorEastAsia"/>
          <w:color w:themeColor="text1" w:val="000000"/>
          <w:sz w:val="24"/>
          <w:szCs w:val="24"/>
        </w:rPr>
        <w:t>报告期内基金的业绩表现</w:t>
      </w:r>
    </w:p>
    <w:p w14:paraId="3743F1F6"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本报告期上投摩根整合驱动混合份额净值增长率为:9.96%，同期业绩比较基准收益率为:2.99%。</w:t>
      </w:r>
    </w:p>
    <w:p w14:paraId="44A63C7D" w14:textId="77777777" w:rsidR="00D06738" w:rsidRDefault="00D06738" w:rsidRPr="00FF6B9A">
      <w:pPr>
        <w:spacing w:line="360" w:lineRule="auto"/>
        <w:ind w:firstLine="480" w:firstLineChars="200"/>
        <w:rPr>
          <w:rFonts w:eastAsiaTheme="minorEastAsia"/>
          <w:color w:themeColor="text1" w:val="000000"/>
          <w:sz w:val="24"/>
          <w:szCs w:val="24"/>
        </w:rPr>
      </w:pPr>
    </w:p>
    <w:p w14:paraId="7FECA9F5"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b/>
          <w:color w:themeColor="text1" w:val="000000"/>
          <w:kern w:val="0"/>
          <w:sz w:val="24"/>
          <w:szCs w:val="24"/>
        </w:rPr>
        <w:t/>
      </w:r>
      <w:proofErr w:type="spellStart"/>
      <w:r w:rsidRPr="00FF6B9A">
        <w:rPr>
          <w:rFonts w:eastAsiaTheme="minorEastAsia"/>
          <w:b/>
          <w:color w:themeColor="text1" w:val="000000"/>
          <w:kern w:val="0"/>
          <w:sz w:val="24"/>
          <w:szCs w:val="24"/>
        </w:rPr>
        <w:t/>
      </w:r>
      <w:proofErr w:type="spellEnd"/>
      <w:r w:rsidRPr="00FF6B9A">
        <w:rPr>
          <w:rFonts w:eastAsiaTheme="minorEastAsia"/>
          <w:b/>
          <w:color w:themeColor="text1" w:val="000000"/>
          <w:kern w:val="0"/>
          <w:sz w:val="24"/>
          <w:szCs w:val="24"/>
        </w:rPr>
        <w:t>4.5</w:t>
      </w:r>
      <w:r w:rsidRPr="00FF6B9A">
        <w:rPr>
          <w:rFonts w:eastAsiaTheme="minorEastAsia"/>
          <w:b/>
          <w:color w:themeColor="text1" w:val="000000"/>
          <w:kern w:val="0"/>
          <w:sz w:val="24"/>
          <w:szCs w:val="24"/>
        </w:rPr>
        <w:t>报告期内基金持有人数或基金资产净值预警说明</w:t>
      </w:r>
    </w:p>
    <w:p w14:paraId="35411AB5"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kern w:val="0"/>
        </w:rPr>
        <w:t/>
      </w:r>
      <w:r w:rsidRPr="00FF6B9A">
        <w:rPr>
          <w:rFonts w:eastAsiaTheme="minorEastAsia"/>
          <w:color w:themeColor="text1" w:val="000000"/>
        </w:rPr>
        <w:t/>
      </w:r>
      <w:r w:rsidRPr="00FF6B9A">
        <w:rPr>
          <w:rFonts w:eastAsiaTheme="minorEastAsia"/>
          <w:color w:themeColor="text1" w:val="000000"/>
          <w:kern w:val="0"/>
        </w:rPr>
        <w:t>无。</w:t>
      </w:r>
    </w:p>
    <w:p w14:paraId="1DAA7197"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§5  </w:t>
      </w:r>
      <w:r w:rsidRPr="00FF6B9A">
        <w:rPr>
          <w:rFonts w:eastAsiaTheme="minorEastAsia"/>
          <w:color w:themeColor="text1" w:val="000000"/>
          <w:kern w:val="0"/>
          <w:sz w:val="24"/>
          <w:szCs w:val="24"/>
        </w:rPr>
        <w:t>投资组合报告</w:t>
      </w:r>
    </w:p>
    <w:p w14:paraId="2ED46D8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5.1 </w:t>
      </w:r>
      <w:r w:rsidRPr="00FF6B9A">
        <w:rPr>
          <w:rFonts w:eastAsiaTheme="minor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rsidRPr="00FF6B9A">
        <w:trPr>
          <w:jc w:val="center"/>
        </w:trPr>
        <w:tc>
          <w:tcPr>
            <w:tcW w:type="dxa" w:w="720"/>
            <w:vAlign w:val="center"/>
          </w:tcPr>
          <w:p w14:paraId="267B5679"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序号</w:t>
            </w:r>
          </w:p>
        </w:tc>
        <w:tc>
          <w:tcPr>
            <w:tcW w:type="dxa" w:w="3357"/>
            <w:vAlign w:val="center"/>
          </w:tcPr>
          <w:p w14:paraId="64B125CA"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项目</w:t>
            </w:r>
          </w:p>
        </w:tc>
        <w:tc>
          <w:tcPr>
            <w:tcW w:type="dxa" w:w="2977"/>
            <w:vAlign w:val="center"/>
          </w:tcPr>
          <w:p w14:paraId="7B039B4F"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金额</w:t>
            </w:r>
            <w:r w:rsidRPr="00FF6B9A">
              <w:rPr>
                <w:rFonts w:eastAsiaTheme="minorEastAsia"/>
                <w:color w:themeColor="text1" w:val="000000"/>
                <w:kern w:val="0"/>
              </w:rPr>
              <w:t>(</w:t>
            </w:r>
            <w:r w:rsidRPr="00FF6B9A">
              <w:rPr>
                <w:rFonts w:eastAsiaTheme="minorEastAsia"/>
                <w:color w:themeColor="text1" w:val="000000"/>
                <w:kern w:val="0"/>
              </w:rPr>
              <w:t>元</w:t>
            </w:r>
            <w:r w:rsidRPr="00FF6B9A">
              <w:rPr>
                <w:rFonts w:eastAsiaTheme="minorEastAsia"/>
                <w:color w:themeColor="text1" w:val="000000"/>
                <w:kern w:val="0"/>
              </w:rPr>
              <w:t>)</w:t>
            </w:r>
          </w:p>
        </w:tc>
        <w:tc>
          <w:tcPr>
            <w:tcW w:type="dxa" w:w="1843"/>
            <w:vAlign w:val="center"/>
          </w:tcPr>
          <w:p w14:paraId="546A193D"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占基金总资产的比例</w:t>
            </w:r>
            <w:r w:rsidRPr="00FF6B9A">
              <w:rPr>
                <w:rFonts w:eastAsiaTheme="minorEastAsia"/>
                <w:color w:themeColor="text1" w:val="000000"/>
                <w:kern w:val="0"/>
              </w:rPr>
              <w:t>(%)</w:t>
            </w:r>
          </w:p>
        </w:tc>
      </w:tr>
      <w:tr w14:paraId="2C5F8168" w14:textId="77777777" w:rsidR="00D06738" w:rsidRPr="00FF6B9A">
        <w:trPr>
          <w:jc w:val="center"/>
        </w:trPr>
        <w:tc>
          <w:tcPr>
            <w:tcW w:type="dxa" w:w="720"/>
            <w:vAlign w:val="center"/>
          </w:tcPr>
          <w:p w14:paraId="790AB276"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1</w:t>
            </w:r>
          </w:p>
        </w:tc>
        <w:tc>
          <w:tcPr>
            <w:tcW w:type="dxa" w:w="3357"/>
            <w:vAlign w:val="center"/>
          </w:tcPr>
          <w:p w14:paraId="2A6D52A1"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权益投资</w:t>
            </w:r>
          </w:p>
        </w:tc>
        <w:tc>
          <w:tcPr>
            <w:tcW w:type="dxa" w:w="2977"/>
            <w:vAlign w:val="center"/>
          </w:tcPr>
          <w:p w14:paraId="3F07A469"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538,236,313.94</w:t>
            </w:r>
          </w:p>
        </w:tc>
        <w:tc>
          <w:tcPr>
            <w:tcW w:type="dxa" w:w="1843"/>
            <w:vAlign w:val="center"/>
          </w:tcPr>
          <w:p w14:paraId="233B134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81.64</w:t>
            </w:r>
          </w:p>
        </w:tc>
      </w:tr>
      <w:tr w14:paraId="2113730F" w14:textId="77777777" w:rsidR="00D06738" w:rsidRPr="00FF6B9A">
        <w:trPr>
          <w:jc w:val="center"/>
        </w:trPr>
        <w:tc>
          <w:tcPr>
            <w:tcW w:type="dxa" w:w="720"/>
            <w:vAlign w:val="center"/>
          </w:tcPr>
          <w:p w14:paraId="66F43ADC"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2830015"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其中：股票</w:t>
            </w:r>
          </w:p>
        </w:tc>
        <w:tc>
          <w:tcPr>
            <w:tcW w:type="dxa" w:w="2977"/>
            <w:vAlign w:val="center"/>
          </w:tcPr>
          <w:p w14:paraId="36A710A1"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538,236,313.94</w:t>
            </w:r>
          </w:p>
        </w:tc>
        <w:tc>
          <w:tcPr>
            <w:tcW w:type="dxa" w:w="1843"/>
            <w:vAlign w:val="center"/>
          </w:tcPr>
          <w:p w14:paraId="4235B2A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81.64</w:t>
            </w:r>
          </w:p>
        </w:tc>
      </w:tr>
      <w:tr w14:paraId="7AF15202" w14:textId="77777777" w:rsidR="00D06738" w:rsidRPr="00FF6B9A">
        <w:trPr>
          <w:jc w:val="center"/>
        </w:trPr>
        <w:tc>
          <w:tcPr>
            <w:tcW w:type="dxa" w:w="720"/>
            <w:vAlign w:val="center"/>
          </w:tcPr>
          <w:p w14:paraId="0231B762"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2</w:t>
            </w:r>
          </w:p>
        </w:tc>
        <w:tc>
          <w:tcPr>
            <w:tcW w:type="dxa" w:w="3357"/>
            <w:vAlign w:val="center"/>
          </w:tcPr>
          <w:p w14:paraId="4854CF2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固定收益投资</w:t>
            </w:r>
          </w:p>
        </w:tc>
        <w:tc>
          <w:tcPr>
            <w:tcW w:type="dxa" w:w="2977"/>
            <w:vAlign w:val="center"/>
          </w:tcPr>
          <w:p w14:paraId="789C70AC"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249B7557"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19D15F90" w14:textId="77777777" w:rsidR="00D06738" w:rsidRPr="00FF6B9A">
        <w:trPr>
          <w:jc w:val="center"/>
        </w:trPr>
        <w:tc>
          <w:tcPr>
            <w:tcW w:type="dxa" w:w="720"/>
            <w:vAlign w:val="center"/>
          </w:tcPr>
          <w:p w14:paraId="16E41AE7"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7E8D347"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其中：债券</w:t>
            </w:r>
          </w:p>
        </w:tc>
        <w:tc>
          <w:tcPr>
            <w:tcW w:type="dxa" w:w="2977"/>
            <w:vAlign w:val="center"/>
          </w:tcPr>
          <w:p w14:paraId="49FE2FF2"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378238FF"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62562C15" w14:textId="77777777" w:rsidR="00D06738" w:rsidRPr="00FF6B9A">
        <w:trPr>
          <w:jc w:val="center"/>
        </w:trPr>
        <w:tc>
          <w:tcPr>
            <w:tcW w:type="dxa" w:w="720"/>
            <w:vAlign w:val="center"/>
          </w:tcPr>
          <w:p w14:paraId="104BD163"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7AC6DAD" w14:textId="77777777" w:rsidR="00D06738" w:rsidRDefault="00454D20" w:rsidRPr="00FF6B9A">
            <w:pPr>
              <w:autoSpaceDE w:val="0"/>
              <w:autoSpaceDN w:val="0"/>
              <w:adjustRightInd w:val="0"/>
              <w:spacing w:before="29" w:line="360" w:lineRule="auto"/>
              <w:ind w:firstLine="525" w:firstLineChars="250" w:left="17"/>
              <w:jc w:val="left"/>
              <w:rPr>
                <w:rFonts w:eastAsiaTheme="minorEastAsia"/>
                <w:color w:themeColor="text1" w:val="000000"/>
                <w:kern w:val="0"/>
              </w:rPr>
            </w:pPr>
            <w:r w:rsidRPr="00FF6B9A">
              <w:rPr>
                <w:rFonts w:eastAsiaTheme="minorEastAsia"/>
                <w:color w:themeColor="text1" w:val="000000"/>
                <w:kern w:val="0"/>
              </w:rPr>
              <w:t>资产支持证券</w:t>
            </w:r>
          </w:p>
        </w:tc>
        <w:tc>
          <w:tcPr>
            <w:tcW w:type="dxa" w:w="2977"/>
            <w:vAlign w:val="center"/>
          </w:tcPr>
          <w:p w14:paraId="3CF84DD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1CCF9364"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r w:rsidRPr="00FF6B9A">
              <w:rPr>
                <w:rFonts w:eastAsiaTheme="minorEastAsia"/>
                <w:color w:themeColor="text1" w:val="000000"/>
                <w:kern w:val="0"/>
              </w:rPr>
              <w:lastRenderedPageBreak/>
              <w:t>-</w:t>
            </w:r>
          </w:p>
        </w:tc>
      </w:tr>
      <w:tr w14:paraId="3F449325" w14:textId="77777777" w:rsidR="00D06738" w:rsidRPr="00FF6B9A">
        <w:trPr>
          <w:jc w:val="center"/>
        </w:trPr>
        <w:tc>
          <w:tcPr>
            <w:tcW w:type="dxa" w:w="720"/>
          </w:tcPr>
          <w:p w14:paraId="1EE609C8"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lastRenderedPageBreak/>
              <w:t>3</w:t>
            </w:r>
          </w:p>
        </w:tc>
        <w:tc>
          <w:tcPr>
            <w:tcW w:type="dxa" w:w="3357"/>
          </w:tcPr>
          <w:p w14:paraId="7A120390" w14:textId="77777777" w:rsidR="00D06738" w:rsidRDefault="00454D20" w:rsidRPr="00FF6B9A">
            <w:pPr>
              <w:spacing w:before="29" w:line="360" w:lineRule="auto"/>
              <w:ind w:left="105" w:leftChars="50"/>
              <w:rPr>
                <w:rFonts w:eastAsiaTheme="minorEastAsia"/>
                <w:color w:themeColor="text1" w:val="000000"/>
                <w:kern w:val="0"/>
              </w:rPr>
            </w:pPr>
            <w:r w:rsidRPr="00FF6B9A">
              <w:rPr>
                <w:rFonts w:eastAsiaTheme="minorEastAsia"/>
                <w:color w:themeColor="text1" w:val="000000"/>
                <w:kern w:val="0"/>
              </w:rPr>
              <w:t>贵金属投资</w:t>
            </w:r>
          </w:p>
        </w:tc>
        <w:tc>
          <w:tcPr>
            <w:tcW w:type="dxa" w:w="2977"/>
            <w:vAlign w:val="center"/>
          </w:tcPr>
          <w:p w14:paraId="201F973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76F8BBA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0209BD0" w14:textId="77777777" w:rsidR="00D06738" w:rsidRPr="00FF6B9A">
        <w:trPr>
          <w:jc w:val="center"/>
        </w:trPr>
        <w:tc>
          <w:tcPr>
            <w:tcW w:type="dxa" w:w="720"/>
            <w:vAlign w:val="center"/>
          </w:tcPr>
          <w:p w14:paraId="44CDCE6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4</w:t>
            </w:r>
          </w:p>
        </w:tc>
        <w:tc>
          <w:tcPr>
            <w:tcW w:type="dxa" w:w="3357"/>
            <w:vAlign w:val="center"/>
          </w:tcPr>
          <w:p w14:paraId="26733435"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金融衍生</w:t>
            </w:r>
            <w:proofErr w:type="gramStart"/>
            <w:r w:rsidRPr="00FF6B9A">
              <w:rPr>
                <w:rFonts w:eastAsiaTheme="minorEastAsia"/>
                <w:color w:themeColor="text1" w:val="000000"/>
                <w:kern w:val="0"/>
              </w:rPr>
              <w:t>品投资</w:t>
            </w:r>
            <w:proofErr w:type="gramEnd"/>
          </w:p>
        </w:tc>
        <w:tc>
          <w:tcPr>
            <w:tcW w:type="dxa" w:w="2977"/>
            <w:vAlign w:val="center"/>
          </w:tcPr>
          <w:p w14:paraId="2CA6AE5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117B3EB0"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69083124" w14:textId="77777777" w:rsidR="00D06738" w:rsidRPr="00FF6B9A">
        <w:trPr>
          <w:jc w:val="center"/>
        </w:trPr>
        <w:tc>
          <w:tcPr>
            <w:tcW w:type="dxa" w:w="720"/>
            <w:vAlign w:val="center"/>
          </w:tcPr>
          <w:p w14:paraId="3E06450B"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5</w:t>
            </w:r>
          </w:p>
        </w:tc>
        <w:tc>
          <w:tcPr>
            <w:tcW w:type="dxa" w:w="3357"/>
            <w:vAlign w:val="center"/>
          </w:tcPr>
          <w:p w14:paraId="11937F9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买入返售金融资产</w:t>
            </w:r>
          </w:p>
        </w:tc>
        <w:tc>
          <w:tcPr>
            <w:tcW w:type="dxa" w:w="2977"/>
            <w:vAlign w:val="center"/>
          </w:tcPr>
          <w:p w14:paraId="6293112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3F06200C"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5EFCF5A8" w14:textId="77777777" w:rsidR="00D06738" w:rsidRPr="00FF6B9A">
        <w:trPr>
          <w:jc w:val="center"/>
        </w:trPr>
        <w:tc>
          <w:tcPr>
            <w:tcW w:type="dxa" w:w="720"/>
            <w:vAlign w:val="center"/>
          </w:tcPr>
          <w:p w14:paraId="7A522889"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3CEA16A4"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其中：买断式回购的买入返售金融资产</w:t>
            </w:r>
          </w:p>
        </w:tc>
        <w:tc>
          <w:tcPr>
            <w:tcW w:type="dxa" w:w="2977"/>
            <w:vAlign w:val="center"/>
          </w:tcPr>
          <w:p w14:paraId="7B73699E"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c>
          <w:tcPr>
            <w:tcW w:type="dxa" w:w="1843"/>
            <w:vAlign w:val="center"/>
          </w:tcPr>
          <w:p w14:paraId="15A7BCA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786251D7" w14:textId="77777777" w:rsidR="00D06738" w:rsidRPr="00FF6B9A">
        <w:trPr>
          <w:jc w:val="center"/>
        </w:trPr>
        <w:tc>
          <w:tcPr>
            <w:tcW w:type="dxa" w:w="720"/>
            <w:vAlign w:val="center"/>
          </w:tcPr>
          <w:p w14:paraId="2969279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6</w:t>
            </w:r>
          </w:p>
        </w:tc>
        <w:tc>
          <w:tcPr>
            <w:tcW w:type="dxa" w:w="3357"/>
            <w:vAlign w:val="center"/>
          </w:tcPr>
          <w:p w14:paraId="421FB0F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银行存款和结算备付金合计</w:t>
            </w:r>
          </w:p>
        </w:tc>
        <w:tc>
          <w:tcPr>
            <w:tcW w:type="dxa" w:w="2977"/>
            <w:vAlign w:val="center"/>
          </w:tcPr>
          <w:p w14:paraId="54D555B7"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120,652,771.48</w:t>
            </w:r>
          </w:p>
        </w:tc>
        <w:tc>
          <w:tcPr>
            <w:tcW w:type="dxa" w:w="1843"/>
            <w:vAlign w:val="center"/>
          </w:tcPr>
          <w:p w14:paraId="174620B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r w:rsidRPr="00FF6B9A">
              <w:rPr>
                <w:rFonts w:eastAsiaTheme="minorEastAsia"/>
                <w:color w:themeColor="text1" w:val="000000"/>
                <w:kern w:val="0"/>
              </w:rPr>
              <w:lastRenderedPageBreak/>
              <w:t>18.30</w:t>
            </w:r>
          </w:p>
        </w:tc>
      </w:tr>
      <w:tr w14:paraId="42ECF5E1" w14:textId="77777777" w:rsidR="00D06738" w:rsidRPr="00FF6B9A">
        <w:trPr>
          <w:jc w:val="center"/>
        </w:trPr>
        <w:tc>
          <w:tcPr>
            <w:tcW w:type="dxa" w:w="720"/>
            <w:vAlign w:val="center"/>
          </w:tcPr>
          <w:p w14:paraId="59AA2BC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7</w:t>
            </w:r>
          </w:p>
        </w:tc>
        <w:tc>
          <w:tcPr>
            <w:tcW w:type="dxa" w:w="3357"/>
            <w:vAlign w:val="center"/>
          </w:tcPr>
          <w:p w14:paraId="705D6B78" w14:textId="77777777" w:rsidR="00D06738" w:rsidRDefault="00454D20" w:rsidRPr="00FF6B9A">
            <w:pPr>
              <w:jc w:val="left"/>
              <w:rPr>
                <w:rFonts w:eastAsiaTheme="minorEastAsia"/>
                <w:color w:themeColor="text1" w:val="000000"/>
                <w:kern w:val="0"/>
              </w:rPr>
            </w:pPr>
            <w:r w:rsidRPr="00FF6B9A">
              <w:rPr>
                <w:rFonts w:eastAsiaTheme="minorEastAsia"/>
                <w:color w:themeColor="text1" w:val="000000"/>
                <w:kern w:val="0"/>
              </w:rPr>
              <w:t>其他各项资产</w:t>
            </w:r>
          </w:p>
        </w:tc>
        <w:tc>
          <w:tcPr>
            <w:tcW w:type="dxa" w:w="2977"/>
            <w:vAlign w:val="center"/>
          </w:tcPr>
          <w:p w14:paraId="4AF0CB10"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371,798.52</w:t>
            </w:r>
          </w:p>
        </w:tc>
        <w:tc>
          <w:tcPr>
            <w:tcW w:type="dxa" w:w="1843"/>
            <w:vAlign w:val="center"/>
          </w:tcPr>
          <w:p w14:paraId="12AAF10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0.06</w:t>
            </w:r>
          </w:p>
        </w:tc>
      </w:tr>
      <w:tr w14:paraId="4D6FFA71" w14:textId="77777777" w:rsidR="00D06738" w:rsidRPr="00FF6B9A">
        <w:trPr>
          <w:jc w:val="center"/>
        </w:trPr>
        <w:tc>
          <w:tcPr>
            <w:tcW w:type="dxa" w:w="720"/>
            <w:vAlign w:val="center"/>
          </w:tcPr>
          <w:p w14:paraId="17A180E6"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8</w:t>
            </w:r>
          </w:p>
        </w:tc>
        <w:tc>
          <w:tcPr>
            <w:tcW w:type="dxa" w:w="3357"/>
            <w:vAlign w:val="center"/>
          </w:tcPr>
          <w:p w14:paraId="29DAA7F6" w14:textId="77777777" w:rsidR="00D06738" w:rsidRDefault="00454D20" w:rsidRPr="00FF6B9A">
            <w:pPr>
              <w:jc w:val="left"/>
              <w:rPr>
                <w:rFonts w:eastAsiaTheme="minorEastAsia"/>
                <w:color w:themeColor="text1" w:val="000000"/>
                <w:kern w:val="0"/>
              </w:rPr>
            </w:pPr>
            <w:r w:rsidRPr="00FF6B9A">
              <w:rPr>
                <w:rFonts w:eastAsiaTheme="minorEastAsia"/>
                <w:color w:themeColor="text1" w:val="000000"/>
                <w:kern w:val="0"/>
              </w:rPr>
              <w:t>合计</w:t>
            </w:r>
          </w:p>
        </w:tc>
        <w:tc>
          <w:tcPr>
            <w:tcW w:type="dxa" w:w="2977"/>
            <w:vAlign w:val="center"/>
          </w:tcPr>
          <w:p w14:paraId="446A48E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659,260,883.94</w:t>
            </w:r>
          </w:p>
        </w:tc>
        <w:tc>
          <w:tcPr>
            <w:tcW w:type="dxa" w:w="1843"/>
            <w:vAlign w:val="center"/>
          </w:tcPr>
          <w:p w14:paraId="3C7AC8A3"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100.00</w:t>
            </w:r>
          </w:p>
        </w:tc>
      </w:tr>
    </w:tbl>
    <w:p w14:paraId="6175743F" w14:textId="77777777" w:rsidR="00D06738" w:rsidRDefault="00D06738" w:rsidRPr="00FF6B9A">
      <w:pPr>
        <w:autoSpaceDE w:val="0"/>
        <w:autoSpaceDN w:val="0"/>
        <w:adjustRightInd w:val="0"/>
        <w:spacing w:line="360" w:lineRule="auto"/>
        <w:jc w:val="left"/>
        <w:rPr>
          <w:rFonts w:eastAsiaTheme="minorEastAsia"/>
          <w:color w:themeColor="text1" w:val="000000"/>
          <w:sz w:val="24"/>
          <w:szCs w:val="24"/>
        </w:rPr>
      </w:pPr>
    </w:p>
    <w:p w14:paraId="71F975B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5.2 </w:t>
      </w:r>
      <w:r w:rsidRPr="00FF6B9A">
        <w:rPr>
          <w:rFonts w:eastAsiaTheme="minorEastAsia"/>
          <w:b/>
          <w:bCs/>
          <w:color w:themeColor="text1" w:val="000000"/>
          <w:kern w:val="0"/>
          <w:sz w:val="24"/>
          <w:szCs w:val="24"/>
        </w:rPr>
        <w:t>报告期末按行业分类的股票投资组合</w:t>
      </w:r>
    </w:p>
    <w:p w14:paraId="0A24FB38" w14:textId="77777777" w:rsidR="00D06738" w:rsidRDefault="00454D20" w:rsidRPr="00FF6B9A">
      <w:pPr>
        <w:rPr>
          <w:b/>
        </w:rPr>
      </w:pPr>
      <w:r w:rsidRPr="00FF6B9A">
        <w:rPr>
          <w:b/>
          <w:color w:themeColor="text1" w:val="000000"/>
        </w:rPr>
        <w:t/>
      </w:r>
      <w:proofErr w:type="spellStart"/>
      <w:r w:rsidRPr="00FF6B9A">
        <w:rPr>
          <w:b/>
          <w:color w:themeColor="text1" w:val="000000"/>
        </w:rPr>
        <w:t/>
      </w:r>
      <w:proofErr w:type="spellEnd"/>
      <w:r w:rsidRPr="00FF6B9A">
        <w:rPr>
          <w:b/>
          <w:color w:themeColor="text1" w:val="000000"/>
        </w:rPr>
        <w:t/>
      </w:r>
      <w:r w:rsidRPr="00FF6B9A">
        <w:rPr>
          <w:rFonts w:eastAsiaTheme="minorEastAsia"/>
          <w:b/>
          <w:color w:themeColor="text1" w:val="000000"/>
          <w:kern w:val="0"/>
        </w:rPr>
        <w:t>5.2.1</w:t>
      </w:r>
      <w:r w:rsidRPr="00FF6B9A">
        <w:rPr>
          <w:rFonts w:eastAsiaTheme="minor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rsidRPr="00FF6B9A">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代码</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占基金资产净值比例（％）</w:t>
            </w:r>
          </w:p>
        </w:tc>
      </w:tr>
      <w:tr w14:paraId="651FF96F"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2B8EF369"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p w14:paraId="72CB0322" w14:textId="77777777" w:rsidR="00D06738" w:rsidRDefault="00D06738" w:rsidRPr="00FF6B9A">
            <w:pPr>
              <w:jc w:val="right"/>
              <w:rPr>
                <w:rFonts w:eastAsia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p w14:paraId="5DCD6455" w14:textId="77777777" w:rsidR="00D06738" w:rsidRDefault="00D06738" w:rsidRPr="00FF6B9A">
            <w:pPr>
              <w:jc w:val="right"/>
              <w:rPr>
                <w:rFonts w:eastAsiaTheme="minorEastAsia"/>
                <w:color w:themeColor="text1" w:val="000000"/>
                <w:kern w:val="0"/>
              </w:rPr>
            </w:pPr>
          </w:p>
        </w:tc>
      </w:tr>
      <w:tr w14:paraId="3470B292"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429,127,995.24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65.56</w:t>
            </w:r>
          </w:p>
        </w:tc>
      </w:tr>
      <w:tr w14:paraId="53F8CFE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13,020.39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0.00</w:t>
            </w:r>
          </w:p>
        </w:tc>
      </w:tr>
      <w:tr w14:paraId="1B8429A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803,371.37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0.12</w:t>
            </w:r>
          </w:p>
        </w:tc>
      </w:tr>
      <w:tr w14:paraId="25A56BDE"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306,699.54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0.05</w:t>
            </w:r>
          </w:p>
        </w:tc>
      </w:tr>
      <w:tr w14:paraId="68AD7C4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w:t>
            </w:r>
          </w:p>
        </w:tc>
      </w:tr>
      <w:tr w14:paraId="545862F1"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EB68E1B"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172,710.27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0.03</w:t>
            </w:r>
          </w:p>
        </w:tc>
      </w:tr>
      <w:tr w14:paraId="379675A7"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58,430,387.61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8.93</w:t>
            </w:r>
          </w:p>
        </w:tc>
      </w:tr>
      <w:tr w14:paraId="3FE1377D"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66630310"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30,294,194.70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4.63</w:t>
            </w:r>
          </w:p>
        </w:tc>
      </w:tr>
      <w:tr w14:paraId="07EC249A"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19,082,527.17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2.92</w:t>
            </w:r>
          </w:p>
        </w:tc>
      </w:tr>
      <w:tr w14:paraId="69D921F3"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5,407.65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0.00</w:t>
            </w:r>
          </w:p>
        </w:tc>
      </w:tr>
      <w:tr w14:paraId="090E46DF"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kern w:val="0"/>
              </w:rPr>
              <w:lastRenderedPageBreak/>
              <w:t/>
            </w:r>
            <w:proofErr w:type="spellEnd"/>
            <w:r w:rsidRPr="00FF6B9A">
              <w:rPr>
                <w:rFonts w:eastAsiaTheme="minorEastAsia"/>
                <w:color w:themeColor="text1" w:val="000000"/>
                <w:kern w:val="0"/>
              </w:rPr>
              <w:t>-</w:t>
            </w:r>
          </w:p>
        </w:tc>
      </w:tr>
      <w:tr w14:paraId="684B91C8"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58A809B6"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0C10CFD7"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78F46200"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5AD397BD"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rsidRPr="00FF6B9A">
            <w:pPr>
              <w:adjustRightInd w:val="0"/>
              <w:snapToGrid w:val="0"/>
              <w:spacing w:line="400" w:lineRule="exact"/>
              <w:jc w:val="center"/>
              <w:rPr>
                <w:rFonts w:eastAsia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538,236,313.94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82.22</w:t>
            </w:r>
          </w:p>
        </w:tc>
      </w:tr>
    </w:tbl>
    <w:p w14:paraId="0F45C821"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0B00694" w14:textId="77777777" w:rsidP="00FF6B9A" w:rsidR="00FF6B9A" w:rsidRDefault="00FF6B9A" w:rsidRPr="00FF6B9A">
      <w:pPr>
        <w:spacing w:line="360" w:lineRule="auto"/>
        <w:rPr>
          <w:rFonts w:eastAsiaTheme="minorEastAsia"/>
          <w:sz w:val="24"/>
          <w:szCs w:val="24"/>
        </w:rPr>
      </w:pPr>
      <w:bookmarkStart w:id="3"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type="auto" w:w="0"/>
        <w:tblLayout w:type="fixed"/>
        <w:tblLook w:firstColumn="1" w:firstRow="1" w:lastColumn="0" w:lastRow="0" w:noHBand="0" w:noVBand="1" w:val="04A0"/>
      </w:tblPr>
      <w:tblGrid>
        <w:gridCol w:w="817"/>
        <w:gridCol w:w="1276"/>
        <w:gridCol w:w="1701"/>
        <w:gridCol w:w="1276"/>
        <w:gridCol w:w="1842"/>
        <w:gridCol w:w="1616"/>
      </w:tblGrid>
      <w:tr w14:paraId="6EFFF3EB" w14:textId="77777777" w:rsidR="00FF6B9A" w:rsidRPr="00FF6B9A" w:rsidTr="00D913A1">
        <w:tc>
          <w:tcPr>
            <w:tcW w:type="dxa" w:w="817"/>
            <w:vAlign w:val="center"/>
          </w:tcPr>
          <w:p w14:paraId="3BF93561"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type="dxa" w:w="1276"/>
            <w:vAlign w:val="center"/>
          </w:tcPr>
          <w:p w14:paraId="6281AD5E"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type="dxa" w:w="1701"/>
            <w:vAlign w:val="center"/>
          </w:tcPr>
          <w:p w14:paraId="23E4D4E7"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type="dxa" w:w="1276"/>
            <w:vAlign w:val="center"/>
          </w:tcPr>
          <w:p w14:paraId="1CC86F06"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type="dxa" w:w="1842"/>
            <w:vAlign w:val="center"/>
          </w:tcPr>
          <w:p w14:paraId="5057E922" w14:textId="77777777" w:rsidP="00D913A1" w:rsidR="00FF6B9A" w:rsidRDefault="00FF6B9A" w:rsidRPr="00FF6B9A">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type="dxa" w:w="1616"/>
            <w:vAlign w:val="center"/>
          </w:tcPr>
          <w:p w14:paraId="5797A0C8"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tc>
          <w:tcPr>
            <w:vAlign w:val="center"/>
          </w:tcPr>
          <w:p>
            <w:pPr>
              <w:jc w:val="center"/>
            </w:pPr>
            <w:r>
              <w:rPr>
                <w:rFonts w:eastAsiaTheme="minorEastAsia"/>
                <w:kern w:val="0"/>
                <w:sz w:val="24"/>
                <w:szCs w:val="24"/>
              </w:rPr>
              <w:t>1</w:t>
            </w:r>
          </w:p>
        </w:tc>
        <w:tc>
          <w:tcPr>
            <w:vAlign w:val="center"/>
          </w:tcPr>
          <w:p>
            <w:pPr>
              <w:jc w:val="center"/>
            </w:pPr>
            <w:r>
              <w:rPr>
                <w:rFonts w:eastAsiaTheme="minorEastAsia"/>
                <w:kern w:val="0"/>
                <w:sz w:val="24"/>
                <w:szCs w:val="24"/>
              </w:rPr>
              <w:t>600519</w:t>
            </w:r>
          </w:p>
        </w:tc>
        <w:tc>
          <w:tcPr>
            <w:vAlign w:val="center"/>
          </w:tcPr>
          <w:p>
            <w:pPr>
              <w:jc w:val="center"/>
            </w:pPr>
            <w:r>
              <w:rPr>
                <w:rFonts w:eastAsiaTheme="minorEastAsia"/>
                <w:kern w:val="0"/>
                <w:sz w:val="24"/>
                <w:szCs w:val="24"/>
              </w:rPr>
              <w:t>贵州茅台</w:t>
            </w:r>
          </w:p>
        </w:tc>
        <w:tc>
          <w:tcPr>
            <w:vAlign w:val="center"/>
          </w:tcPr>
          <w:p>
            <w:pPr>
              <w:jc w:val="right"/>
            </w:pPr>
            <w:r>
              <w:rPr>
                <w:rFonts w:eastAsiaTheme="minorEastAsia"/>
                <w:kern w:val="0"/>
                <w:sz w:val="24"/>
                <w:szCs w:val="24"/>
              </w:rPr>
              <w:t>22,903.00</w:t>
            </w:r>
          </w:p>
        </w:tc>
        <w:tc>
          <w:tcPr>
            <w:vAlign w:val="center"/>
          </w:tcPr>
          <w:p>
            <w:pPr>
              <w:jc w:val="right"/>
            </w:pPr>
            <w:r>
              <w:rPr>
                <w:rFonts w:eastAsiaTheme="minorEastAsia"/>
                <w:kern w:val="0"/>
                <w:sz w:val="24"/>
                <w:szCs w:val="24"/>
              </w:rPr>
              <w:t>47,104,600.10</w:t>
            </w:r>
          </w:p>
        </w:tc>
        <w:tc>
          <w:tcPr>
            <w:vAlign w:val="center"/>
          </w:tcPr>
          <w:p>
            <w:pPr>
              <w:jc w:val="right"/>
            </w:pPr>
            <w:r>
              <w:rPr>
                <w:rFonts w:eastAsiaTheme="minorEastAsia"/>
                <w:kern w:val="0"/>
                <w:sz w:val="24"/>
                <w:szCs w:val="24"/>
              </w:rPr>
              <w:t>7.20</w:t>
            </w:r>
          </w:p>
        </w:tc>
      </w:tr>
      <w:tr>
        <w:tc>
          <w:tcPr>
            <w:vAlign w:val="center"/>
          </w:tcPr>
          <w:p>
            <w:pPr>
              <w:jc w:val="center"/>
            </w:pPr>
            <w:r>
              <w:rPr>
                <w:rFonts w:eastAsiaTheme="minorEastAsia"/>
                <w:kern w:val="0"/>
                <w:sz w:val="24"/>
                <w:szCs w:val="24"/>
              </w:rPr>
              <w:t>2</w:t>
            </w:r>
          </w:p>
        </w:tc>
        <w:tc>
          <w:tcPr>
            <w:vAlign w:val="center"/>
          </w:tcPr>
          <w:p>
            <w:pPr>
              <w:jc w:val="center"/>
            </w:pPr>
            <w:r>
              <w:rPr>
                <w:rFonts w:eastAsiaTheme="minorEastAsia"/>
                <w:kern w:val="0"/>
                <w:sz w:val="24"/>
                <w:szCs w:val="24"/>
              </w:rPr>
              <w:t>300750</w:t>
            </w:r>
          </w:p>
        </w:tc>
        <w:tc>
          <w:tcPr>
            <w:vAlign w:val="center"/>
          </w:tcPr>
          <w:p>
            <w:pPr>
              <w:jc w:val="center"/>
            </w:pPr>
            <w:r>
              <w:rPr>
                <w:rFonts w:eastAsiaTheme="minorEastAsia"/>
                <w:kern w:val="0"/>
                <w:sz w:val="24"/>
                <w:szCs w:val="24"/>
              </w:rPr>
              <w:t>宁德时代</w:t>
            </w:r>
          </w:p>
        </w:tc>
        <w:tc>
          <w:tcPr>
            <w:vAlign w:val="center"/>
          </w:tcPr>
          <w:p>
            <w:pPr>
              <w:jc w:val="right"/>
            </w:pPr>
            <w:r>
              <w:rPr>
                <w:rFonts w:eastAsiaTheme="minorEastAsia"/>
                <w:kern w:val="0"/>
                <w:sz w:val="24"/>
                <w:szCs w:val="24"/>
              </w:rPr>
              <w:t>79,054.00</w:t>
            </w:r>
          </w:p>
        </w:tc>
        <w:tc>
          <w:tcPr>
            <w:vAlign w:val="center"/>
          </w:tcPr>
          <w:p>
            <w:pPr>
              <w:jc w:val="right"/>
            </w:pPr>
            <w:r>
              <w:rPr>
                <w:rFonts w:eastAsiaTheme="minorEastAsia"/>
                <w:kern w:val="0"/>
                <w:sz w:val="24"/>
                <w:szCs w:val="24"/>
              </w:rPr>
              <w:t>42,278,079.20</w:t>
            </w:r>
          </w:p>
        </w:tc>
        <w:tc>
          <w:tcPr>
            <w:vAlign w:val="center"/>
          </w:tcPr>
          <w:p>
            <w:pPr>
              <w:jc w:val="right"/>
            </w:pPr>
            <w:r>
              <w:rPr>
                <w:rFonts w:eastAsiaTheme="minorEastAsia"/>
                <w:kern w:val="0"/>
                <w:sz w:val="24"/>
                <w:szCs w:val="24"/>
              </w:rPr>
              <w:t>6.46</w:t>
            </w:r>
          </w:p>
        </w:tc>
      </w:tr>
      <w:tr>
        <w:tc>
          <w:tcPr>
            <w:vAlign w:val="center"/>
          </w:tcPr>
          <w:p>
            <w:pPr>
              <w:jc w:val="center"/>
            </w:pPr>
            <w:r>
              <w:rPr>
                <w:rFonts w:eastAsiaTheme="minorEastAsia"/>
                <w:kern w:val="0"/>
                <w:sz w:val="24"/>
                <w:szCs w:val="24"/>
              </w:rPr>
              <w:t>3</w:t>
            </w:r>
          </w:p>
        </w:tc>
        <w:tc>
          <w:tcPr>
            <w:vAlign w:val="center"/>
          </w:tcPr>
          <w:p>
            <w:pPr>
              <w:jc w:val="center"/>
            </w:pPr>
            <w:r>
              <w:rPr>
                <w:rFonts w:eastAsiaTheme="minorEastAsia"/>
                <w:kern w:val="0"/>
                <w:sz w:val="24"/>
                <w:szCs w:val="24"/>
              </w:rPr>
              <w:t>000858</w:t>
            </w:r>
          </w:p>
        </w:tc>
        <w:tc>
          <w:tcPr>
            <w:vAlign w:val="center"/>
          </w:tcPr>
          <w:p>
            <w:pPr>
              <w:jc w:val="center"/>
            </w:pPr>
            <w:r>
              <w:rPr>
                <w:rFonts w:eastAsiaTheme="minorEastAsia"/>
                <w:kern w:val="0"/>
                <w:sz w:val="24"/>
                <w:szCs w:val="24"/>
              </w:rPr>
              <w:t>五粮液</w:t>
            </w:r>
          </w:p>
        </w:tc>
        <w:tc>
          <w:tcPr>
            <w:vAlign w:val="center"/>
          </w:tcPr>
          <w:p>
            <w:pPr>
              <w:jc w:val="right"/>
            </w:pPr>
            <w:r>
              <w:rPr>
                <w:rFonts w:eastAsiaTheme="minorEastAsia"/>
                <w:kern w:val="0"/>
                <w:sz w:val="24"/>
                <w:szCs w:val="24"/>
              </w:rPr>
              <w:t>130,652.00</w:t>
            </w:r>
          </w:p>
        </w:tc>
        <w:tc>
          <w:tcPr>
            <w:vAlign w:val="center"/>
          </w:tcPr>
          <w:p>
            <w:pPr>
              <w:jc w:val="right"/>
            </w:pPr>
            <w:r>
              <w:rPr>
                <w:rFonts w:eastAsiaTheme="minorEastAsia"/>
                <w:kern w:val="0"/>
                <w:sz w:val="24"/>
                <w:szCs w:val="24"/>
              </w:rPr>
              <w:t>38,919,924.28</w:t>
            </w:r>
          </w:p>
        </w:tc>
        <w:tc>
          <w:tcPr>
            <w:vAlign w:val="center"/>
          </w:tcPr>
          <w:p>
            <w:pPr>
              <w:jc w:val="right"/>
            </w:pPr>
            <w:r>
              <w:rPr>
                <w:rFonts w:eastAsiaTheme="minorEastAsia"/>
                <w:kern w:val="0"/>
                <w:sz w:val="24"/>
                <w:szCs w:val="24"/>
              </w:rPr>
              <w:t>5.95</w:t>
            </w:r>
          </w:p>
        </w:tc>
      </w:tr>
      <w:tr>
        <w:tc>
          <w:tcPr>
            <w:vAlign w:val="center"/>
          </w:tcPr>
          <w:p>
            <w:pPr>
              <w:jc w:val="center"/>
            </w:pPr>
            <w:r>
              <w:rPr>
                <w:rFonts w:eastAsiaTheme="minorEastAsia"/>
                <w:kern w:val="0"/>
                <w:sz w:val="24"/>
                <w:szCs w:val="24"/>
              </w:rPr>
              <w:t>4</w:t>
            </w:r>
          </w:p>
        </w:tc>
        <w:tc>
          <w:tcPr>
            <w:vAlign w:val="center"/>
          </w:tcPr>
          <w:p>
            <w:pPr>
              <w:jc w:val="center"/>
            </w:pPr>
            <w:r>
              <w:rPr>
                <w:rFonts w:eastAsiaTheme="minorEastAsia"/>
                <w:kern w:val="0"/>
                <w:sz w:val="24"/>
                <w:szCs w:val="24"/>
              </w:rPr>
              <w:t>300760</w:t>
            </w:r>
          </w:p>
        </w:tc>
        <w:tc>
          <w:tcPr>
            <w:vAlign w:val="center"/>
          </w:tcPr>
          <w:p>
            <w:pPr>
              <w:jc w:val="center"/>
            </w:pPr>
            <w:r>
              <w:rPr>
                <w:rFonts w:eastAsiaTheme="minorEastAsia"/>
                <w:kern w:val="0"/>
                <w:sz w:val="24"/>
                <w:szCs w:val="24"/>
              </w:rPr>
              <w:t>迈瑞医疗</w:t>
            </w:r>
          </w:p>
        </w:tc>
        <w:tc>
          <w:tcPr>
            <w:vAlign w:val="center"/>
          </w:tcPr>
          <w:p>
            <w:pPr>
              <w:jc w:val="right"/>
            </w:pPr>
            <w:r>
              <w:rPr>
                <w:rFonts w:eastAsiaTheme="minorEastAsia"/>
                <w:kern w:val="0"/>
                <w:sz w:val="24"/>
                <w:szCs w:val="24"/>
              </w:rPr>
              <w:t>76,675.00</w:t>
            </w:r>
          </w:p>
        </w:tc>
        <w:tc>
          <w:tcPr>
            <w:vAlign w:val="center"/>
          </w:tcPr>
          <w:p>
            <w:pPr>
              <w:jc w:val="right"/>
            </w:pPr>
            <w:r>
              <w:rPr>
                <w:rFonts w:eastAsiaTheme="minorEastAsia"/>
                <w:kern w:val="0"/>
                <w:sz w:val="24"/>
                <w:szCs w:val="24"/>
              </w:rPr>
              <w:t>36,807,833.75</w:t>
            </w:r>
          </w:p>
        </w:tc>
        <w:tc>
          <w:tcPr>
            <w:vAlign w:val="center"/>
          </w:tcPr>
          <w:p>
            <w:pPr>
              <w:jc w:val="right"/>
            </w:pPr>
            <w:r>
              <w:rPr>
                <w:rFonts w:eastAsiaTheme="minorEastAsia"/>
                <w:kern w:val="0"/>
                <w:sz w:val="24"/>
                <w:szCs w:val="24"/>
              </w:rPr>
              <w:t>5.62</w:t>
            </w:r>
          </w:p>
        </w:tc>
      </w:tr>
      <w:tr>
        <w:tc>
          <w:tcPr>
            <w:vAlign w:val="center"/>
          </w:tcPr>
          <w:p>
            <w:pPr>
              <w:jc w:val="center"/>
            </w:pPr>
            <w:r>
              <w:rPr>
                <w:rFonts w:eastAsiaTheme="minorEastAsia"/>
                <w:kern w:val="0"/>
                <w:sz w:val="24"/>
                <w:szCs w:val="24"/>
              </w:rPr>
              <w:t>5</w:t>
            </w:r>
          </w:p>
        </w:tc>
        <w:tc>
          <w:tcPr>
            <w:vAlign w:val="center"/>
          </w:tcPr>
          <w:p>
            <w:pPr>
              <w:jc w:val="center"/>
            </w:pPr>
            <w:r>
              <w:rPr>
                <w:rFonts w:eastAsiaTheme="minorEastAsia"/>
                <w:kern w:val="0"/>
                <w:sz w:val="24"/>
                <w:szCs w:val="24"/>
              </w:rPr>
              <w:t>603501</w:t>
            </w:r>
          </w:p>
        </w:tc>
        <w:tc>
          <w:tcPr>
            <w:vAlign w:val="center"/>
          </w:tcPr>
          <w:p>
            <w:pPr>
              <w:jc w:val="center"/>
            </w:pPr>
            <w:r>
              <w:rPr>
                <w:rFonts w:eastAsiaTheme="minorEastAsia"/>
                <w:kern w:val="0"/>
                <w:sz w:val="24"/>
                <w:szCs w:val="24"/>
              </w:rPr>
              <w:t>韦尔股份</w:t>
            </w:r>
          </w:p>
        </w:tc>
        <w:tc>
          <w:tcPr>
            <w:vAlign w:val="center"/>
          </w:tcPr>
          <w:p>
            <w:pPr>
              <w:jc w:val="right"/>
            </w:pPr>
            <w:r>
              <w:rPr>
                <w:rFonts w:eastAsiaTheme="minorEastAsia"/>
                <w:kern w:val="0"/>
                <w:sz w:val="24"/>
                <w:szCs w:val="24"/>
              </w:rPr>
              <w:t>103,201.00</w:t>
            </w:r>
          </w:p>
        </w:tc>
        <w:tc>
          <w:tcPr>
            <w:vAlign w:val="center"/>
          </w:tcPr>
          <w:p>
            <w:pPr>
              <w:jc w:val="right"/>
            </w:pPr>
            <w:r>
              <w:rPr>
                <w:rFonts w:eastAsiaTheme="minorEastAsia"/>
                <w:kern w:val="0"/>
                <w:sz w:val="24"/>
                <w:szCs w:val="24"/>
              </w:rPr>
              <w:t>33,230,722.00</w:t>
            </w:r>
          </w:p>
        </w:tc>
        <w:tc>
          <w:tcPr>
            <w:vAlign w:val="center"/>
          </w:tcPr>
          <w:p>
            <w:pPr>
              <w:jc w:val="right"/>
            </w:pPr>
            <w:r>
              <w:rPr>
                <w:rFonts w:eastAsiaTheme="minorEastAsia"/>
                <w:kern w:val="0"/>
                <w:sz w:val="24"/>
                <w:szCs w:val="24"/>
              </w:rPr>
              <w:t>5.08</w:t>
            </w:r>
          </w:p>
        </w:tc>
      </w:tr>
      <w:tr>
        <w:tc>
          <w:tcPr>
            <w:vAlign w:val="center"/>
          </w:tcPr>
          <w:p>
            <w:pPr>
              <w:jc w:val="center"/>
            </w:pPr>
            <w:r>
              <w:rPr>
                <w:rFonts w:eastAsiaTheme="minorEastAsia"/>
                <w:kern w:val="0"/>
                <w:sz w:val="24"/>
                <w:szCs w:val="24"/>
              </w:rPr>
              <w:t>6</w:t>
            </w:r>
          </w:p>
        </w:tc>
        <w:tc>
          <w:tcPr>
            <w:vAlign w:val="center"/>
          </w:tcPr>
          <w:p>
            <w:pPr>
              <w:jc w:val="center"/>
            </w:pPr>
            <w:r>
              <w:rPr>
                <w:rFonts w:eastAsiaTheme="minorEastAsia"/>
                <w:kern w:val="0"/>
                <w:sz w:val="24"/>
                <w:szCs w:val="24"/>
              </w:rPr>
              <w:t>601888</w:t>
            </w:r>
          </w:p>
        </w:tc>
        <w:tc>
          <w:tcPr>
            <w:vAlign w:val="center"/>
          </w:tcPr>
          <w:p>
            <w:pPr>
              <w:jc w:val="center"/>
            </w:pPr>
            <w:r>
              <w:rPr>
                <w:rFonts w:eastAsiaTheme="minorEastAsia"/>
                <w:kern w:val="0"/>
                <w:sz w:val="24"/>
                <w:szCs w:val="24"/>
              </w:rPr>
              <w:t>中国中免</w:t>
            </w:r>
          </w:p>
        </w:tc>
        <w:tc>
          <w:tcPr>
            <w:vAlign w:val="center"/>
          </w:tcPr>
          <w:p>
            <w:pPr>
              <w:jc w:val="right"/>
            </w:pPr>
            <w:r>
              <w:rPr>
                <w:rFonts w:eastAsiaTheme="minorEastAsia"/>
                <w:kern w:val="0"/>
                <w:sz w:val="24"/>
                <w:szCs w:val="24"/>
              </w:rPr>
              <w:t>100,947.00</w:t>
            </w:r>
          </w:p>
        </w:tc>
        <w:tc>
          <w:tcPr>
            <w:vAlign w:val="center"/>
          </w:tcPr>
          <w:p>
            <w:pPr>
              <w:jc w:val="right"/>
            </w:pPr>
            <w:r>
              <w:rPr>
                <w:rFonts w:eastAsiaTheme="minorEastAsia"/>
                <w:kern w:val="0"/>
                <w:sz w:val="24"/>
                <w:szCs w:val="24"/>
              </w:rPr>
              <w:t>30,294,194.70</w:t>
            </w:r>
          </w:p>
        </w:tc>
        <w:tc>
          <w:tcPr>
            <w:vAlign w:val="center"/>
          </w:tcPr>
          <w:p>
            <w:pPr>
              <w:jc w:val="right"/>
            </w:pPr>
            <w:r>
              <w:rPr>
                <w:rFonts w:eastAsiaTheme="minorEastAsia"/>
                <w:kern w:val="0"/>
                <w:sz w:val="24"/>
                <w:szCs w:val="24"/>
              </w:rPr>
              <w:t>4.63</w:t>
            </w:r>
          </w:p>
        </w:tc>
      </w:tr>
      <w:tr>
        <w:tc>
          <w:tcPr>
            <w:vAlign w:val="center"/>
          </w:tcPr>
          <w:p>
            <w:pPr>
              <w:jc w:val="center"/>
            </w:pPr>
            <w:r>
              <w:rPr>
                <w:rFonts w:eastAsiaTheme="minorEastAsia"/>
                <w:kern w:val="0"/>
                <w:sz w:val="24"/>
                <w:szCs w:val="24"/>
              </w:rPr>
              <w:t>7</w:t>
            </w:r>
          </w:p>
        </w:tc>
        <w:tc>
          <w:tcPr>
            <w:vAlign w:val="center"/>
          </w:tcPr>
          <w:p>
            <w:pPr>
              <w:jc w:val="center"/>
            </w:pPr>
            <w:r>
              <w:rPr>
                <w:rFonts w:eastAsiaTheme="minorEastAsia"/>
                <w:kern w:val="0"/>
                <w:sz w:val="24"/>
                <w:szCs w:val="24"/>
              </w:rPr>
              <w:t>000661</w:t>
            </w:r>
          </w:p>
        </w:tc>
        <w:tc>
          <w:tcPr>
            <w:vAlign w:val="center"/>
          </w:tcPr>
          <w:p>
            <w:pPr>
              <w:jc w:val="center"/>
            </w:pPr>
            <w:r>
              <w:rPr>
                <w:rFonts w:eastAsiaTheme="minorEastAsia"/>
                <w:kern w:val="0"/>
                <w:sz w:val="24"/>
                <w:szCs w:val="24"/>
              </w:rPr>
              <w:t>长春高新</w:t>
            </w:r>
          </w:p>
        </w:tc>
        <w:tc>
          <w:tcPr>
            <w:vAlign w:val="center"/>
          </w:tcPr>
          <w:p>
            <w:pPr>
              <w:jc w:val="right"/>
            </w:pPr>
            <w:r>
              <w:rPr>
                <w:rFonts w:eastAsiaTheme="minorEastAsia"/>
                <w:kern w:val="0"/>
                <w:sz w:val="24"/>
                <w:szCs w:val="24"/>
              </w:rPr>
              <w:t>66,908.00</w:t>
            </w:r>
          </w:p>
        </w:tc>
        <w:tc>
          <w:tcPr>
            <w:vAlign w:val="center"/>
          </w:tcPr>
          <w:p>
            <w:pPr>
              <w:jc w:val="right"/>
            </w:pPr>
            <w:r>
              <w:rPr>
                <w:rFonts w:eastAsiaTheme="minorEastAsia"/>
                <w:kern w:val="0"/>
                <w:sz w:val="24"/>
                <w:szCs w:val="24"/>
              </w:rPr>
              <w:t>25,893,396.00</w:t>
            </w:r>
          </w:p>
        </w:tc>
        <w:tc>
          <w:tcPr>
            <w:vAlign w:val="center"/>
          </w:tcPr>
          <w:p>
            <w:pPr>
              <w:jc w:val="right"/>
            </w:pPr>
            <w:r>
              <w:rPr>
                <w:rFonts w:eastAsiaTheme="minorEastAsia"/>
                <w:kern w:val="0"/>
                <w:sz w:val="24"/>
                <w:szCs w:val="24"/>
              </w:rPr>
              <w:t>3.96</w:t>
            </w:r>
          </w:p>
        </w:tc>
      </w:tr>
      <w:tr>
        <w:tc>
          <w:tcPr>
            <w:vAlign w:val="center"/>
          </w:tcPr>
          <w:p>
            <w:pPr>
              <w:jc w:val="center"/>
            </w:pPr>
            <w:r>
              <w:rPr>
                <w:rFonts w:eastAsiaTheme="minorEastAsia"/>
                <w:kern w:val="0"/>
                <w:sz w:val="24"/>
                <w:szCs w:val="24"/>
              </w:rPr>
              <w:t>8</w:t>
            </w:r>
          </w:p>
        </w:tc>
        <w:tc>
          <w:tcPr>
            <w:vAlign w:val="center"/>
          </w:tcPr>
          <w:p>
            <w:pPr>
              <w:jc w:val="center"/>
            </w:pPr>
            <w:r>
              <w:rPr>
                <w:rFonts w:eastAsiaTheme="minorEastAsia"/>
                <w:kern w:val="0"/>
                <w:sz w:val="24"/>
                <w:szCs w:val="24"/>
              </w:rPr>
              <w:t>600438</w:t>
            </w:r>
          </w:p>
        </w:tc>
        <w:tc>
          <w:tcPr>
            <w:vAlign w:val="center"/>
          </w:tcPr>
          <w:p>
            <w:pPr>
              <w:jc w:val="center"/>
            </w:pPr>
            <w:r>
              <w:rPr>
                <w:rFonts w:eastAsiaTheme="minorEastAsia"/>
                <w:kern w:val="0"/>
                <w:sz w:val="24"/>
                <w:szCs w:val="24"/>
              </w:rPr>
              <w:t>通威股份</w:t>
            </w:r>
          </w:p>
        </w:tc>
        <w:tc>
          <w:tcPr>
            <w:vAlign w:val="center"/>
          </w:tcPr>
          <w:p>
            <w:pPr>
              <w:jc w:val="right"/>
            </w:pPr>
            <w:r>
              <w:rPr>
                <w:rFonts w:eastAsiaTheme="minorEastAsia"/>
                <w:kern w:val="0"/>
                <w:sz w:val="24"/>
                <w:szCs w:val="24"/>
              </w:rPr>
              <w:t>538,403.00</w:t>
            </w:r>
          </w:p>
        </w:tc>
        <w:tc>
          <w:tcPr>
            <w:vAlign w:val="center"/>
          </w:tcPr>
          <w:p>
            <w:pPr>
              <w:jc w:val="right"/>
            </w:pPr>
            <w:r>
              <w:rPr>
                <w:rFonts w:eastAsiaTheme="minorEastAsia"/>
                <w:kern w:val="0"/>
                <w:sz w:val="24"/>
                <w:szCs w:val="24"/>
              </w:rPr>
              <w:t>23,296,697.81</w:t>
            </w:r>
          </w:p>
        </w:tc>
        <w:tc>
          <w:tcPr>
            <w:vAlign w:val="center"/>
          </w:tcPr>
          <w:p>
            <w:pPr>
              <w:jc w:val="right"/>
            </w:pPr>
            <w:r>
              <w:rPr>
                <w:rFonts w:eastAsiaTheme="minorEastAsia"/>
                <w:kern w:val="0"/>
                <w:sz w:val="24"/>
                <w:szCs w:val="24"/>
              </w:rPr>
              <w:t>3.56</w:t>
            </w:r>
          </w:p>
        </w:tc>
      </w:tr>
      <w:tr>
        <w:tc>
          <w:tcPr>
            <w:vAlign w:val="center"/>
          </w:tcPr>
          <w:p>
            <w:pPr>
              <w:jc w:val="center"/>
            </w:pPr>
            <w:r>
              <w:rPr>
                <w:rFonts w:eastAsiaTheme="minorEastAsia"/>
                <w:kern w:val="0"/>
                <w:sz w:val="24"/>
                <w:szCs w:val="24"/>
              </w:rPr>
              <w:t>9</w:t>
            </w:r>
          </w:p>
        </w:tc>
        <w:tc>
          <w:tcPr>
            <w:vAlign w:val="center"/>
          </w:tcPr>
          <w:p>
            <w:pPr>
              <w:jc w:val="center"/>
            </w:pPr>
            <w:r>
              <w:rPr>
                <w:rFonts w:eastAsiaTheme="minorEastAsia"/>
                <w:kern w:val="0"/>
                <w:sz w:val="24"/>
                <w:szCs w:val="24"/>
              </w:rPr>
              <w:t>002142</w:t>
            </w:r>
          </w:p>
        </w:tc>
        <w:tc>
          <w:tcPr>
            <w:vAlign w:val="center"/>
          </w:tcPr>
          <w:p>
            <w:pPr>
              <w:jc w:val="center"/>
            </w:pPr>
            <w:r>
              <w:rPr>
                <w:rFonts w:eastAsiaTheme="minorEastAsia"/>
                <w:kern w:val="0"/>
                <w:sz w:val="24"/>
                <w:szCs w:val="24"/>
              </w:rPr>
              <w:t>宁波银行</w:t>
            </w:r>
          </w:p>
        </w:tc>
        <w:tc>
          <w:tcPr>
            <w:vAlign w:val="center"/>
          </w:tcPr>
          <w:p>
            <w:pPr>
              <w:jc w:val="right"/>
            </w:pPr>
            <w:r>
              <w:rPr>
                <w:rFonts w:eastAsiaTheme="minorEastAsia"/>
                <w:kern w:val="0"/>
                <w:sz w:val="24"/>
                <w:szCs w:val="24"/>
              </w:rPr>
              <w:t>589,702.00</w:t>
            </w:r>
          </w:p>
        </w:tc>
        <w:tc>
          <w:tcPr>
            <w:vAlign w:val="center"/>
          </w:tcPr>
          <w:p>
            <w:pPr>
              <w:jc w:val="right"/>
            </w:pPr>
            <w:r>
              <w:rPr>
                <w:rFonts w:eastAsiaTheme="minorEastAsia"/>
                <w:kern w:val="0"/>
                <w:sz w:val="24"/>
                <w:szCs w:val="24"/>
              </w:rPr>
              <w:t>22,980,686.94</w:t>
            </w:r>
          </w:p>
        </w:tc>
        <w:tc>
          <w:tcPr>
            <w:vAlign w:val="center"/>
          </w:tcPr>
          <w:p>
            <w:pPr>
              <w:jc w:val="right"/>
            </w:pPr>
            <w:r>
              <w:rPr>
                <w:rFonts w:eastAsiaTheme="minorEastAsia"/>
                <w:kern w:val="0"/>
                <w:sz w:val="24"/>
                <w:szCs w:val="24"/>
              </w:rPr>
              <w:t>3.51</w:t>
            </w:r>
          </w:p>
        </w:tc>
      </w:tr>
      <w:tr>
        <w:tc>
          <w:tcPr>
            <w:vAlign w:val="center"/>
          </w:tcPr>
          <w:p>
            <w:pPr>
              <w:jc w:val="center"/>
            </w:pPr>
            <w:r>
              <w:rPr>
                <w:rFonts w:eastAsiaTheme="minorEastAsia"/>
                <w:kern w:val="0"/>
                <w:sz w:val="24"/>
                <w:szCs w:val="24"/>
              </w:rPr>
              <w:t>10</w:t>
            </w:r>
          </w:p>
        </w:tc>
        <w:tc>
          <w:tcPr>
            <w:vAlign w:val="center"/>
          </w:tcPr>
          <w:p>
            <w:pPr>
              <w:jc w:val="center"/>
            </w:pPr>
            <w:r>
              <w:rPr>
                <w:rFonts w:eastAsiaTheme="minorEastAsia"/>
                <w:kern w:val="0"/>
                <w:sz w:val="24"/>
                <w:szCs w:val="24"/>
              </w:rPr>
              <w:t>688169</w:t>
            </w:r>
          </w:p>
        </w:tc>
        <w:tc>
          <w:tcPr>
            <w:vAlign w:val="center"/>
          </w:tcPr>
          <w:p>
            <w:pPr>
              <w:jc w:val="center"/>
            </w:pPr>
            <w:r>
              <w:rPr>
                <w:rFonts w:eastAsiaTheme="minorEastAsia"/>
                <w:kern w:val="0"/>
                <w:sz w:val="24"/>
                <w:szCs w:val="24"/>
              </w:rPr>
              <w:t>石头科技</w:t>
            </w:r>
          </w:p>
        </w:tc>
        <w:tc>
          <w:tcPr>
            <w:vAlign w:val="center"/>
          </w:tcPr>
          <w:p>
            <w:pPr>
              <w:jc w:val="right"/>
            </w:pPr>
            <w:r>
              <w:rPr>
                <w:rFonts w:eastAsiaTheme="minorEastAsia"/>
                <w:kern w:val="0"/>
                <w:sz w:val="24"/>
                <w:szCs w:val="24"/>
              </w:rPr>
              <w:t>17,803.00</w:t>
            </w:r>
          </w:p>
        </w:tc>
        <w:tc>
          <w:tcPr>
            <w:vAlign w:val="center"/>
          </w:tcPr>
          <w:p>
            <w:pPr>
              <w:jc w:val="right"/>
            </w:pPr>
            <w:r>
              <w:rPr>
                <w:rFonts w:eastAsiaTheme="minorEastAsia"/>
                <w:kern w:val="0"/>
                <w:sz w:val="24"/>
                <w:szCs w:val="24"/>
              </w:rPr>
              <w:t>22,449,583.00</w:t>
            </w:r>
          </w:p>
        </w:tc>
        <w:tc>
          <w:tcPr>
            <w:vAlign w:val="center"/>
          </w:tcPr>
          <w:p>
            <w:pPr>
              <w:jc w:val="right"/>
            </w:pPr>
            <w:r>
              <w:rPr>
                <w:rFonts w:eastAsiaTheme="minorEastAsia"/>
                <w:kern w:val="0"/>
                <w:sz w:val="24"/>
                <w:szCs w:val="24"/>
              </w:rPr>
              <w:t>3.43</w:t>
            </w:r>
          </w:p>
        </w:tc>
      </w:tr>
    </w:tbl>
    <w:bookmarkEnd w:id="3"/>
    <w:p w14:paraId="5DBD10B5" w14:textId="77777777" w:rsidR="00D06738" w:rsidRDefault="00D06738" w:rsidRPr="00FF6B9A">
      <w:pPr>
        <w:autoSpaceDE w:val="0"/>
        <w:autoSpaceDN w:val="0"/>
        <w:adjustRightInd w:val="0"/>
        <w:spacing w:line="360" w:lineRule="auto"/>
        <w:jc w:val="left"/>
        <w:rPr>
          <w:rFonts w:eastAsiaTheme="minorEastAsia"/>
          <w:b/>
          <w:bCs/>
          <w:color w:themeColor="text1" w:val="000000"/>
          <w:kern w:val="0"/>
          <w:sz w:val="24"/>
          <w:szCs w:val="24"/>
        </w:rPr>
      </w:pPr>
    </w:p>
    <w:p w14:paraId="3936D236"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5.4 </w:t>
      </w:r>
      <w:r w:rsidRPr="00FF6B9A">
        <w:rPr>
          <w:rFonts w:eastAsiaTheme="minorEastAsia"/>
          <w:b/>
          <w:bCs/>
          <w:color w:themeColor="text1" w:val="000000"/>
          <w:kern w:val="0"/>
          <w:sz w:val="24"/>
          <w:szCs w:val="24"/>
        </w:rPr>
        <w:t>报告期末按债券品种分类的债券投资组合</w:t>
      </w:r>
    </w:p>
    <w:p w14:paraId="19B23906"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本基金本报告期末未持有债券。</w:t>
      </w:r>
    </w:p>
    <w:p w14:paraId="65425732"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D1805F6"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5.5 </w:t>
      </w:r>
      <w:r w:rsidRPr="00FF6B9A">
        <w:rPr>
          <w:rFonts w:eastAsiaTheme="minorEastAsia"/>
          <w:b/>
          <w:bCs/>
          <w:color w:themeColor="text1" w:val="000000"/>
          <w:kern w:val="0"/>
          <w:sz w:val="24"/>
          <w:szCs w:val="24"/>
        </w:rPr>
        <w:t>报告期末按公允价值占基金资产净值比例大小排序的前五名债券投资明细</w:t>
      </w:r>
    </w:p>
    <w:p w14:paraId="06FBBA06"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本基金本报告期末未持有债券。</w:t>
      </w:r>
    </w:p>
    <w:p w14:paraId="021C2896" w14:textId="77777777" w:rsidR="00D06738" w:rsidRDefault="00D06738" w:rsidRPr="00FF6B9A">
      <w:pPr>
        <w:autoSpaceDE w:val="0"/>
        <w:autoSpaceDN w:val="0"/>
        <w:adjustRightInd w:val="0"/>
        <w:spacing w:line="360" w:lineRule="auto"/>
        <w:jc w:val="left"/>
        <w:rPr>
          <w:rFonts w:eastAsiaTheme="minorEastAsia"/>
          <w:b/>
          <w:bCs/>
          <w:color w:themeColor="text1" w:val="000000"/>
          <w:kern w:val="0"/>
          <w:sz w:val="24"/>
          <w:szCs w:val="24"/>
        </w:rPr>
      </w:pPr>
    </w:p>
    <w:p w14:paraId="0D4DC302"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5.6 </w:t>
      </w:r>
      <w:r w:rsidRPr="00FF6B9A">
        <w:rPr>
          <w:rFonts w:eastAsiaTheme="minor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lastRenderedPageBreak/>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本基金本报告期末未持有资产支持证券。</w:t>
      </w:r>
    </w:p>
    <w:p w14:paraId="7641962C" w14:textId="77777777" w:rsidR="00D06738" w:rsidRDefault="00D06738" w:rsidRPr="00FF6B9A">
      <w:pPr>
        <w:autoSpaceDE w:val="0"/>
        <w:autoSpaceDN w:val="0"/>
        <w:adjustRightInd w:val="0"/>
        <w:spacing w:line="360" w:lineRule="auto"/>
        <w:jc w:val="left"/>
        <w:rPr>
          <w:rFonts w:eastAsiaTheme="minorEastAsia"/>
          <w:color w:themeColor="text1" w:val="000000"/>
          <w:sz w:val="24"/>
          <w:szCs w:val="24"/>
        </w:rPr>
      </w:pPr>
    </w:p>
    <w:p w14:paraId="4D2AFCA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7 </w:t>
      </w:r>
      <w:r w:rsidRPr="00FF6B9A">
        <w:rPr>
          <w:rFonts w:eastAsiaTheme="minorEastAsia"/>
          <w:b/>
          <w:bCs/>
          <w:color w:themeColor="text1" w:val="000000"/>
          <w:kern w:val="0"/>
          <w:sz w:val="24"/>
          <w:szCs w:val="24"/>
        </w:rPr>
        <w:t>报告期末按公允价值占基金资产净值比例大小排序的前五名贵金属投资明细</w:t>
      </w:r>
    </w:p>
    <w:p w14:paraId="5072D892" w14:textId="77777777" w:rsidR="00D06738" w:rsidRDefault="00454D20" w:rsidRPr="00FF6B9A">
      <w:pPr>
        <w:widowControl/>
        <w:spacing w:line="360" w:lineRule="auto"/>
        <w:jc w:val="left"/>
        <w:rPr>
          <w:color w:themeColor="text1" w:val="000000"/>
        </w:rPr>
      </w:pPr>
      <w:r w:rsidRPr="00FF6B9A">
        <w:rPr>
          <w:color w:themeColor="text1" w:val="000000"/>
        </w:rPr>
        <w:t/>
      </w:r>
      <w:proofErr w:type="spellStart"/>
      <w:r w:rsidRPr="00FF6B9A">
        <w:rPr>
          <w:color w:themeColor="text1" w:val="000000"/>
        </w:rPr>
        <w:t/>
      </w:r>
      <w:proofErr w:type="gramStart"/>
      <w:r w:rsidRPr="00FF6B9A">
        <w:rPr>
          <w:color w:themeColor="text1" w:val="000000"/>
        </w:rPr>
        <w:t/>
      </w:r>
      <w:proofErr w:type="spellEnd"/>
      <w:r w:rsidRPr="00FF6B9A">
        <w:rPr>
          <w:color w:themeColor="text1" w:val="000000"/>
        </w:rPr>
        <w:t/>
      </w:r>
      <w:proofErr w:type="spellStart"/>
      <w:proofErr w:type="gramEnd"/>
      <w:r w:rsidRPr="00FF6B9A">
        <w:rPr>
          <w:color w:themeColor="text1" w:val="000000"/>
        </w:rPr>
        <w:t/>
      </w:r>
      <w:proofErr w:type="spellEnd"/>
      <w:r w:rsidRPr="00FF6B9A">
        <w:rPr>
          <w:color w:themeColor="text1" w:val="000000"/>
        </w:rPr>
        <w:t>本基金本报告期末未持有贵金属。</w:t>
      </w:r>
    </w:p>
    <w:p w14:paraId="60EB37E6"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ACC4ABF"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8 </w:t>
      </w:r>
      <w:r w:rsidRPr="00FF6B9A">
        <w:rPr>
          <w:rFonts w:eastAsiaTheme="minorEastAsia"/>
          <w:b/>
          <w:bCs/>
          <w:color w:themeColor="text1" w:val="000000"/>
          <w:kern w:val="0"/>
          <w:sz w:val="24"/>
          <w:szCs w:val="24"/>
        </w:rPr>
        <w:t>报告期末按公允价值占基金资产净值比例大小排序的前五名权证投资明细</w:t>
      </w:r>
    </w:p>
    <w:p w14:paraId="5CD73A7B"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lastRenderedPageBreak/>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本基金本报告期末未持有权证。</w:t>
      </w:r>
    </w:p>
    <w:p w14:paraId="47EB757F"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2F0769C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 xml:space="preserve">5.9 </w:t>
      </w:r>
      <w:r w:rsidRPr="00FF6B9A">
        <w:rPr>
          <w:rFonts w:eastAsiaTheme="minorEastAsia"/>
          <w:b/>
          <w:bCs/>
          <w:color w:themeColor="text1" w:val="000000"/>
          <w:kern w:val="0"/>
          <w:sz w:val="24"/>
          <w:szCs w:val="24"/>
        </w:rPr>
        <w:t>报告期末本基金投资的股指期货交易情况说明</w:t>
      </w:r>
    </w:p>
    <w:p w14:paraId="73A71E08"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本基金本报告期末未持有股指期货。</w:t>
      </w:r>
    </w:p>
    <w:p w14:paraId="6D381369" w14:textId="77777777" w:rsidR="00D06738" w:rsidRDefault="00D06738" w:rsidRPr="00FF6B9A">
      <w:pPr>
        <w:adjustRightInd w:val="0"/>
        <w:snapToGrid w:val="0"/>
        <w:spacing w:line="360" w:lineRule="exact"/>
        <w:rPr>
          <w:rFonts w:eastAsiaTheme="minorEastAsia"/>
          <w:color w:themeColor="text1" w:val="000000"/>
          <w:sz w:val="24"/>
          <w:szCs w:val="24"/>
        </w:rPr>
      </w:pPr>
    </w:p>
    <w:p w14:paraId="288DDC9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lastRenderedPageBreak/>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5.10</w:t>
      </w:r>
      <w:r w:rsidRPr="00FF6B9A">
        <w:rPr>
          <w:rFonts w:eastAsiaTheme="minorEastAsia"/>
          <w:b/>
          <w:bCs/>
          <w:color w:themeColor="text1" w:val="000000"/>
          <w:kern w:val="0"/>
          <w:sz w:val="24"/>
          <w:szCs w:val="24"/>
        </w:rPr>
        <w:t>报告期末本基金投资的国债期货交易情况说明</w:t>
      </w:r>
    </w:p>
    <w:p w14:paraId="5490A7F4" w14:textId="77777777" w:rsidR="00D06738" w:rsidRDefault="00454D20" w:rsidRPr="00FF6B9A">
      <w:pPr>
        <w:autoSpaceDE w:val="0"/>
        <w:autoSpaceDN w:val="0"/>
        <w:adjustRightInd w:val="0"/>
        <w:spacing w:line="360" w:lineRule="auto"/>
        <w:jc w:val="left"/>
        <w:rPr>
          <w:rFonts w:eastAsiaTheme="minorEastAsia"/>
          <w:color w:themeColor="text1" w:val="000000"/>
          <w:sz w:val="24"/>
          <w:szCs w:val="24"/>
        </w:rPr>
      </w:pPr>
      <w:r w:rsidRPr="00FF6B9A">
        <w:rPr>
          <w:rFonts w:eastAsiaTheme="minorEastAsia"/>
          <w:color w:themeColor="text1" w:val="000000"/>
          <w:sz w:val="24"/>
          <w:szCs w:val="24"/>
        </w:rPr>
        <w:t/>
      </w:r>
      <w:proofErr w:type="spellStart"/>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
      </w:r>
      <w:proofErr w:type="spellEnd"/>
      <w:r w:rsidRPr="00FF6B9A">
        <w:rPr>
          <w:rFonts w:eastAsiaTheme="minorEastAsia"/>
          <w:color w:themeColor="text1" w:val="000000"/>
          <w:sz w:val="24"/>
          <w:szCs w:val="24"/>
        </w:rPr>
        <w:t/>
      </w:r>
      <w:proofErr w:type="spellStart"/>
      <w:proofErr w:type="gramEnd"/>
      <w:r w:rsidRPr="00FF6B9A">
        <w:rPr>
          <w:rFonts w:eastAsiaTheme="minorEastAsia"/>
          <w:color w:themeColor="text1" w:val="000000"/>
          <w:sz w:val="24"/>
          <w:szCs w:val="24"/>
        </w:rPr>
        <w:t/>
      </w:r>
      <w:proofErr w:type="spellEnd"/>
      <w:r w:rsidRPr="00FF6B9A">
        <w:rPr>
          <w:rFonts w:eastAsiaTheme="minorEastAsia"/>
          <w:color w:themeColor="text1" w:val="000000"/>
          <w:sz w:val="24"/>
          <w:szCs w:val="24"/>
        </w:rPr>
        <w:t>本基金本报告期末未持有国债期货。</w:t>
      </w:r>
    </w:p>
    <w:p w14:paraId="0AD515B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11 </w:t>
      </w:r>
      <w:r w:rsidRPr="00FF6B9A">
        <w:rPr>
          <w:rFonts w:eastAsiaTheme="minorEastAsia"/>
          <w:b/>
          <w:bCs/>
          <w:color w:themeColor="text1" w:val="000000"/>
          <w:kern w:val="0"/>
          <w:sz w:val="24"/>
          <w:szCs w:val="24"/>
        </w:rPr>
        <w:t>投资组合报告附注</w:t>
      </w:r>
    </w:p>
    <w:p w14:paraId="2BAE184B"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5.</w:t>
      </w:r>
      <w:proofErr w:type="gramEnd"/>
      <w:r w:rsidRPr="00FF6B9A">
        <w:rPr>
          <w:rFonts w:eastAsiaTheme="minorEastAsia"/>
          <w:color w:themeColor="text1" w:val="000000"/>
          <w:sz w:val="24"/>
          <w:szCs w:val="24"/>
        </w:rPr>
        <w:t>11.1报告期内本基金投资的前十名证券的发行主体本期没有出现被监管部门立案调查，或在报告编制日前一年内受到公开谴责、处罚的情形。</w:t>
      </w:r>
    </w:p>
    <w:p w14:paraId="50E6CBCA"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5.</w:t>
      </w:r>
      <w:proofErr w:type="gramEnd"/>
      <w:r w:rsidRPr="00FF6B9A">
        <w:rPr>
          <w:rFonts w:eastAsiaTheme="minorEastAsia"/>
          <w:color w:themeColor="text1" w:val="000000"/>
          <w:sz w:val="24"/>
          <w:szCs w:val="24"/>
        </w:rPr>
        <w:t>11.2报告期内本基金投资的前十名股票中没有在基金合同规定备选股票库之外的股票。</w:t>
      </w:r>
    </w:p>
    <w:p w14:paraId="4124D65B"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11.3 </w:t>
      </w:r>
      <w:r w:rsidRPr="00FF6B9A">
        <w:rPr>
          <w:rFonts w:eastAsiaTheme="minor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rsidRPr="00FF6B9A">
        <w:tc>
          <w:tcPr>
            <w:tcW w:type="dxa" w:w="1235"/>
            <w:vAlign w:val="center"/>
          </w:tcPr>
          <w:p w14:paraId="3D402FF5"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序号</w:t>
            </w:r>
          </w:p>
        </w:tc>
        <w:tc>
          <w:tcPr>
            <w:tcW w:type="dxa" w:w="2470"/>
            <w:vAlign w:val="center"/>
          </w:tcPr>
          <w:p w14:paraId="627CAE1B"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名称</w:t>
            </w:r>
          </w:p>
        </w:tc>
        <w:tc>
          <w:tcPr>
            <w:tcW w:type="dxa" w:w="4808"/>
            <w:vAlign w:val="center"/>
          </w:tcPr>
          <w:p w14:paraId="6430356C"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金额</w:t>
            </w:r>
            <w:r w:rsidRPr="00FF6B9A">
              <w:rPr>
                <w:rFonts w:eastAsiaTheme="minorEastAsia"/>
                <w:color w:themeColor="text1" w:val="000000"/>
                <w:kern w:val="0"/>
              </w:rPr>
              <w:t>(</w:t>
            </w:r>
            <w:r w:rsidRPr="00FF6B9A">
              <w:rPr>
                <w:rFonts w:eastAsiaTheme="minorEastAsia"/>
                <w:color w:themeColor="text1" w:val="000000"/>
                <w:kern w:val="0"/>
              </w:rPr>
              <w:t>元</w:t>
            </w:r>
            <w:r w:rsidRPr="00FF6B9A">
              <w:rPr>
                <w:rFonts w:eastAsiaTheme="minorEastAsia"/>
                <w:color w:themeColor="text1" w:val="000000"/>
                <w:kern w:val="0"/>
              </w:rPr>
              <w:t>)</w:t>
            </w:r>
          </w:p>
        </w:tc>
      </w:tr>
      <w:tr w14:paraId="2C715D80" w14:textId="77777777" w:rsidR="00D06738" w:rsidRPr="00FF6B9A">
        <w:tc>
          <w:tcPr>
            <w:tcW w:type="dxa" w:w="1235"/>
            <w:vAlign w:val="center"/>
          </w:tcPr>
          <w:p w14:paraId="117C1A9A"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1</w:t>
            </w:r>
          </w:p>
        </w:tc>
        <w:tc>
          <w:tcPr>
            <w:tcW w:type="dxa" w:w="2470"/>
            <w:vAlign w:val="center"/>
          </w:tcPr>
          <w:p w14:paraId="61153B98"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存出保证金</w:t>
            </w:r>
          </w:p>
        </w:tc>
        <w:tc>
          <w:tcPr>
            <w:tcW w:type="dxa" w:w="4808"/>
            <w:vAlign w:val="center"/>
          </w:tcPr>
          <w:p w14:paraId="069C1229"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319,746.26</w:t>
            </w:r>
          </w:p>
        </w:tc>
      </w:tr>
      <w:tr w14:paraId="3C032846" w14:textId="77777777" w:rsidR="00D06738" w:rsidRPr="00FF6B9A">
        <w:tc>
          <w:tcPr>
            <w:tcW w:type="dxa" w:w="1235"/>
            <w:vAlign w:val="center"/>
          </w:tcPr>
          <w:p w14:paraId="141CD098"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2</w:t>
            </w:r>
          </w:p>
        </w:tc>
        <w:tc>
          <w:tcPr>
            <w:tcW w:type="dxa" w:w="2470"/>
            <w:vAlign w:val="center"/>
          </w:tcPr>
          <w:p w14:paraId="307B0992"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应收证券清算款</w:t>
            </w:r>
          </w:p>
        </w:tc>
        <w:tc>
          <w:tcPr>
            <w:tcW w:type="dxa" w:w="4808"/>
            <w:vAlign w:val="center"/>
          </w:tcPr>
          <w:p w14:paraId="7B2B0246"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176311B8" w14:textId="77777777" w:rsidR="00D06738" w:rsidRPr="00FF6B9A">
        <w:tc>
          <w:tcPr>
            <w:tcW w:type="dxa" w:w="1235"/>
            <w:vAlign w:val="center"/>
          </w:tcPr>
          <w:p w14:paraId="602CCE2F"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3</w:t>
            </w:r>
          </w:p>
        </w:tc>
        <w:tc>
          <w:tcPr>
            <w:tcW w:type="dxa" w:w="2470"/>
            <w:vAlign w:val="center"/>
          </w:tcPr>
          <w:p w14:paraId="31EEC93A"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应收股利</w:t>
            </w:r>
          </w:p>
        </w:tc>
        <w:tc>
          <w:tcPr>
            <w:tcW w:type="dxa" w:w="4808"/>
            <w:vAlign w:val="center"/>
          </w:tcPr>
          <w:p w14:paraId="30AA7BFB"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6C0EC699" w14:textId="77777777" w:rsidR="00D06738" w:rsidRPr="00FF6B9A">
        <w:tc>
          <w:tcPr>
            <w:tcW w:type="dxa" w:w="1235"/>
            <w:vAlign w:val="center"/>
          </w:tcPr>
          <w:p w14:paraId="4EAB88E6"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4</w:t>
            </w:r>
          </w:p>
        </w:tc>
        <w:tc>
          <w:tcPr>
            <w:tcW w:type="dxa" w:w="2470"/>
            <w:vAlign w:val="center"/>
          </w:tcPr>
          <w:p w14:paraId="25AFBD38"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应收利息</w:t>
            </w:r>
          </w:p>
        </w:tc>
        <w:tc>
          <w:tcPr>
            <w:tcW w:type="dxa" w:w="4808"/>
            <w:vAlign w:val="center"/>
          </w:tcPr>
          <w:p w14:paraId="61FAC2C4"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13,539.55</w:t>
            </w:r>
          </w:p>
        </w:tc>
      </w:tr>
      <w:tr w14:paraId="617FE4E0" w14:textId="77777777" w:rsidR="00D06738" w:rsidRPr="00FF6B9A">
        <w:tc>
          <w:tcPr>
            <w:tcW w:type="dxa" w:w="1235"/>
            <w:vAlign w:val="center"/>
          </w:tcPr>
          <w:p w14:paraId="0DE5BCEB"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5</w:t>
            </w:r>
          </w:p>
        </w:tc>
        <w:tc>
          <w:tcPr>
            <w:tcW w:type="dxa" w:w="2470"/>
            <w:vAlign w:val="center"/>
          </w:tcPr>
          <w:p w14:paraId="418D350C"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应收申购款</w:t>
            </w:r>
          </w:p>
        </w:tc>
        <w:tc>
          <w:tcPr>
            <w:tcW w:type="dxa" w:w="4808"/>
            <w:vAlign w:val="center"/>
          </w:tcPr>
          <w:p w14:paraId="6138F79B"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38,512.71</w:t>
            </w:r>
          </w:p>
        </w:tc>
      </w:tr>
      <w:tr w14:paraId="2FF8C6CF" w14:textId="77777777" w:rsidR="00D06738" w:rsidRPr="00FF6B9A">
        <w:tc>
          <w:tcPr>
            <w:tcW w:type="dxa" w:w="1235"/>
            <w:vAlign w:val="center"/>
          </w:tcPr>
          <w:p w14:paraId="027C50FA"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6</w:t>
            </w:r>
          </w:p>
        </w:tc>
        <w:tc>
          <w:tcPr>
            <w:tcW w:type="dxa" w:w="2470"/>
            <w:vAlign w:val="center"/>
          </w:tcPr>
          <w:p w14:paraId="763B3400"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其他应收款</w:t>
            </w:r>
          </w:p>
        </w:tc>
        <w:tc>
          <w:tcPr>
            <w:tcW w:type="dxa" w:w="4808"/>
            <w:vAlign w:val="center"/>
          </w:tcPr>
          <w:p w14:paraId="5846D225"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72C6A37" w14:textId="77777777" w:rsidR="00D06738" w:rsidRPr="00FF6B9A">
        <w:tc>
          <w:tcPr>
            <w:tcW w:type="dxa" w:w="1235"/>
            <w:vAlign w:val="center"/>
          </w:tcPr>
          <w:p w14:paraId="75EFC638"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7</w:t>
            </w:r>
          </w:p>
        </w:tc>
        <w:tc>
          <w:tcPr>
            <w:tcW w:type="dxa" w:w="2470"/>
            <w:vAlign w:val="center"/>
          </w:tcPr>
          <w:p w14:paraId="0A943614"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待摊费用</w:t>
            </w:r>
          </w:p>
        </w:tc>
        <w:tc>
          <w:tcPr>
            <w:tcW w:type="dxa" w:w="4808"/>
            <w:vAlign w:val="center"/>
          </w:tcPr>
          <w:p w14:paraId="72EB47BF"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1EB71240" w14:textId="77777777" w:rsidR="00D06738" w:rsidRPr="00FF6B9A">
        <w:tc>
          <w:tcPr>
            <w:tcW w:type="dxa" w:w="1235"/>
            <w:vAlign w:val="center"/>
          </w:tcPr>
          <w:p w14:paraId="4CA5E701"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lastRenderedPageBreak/>
              <w:t>8</w:t>
            </w:r>
          </w:p>
        </w:tc>
        <w:tc>
          <w:tcPr>
            <w:tcW w:type="dxa" w:w="2470"/>
            <w:vAlign w:val="center"/>
          </w:tcPr>
          <w:p w14:paraId="139BE609"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其他</w:t>
            </w:r>
          </w:p>
        </w:tc>
        <w:tc>
          <w:tcPr>
            <w:tcW w:type="dxa" w:w="4808"/>
            <w:vAlign w:val="center"/>
          </w:tcPr>
          <w:p w14:paraId="5ED4A47C"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3A99357C" w14:textId="77777777" w:rsidR="00D06738" w:rsidRPr="00FF6B9A">
        <w:tc>
          <w:tcPr>
            <w:tcW w:type="dxa" w:w="1235"/>
            <w:vAlign w:val="center"/>
          </w:tcPr>
          <w:p w14:paraId="7043D59F"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9</w:t>
            </w:r>
          </w:p>
        </w:tc>
        <w:tc>
          <w:tcPr>
            <w:tcW w:type="dxa" w:w="2470"/>
            <w:vAlign w:val="center"/>
          </w:tcPr>
          <w:p w14:paraId="756733B0"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合计</w:t>
            </w:r>
          </w:p>
        </w:tc>
        <w:tc>
          <w:tcPr>
            <w:tcW w:type="dxa" w:w="4808"/>
            <w:vAlign w:val="center"/>
          </w:tcPr>
          <w:p w14:paraId="1336DBC1"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371,798.52</w:t>
            </w:r>
          </w:p>
        </w:tc>
      </w:tr>
    </w:tbl>
    <w:p w14:paraId="4676AA60"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5172EF34"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11.4</w:t>
      </w:r>
      <w:r w:rsidRPr="00FF6B9A">
        <w:rPr>
          <w:rFonts w:eastAsiaTheme="minorEastAsia"/>
          <w:b/>
          <w:bCs/>
          <w:color w:themeColor="text1" w:val="000000"/>
          <w:kern w:val="0"/>
          <w:sz w:val="24"/>
          <w:szCs w:val="24"/>
        </w:rPr>
        <w:t>报告期末持有的处于转股期的可转换债券明细</w:t>
      </w:r>
    </w:p>
    <w:p w14:paraId="0C2B4847"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本基金本报告期末未持有处于转股期的可转换债券。</w:t>
      </w:r>
    </w:p>
    <w:p w14:paraId="73809093"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26374DDE"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11.5</w:t>
      </w:r>
      <w:r w:rsidRPr="00FF6B9A">
        <w:rPr>
          <w:rFonts w:eastAsiaTheme="minorEastAsia"/>
          <w:b/>
          <w:bCs/>
          <w:color w:themeColor="text1" w:val="000000"/>
          <w:kern w:val="0"/>
          <w:sz w:val="24"/>
          <w:szCs w:val="24"/>
        </w:rPr>
        <w:t>报告期末前十名股票中存在流通受限情况的说明</w:t>
      </w:r>
    </w:p>
    <w:p w14:paraId="7A502387"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gramStart"/>
      <w:r w:rsidRPr="00FF6B9A">
        <w:rPr>
          <w:rFonts w:eastAsiaTheme="minorEastAsia"/>
          <w:color w:themeColor="text1" w:val="000000"/>
        </w:rPr>
        <w:t/>
      </w:r>
      <w:proofErr w:type="gramEnd"/>
      <w:r w:rsidRPr="00FF6B9A">
        <w:rPr>
          <w:rFonts w:eastAsiaTheme="minorEastAsia"/>
          <w:color w:themeColor="text1" w:val="000000"/>
        </w:rPr>
        <w:t>本基金本报告期末前十名股票中不存在流通受限情况。</w:t>
      </w:r>
    </w:p>
    <w:p w14:paraId="6F6FE44E"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329684B0"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5.11.6</w:t>
      </w:r>
      <w:r w:rsidRPr="00FF6B9A">
        <w:rPr>
          <w:rFonts w:eastAsiaTheme="minorEastAsia"/>
          <w:b/>
          <w:bCs/>
          <w:color w:themeColor="text1" w:val="000000"/>
          <w:kern w:val="0"/>
          <w:sz w:val="24"/>
          <w:szCs w:val="24"/>
        </w:rPr>
        <w:t>投资组合报告附注的其他文字描述部分</w:t>
      </w:r>
    </w:p>
    <w:p w14:paraId="536D339F"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因四舍五入原因,投资组合报告中分项之和与合计可能存在尾差。</w:t>
      </w:r>
    </w:p>
    <w:p w14:paraId="1F6232E1"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§6  </w:t>
      </w:r>
      <w:r w:rsidRPr="00FF6B9A">
        <w:rPr>
          <w:rFonts w:eastAsiaTheme="minorEastAsia"/>
          <w:color w:themeColor="text1" w:val="000000"/>
          <w:kern w:val="0"/>
          <w:sz w:val="24"/>
          <w:szCs w:val="24"/>
        </w:rPr>
        <w:t>开放式基金份额变动</w:t>
      </w:r>
    </w:p>
    <w:p w14:paraId="1546AC98"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sz w:val="24"/>
          <w:szCs w:val="24"/>
        </w:rPr>
      </w:pPr>
      <w:r w:rsidRPr="00FF6B9A">
        <w:rPr>
          <w:rFonts w:eastAsiaTheme="minor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本报告期期</w:t>
            </w:r>
            <w:proofErr w:type="gramStart"/>
            <w:r w:rsidRPr="00FF6B9A">
              <w:rPr>
                <w:rFonts w:eastAsiaTheme="minorEastAsia"/>
                <w:color w:themeColor="text1" w:val="000000"/>
                <w:kern w:val="0"/>
              </w:rPr>
              <w:t>初基金</w:t>
            </w:r>
            <w:proofErr w:type="gramEnd"/>
            <w:r w:rsidRPr="00FF6B9A">
              <w:rPr>
                <w:rFonts w:eastAsiaTheme="minor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gramEnd"/>
            <w:r w:rsidRPr="00FF6B9A">
              <w:rPr>
                <w:rFonts w:eastAsiaTheme="minorEastAsia"/>
                <w:color w:themeColor="text1" w:val="000000"/>
              </w:rPr>
              <w:t>678,579,010.15</w:t>
            </w:r>
          </w:p>
        </w:tc>
      </w:tr>
      <w:tr w14:paraId="464FC419"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6,397,469.25</w:t>
            </w:r>
          </w:p>
        </w:tc>
      </w:tr>
      <w:tr w14:paraId="17EE7B14"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减：</w:t>
            </w: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36,239,919.04</w:t>
            </w:r>
          </w:p>
        </w:tc>
      </w:tr>
      <w:tr w14:paraId="465F9B6E"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w:t>
            </w:r>
          </w:p>
        </w:tc>
      </w:tr>
      <w:tr w14:paraId="05E84194"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648,736,560.36</w:t>
            </w:r>
          </w:p>
        </w:tc>
      </w:tr>
    </w:tbl>
    <w:p w14:paraId="3C94584F" w14:textId="77777777" w:rsidR="00D06738" w:rsidRDefault="00454D20" w:rsidRPr="00FF6B9A">
      <w:pPr>
        <w:pStyle w:val="1"/>
        <w:tabs>
          <w:tab w:pos="4156" w:val="center"/>
          <w:tab w:pos="8312" w:val="right"/>
        </w:tabs>
        <w:spacing w:after="312" w:afterLines="100" w:before="312" w:beforeLines="100" w:line="360" w:lineRule="auto"/>
        <w:jc w:val="center"/>
        <w:rPr>
          <w:color w:themeColor="text1" w:val="000000"/>
          <w:sz w:val="24"/>
          <w:szCs w:val="24"/>
        </w:rPr>
      </w:pPr>
      <w:r w:rsidRPr="00FF6B9A">
        <w:rPr>
          <w:rFonts w:eastAsiaTheme="minorEastAsia"/>
          <w:color w:themeColor="text1" w:val="000000"/>
          <w:kern w:val="0"/>
          <w:sz w:val="24"/>
          <w:szCs w:val="24"/>
        </w:rPr>
        <w:t/>
      </w:r>
      <w:proofErr w:type="spellStart"/>
      <w:r w:rsidRPr="00FF6B9A">
        <w:rPr>
          <w:rFonts w:eastAsiaTheme="minorEastAsia"/>
          <w:color w:themeColor="text1" w:val="000000"/>
          <w:kern w:val="0"/>
          <w:sz w:val="24"/>
          <w:szCs w:val="24"/>
        </w:rPr>
        <w:t/>
      </w:r>
      <w:proofErr w:type="spellEnd"/>
      <w:r w:rsidRPr="00FF6B9A">
        <w:rPr>
          <w:rFonts w:eastAsiaTheme="minorEastAsia"/>
          <w:color w:themeColor="text1" w:val="000000"/>
          <w:kern w:val="0"/>
          <w:sz w:val="24"/>
          <w:szCs w:val="24"/>
        </w:rPr>
        <w:t xml:space="preserve">§7  </w:t>
      </w:r>
      <w:r w:rsidRPr="00FF6B9A">
        <w:rPr>
          <w:color w:themeColor="text1" w:val="000000"/>
          <w:sz w:val="24"/>
          <w:szCs w:val="24"/>
        </w:rPr>
        <w:t>基金管理人运用</w:t>
      </w:r>
      <w:proofErr w:type="gramStart"/>
      <w:r w:rsidRPr="00FF6B9A">
        <w:rPr>
          <w:color w:themeColor="text1" w:val="000000"/>
          <w:sz w:val="24"/>
          <w:szCs w:val="24"/>
        </w:rPr>
        <w:t>固有资金</w:t>
      </w:r>
      <w:proofErr w:type="gramEnd"/>
      <w:r w:rsidRPr="00FF6B9A">
        <w:rPr>
          <w:color w:themeColor="text1" w:val="000000"/>
          <w:sz w:val="24"/>
          <w:szCs w:val="24"/>
        </w:rPr>
        <w:t>投资本基金情况</w:t>
      </w:r>
    </w:p>
    <w:p w14:paraId="220CB641" w14:textId="77777777" w:rsidR="00D06738" w:rsidRDefault="00454D20" w:rsidRPr="00FF6B9A">
      <w:pPr>
        <w:spacing w:line="360" w:lineRule="auto"/>
        <w:jc w:val="left"/>
        <w:rPr>
          <w:color w:themeColor="text1" w:val="000000"/>
          <w:sz w:val="24"/>
          <w:szCs w:val="24"/>
        </w:rPr>
      </w:pPr>
      <w:r w:rsidRPr="00FF6B9A">
        <w:rPr>
          <w:b/>
          <w:color w:themeColor="text1" w:val="000000"/>
          <w:sz w:val="24"/>
        </w:rPr>
        <w:t/>
      </w:r>
      <w:proofErr w:type="spellStart"/>
      <w:r w:rsidRPr="00FF6B9A">
        <w:rPr>
          <w:b/>
          <w:color w:themeColor="text1" w:val="000000"/>
          <w:sz w:val="24"/>
        </w:rPr>
        <w:t/>
      </w:r>
      <w:proofErr w:type="gramStart"/>
      <w:r w:rsidRPr="00FF6B9A">
        <w:rPr>
          <w:b/>
          <w:color w:themeColor="text1" w:val="000000"/>
          <w:sz w:val="24"/>
        </w:rPr>
        <w:t/>
      </w:r>
      <w:proofErr w:type="spellEnd"/>
      <w:r w:rsidRPr="00FF6B9A">
        <w:rPr>
          <w:b/>
          <w:color w:themeColor="text1" w:val="000000"/>
          <w:sz w:val="24"/>
        </w:rPr>
        <w:t/>
      </w:r>
      <w:proofErr w:type="gramEnd"/>
      <w:r w:rsidRPr="00FF6B9A">
        <w:rPr>
          <w:b/>
          <w:color w:themeColor="text1" w:val="000000"/>
          <w:sz w:val="24"/>
        </w:rPr>
        <w:t xml:space="preserve">7.1 </w:t>
      </w:r>
      <w:r w:rsidRPr="00FF6B9A">
        <w:rPr>
          <w:b/>
          <w:color w:themeColor="text1" w:val="000000"/>
          <w:sz w:val="24"/>
        </w:rPr>
        <w:t>基金管理人持有本基金份额变动情况</w:t>
      </w:r>
    </w:p>
    <w:p w14:paraId="3105CFED"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kern w:val="0"/>
        </w:rPr>
        <w:t/>
      </w:r>
      <w:proofErr w:type="gramStart"/>
      <w:r w:rsidRPr="00FF6B9A">
        <w:rPr>
          <w:rFonts w:eastAsiaTheme="minorEastAsia"/>
          <w:color w:themeColor="text1" w:val="000000"/>
          <w:kern w:val="0"/>
        </w:rPr>
        <w:t/>
      </w:r>
      <w:proofErr w:type="spellStart"/>
      <w:proofErr w:type="gramEnd"/>
      <w:r w:rsidRPr="00FF6B9A">
        <w:rPr>
          <w:rFonts w:eastAsiaTheme="minorEastAsia"/>
          <w:color w:themeColor="text1" w:val="000000"/>
          <w:kern w:val="0"/>
        </w:rPr>
        <w:t/>
      </w:r>
      <w:proofErr w:type="spellEnd"/>
      <w:r w:rsidRPr="00FF6B9A">
        <w:rPr>
          <w:rFonts w:eastAsiaTheme="minorEastAsia"/>
          <w:color w:themeColor="text1" w:val="000000"/>
          <w:kern w:val="0"/>
        </w:rPr>
        <w:t>无。</w:t>
      </w:r>
    </w:p>
    <w:p w14:paraId="470676A3"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rPr>
      </w:pPr>
    </w:p>
    <w:p w14:paraId="6765BFDC"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§8  </w:t>
      </w:r>
      <w:r w:rsidRPr="00FF6B9A">
        <w:rPr>
          <w:rFonts w:eastAsiaTheme="minorEastAsia"/>
          <w:color w:themeColor="text1" w:val="000000"/>
          <w:kern w:val="0"/>
          <w:sz w:val="24"/>
          <w:szCs w:val="24"/>
        </w:rPr>
        <w:t>备查文件目录</w:t>
      </w:r>
    </w:p>
    <w:p w14:paraId="457E531B"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8.</w:t>
      </w:r>
      <w:proofErr w:type="gramEnd"/>
      <w:r w:rsidRPr="00FF6B9A">
        <w:rPr>
          <w:rFonts w:eastAsiaTheme="minorEastAsia"/>
          <w:b/>
          <w:bCs/>
          <w:color w:themeColor="text1" w:val="000000"/>
          <w:kern w:val="0"/>
          <w:sz w:val="24"/>
          <w:szCs w:val="24"/>
        </w:rPr>
        <w:t xml:space="preserve">1 </w:t>
      </w:r>
      <w:r w:rsidRPr="00FF6B9A">
        <w:rPr>
          <w:rFonts w:eastAsiaTheme="minorEastAsia"/>
          <w:b/>
          <w:bCs/>
          <w:color w:themeColor="text1" w:val="000000"/>
          <w:kern w:val="0"/>
          <w:sz w:val="24"/>
          <w:szCs w:val="24"/>
        </w:rPr>
        <w:t>备查文件目录</w:t>
      </w:r>
    </w:p>
    <w:p>
      <w:pPr>
        <w:spacing w:line="360" w:lineRule="auto"/>
        <w:ind w:firstLine="420" w:firstLineChars="200"/>
        <w:rPr>
          <w:rFonts w:eastAsiaTheme="minorEastAsia"/>
          <w:color w:themeColor="text1" w:val="000000"/>
        </w:rPr>
      </w:pPr>
      <w:r>
        <w:rPr>
          <w:rFonts w:eastAsiaTheme="minorEastAsia"/>
          <w:color w:themeColor="text1" w:val="000000"/>
        </w:rPr>
        <w:t>1. 中国证监会批准上投摩根整合驱动灵活配置混合型证券投资基金设立的文件；</w:t>
      </w:r>
    </w:p>
    <w:p>
      <w:pPr>
        <w:spacing w:line="360" w:lineRule="auto"/>
        <w:ind w:firstLine="420" w:firstLineChars="200"/>
        <w:rPr>
          <w:rFonts w:eastAsiaTheme="minorEastAsia"/>
          <w:color w:themeColor="text1" w:val="000000"/>
        </w:rPr>
      </w:pPr>
      <w:r>
        <w:rPr>
          <w:rFonts w:eastAsiaTheme="minorEastAsia"/>
          <w:color w:themeColor="text1" w:val="000000"/>
        </w:rPr>
        <w:t>2. 《上投摩根整合驱动灵活配置混合型证券投资基金基金合同》；</w:t>
      </w:r>
    </w:p>
    <w:p>
      <w:pPr>
        <w:spacing w:line="360" w:lineRule="auto"/>
        <w:ind w:firstLine="420" w:firstLineChars="200"/>
        <w:rPr>
          <w:rFonts w:eastAsiaTheme="minorEastAsia"/>
          <w:color w:themeColor="text1" w:val="000000"/>
        </w:rPr>
      </w:pPr>
      <w:r>
        <w:rPr>
          <w:rFonts w:eastAsiaTheme="minorEastAsia"/>
          <w:color w:themeColor="text1" w:val="000000"/>
        </w:rPr>
        <w:t>3. 《上投摩根整合驱动灵活配置混合型证券投资基金托管协议》；</w:t>
      </w:r>
    </w:p>
    <w:p>
      <w:pPr>
        <w:spacing w:line="360" w:lineRule="auto"/>
        <w:ind w:firstLine="420" w:firstLineChars="200"/>
        <w:rPr>
          <w:rFonts w:eastAsiaTheme="minorEastAsia"/>
          <w:color w:themeColor="text1" w:val="000000"/>
        </w:rPr>
      </w:pPr>
      <w:r>
        <w:rPr>
          <w:rFonts w:eastAsiaTheme="minorEastAsia"/>
          <w:color w:themeColor="text1" w:val="000000"/>
        </w:rPr>
        <w:t>4. 《上投摩根开放式基金业务规则》；</w:t>
      </w:r>
    </w:p>
    <w:p>
      <w:pPr>
        <w:spacing w:line="360" w:lineRule="auto"/>
        <w:ind w:firstLine="420" w:firstLineChars="200"/>
        <w:rPr>
          <w:rFonts w:eastAsiaTheme="minorEastAsia"/>
          <w:color w:themeColor="text1" w:val="000000"/>
        </w:rPr>
      </w:pPr>
      <w:r>
        <w:rPr>
          <w:rFonts w:eastAsiaTheme="minorEastAsia"/>
          <w:color w:themeColor="text1" w:val="000000"/>
        </w:rPr>
        <w:t>5. 基金管理人业务资格批件、营业执照；</w:t>
      </w:r>
    </w:p>
    <w:p w14:paraId="1A471A23"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6. 基金托管人业务资格批件和营业执照。</w:t>
      </w:r>
    </w:p>
    <w:p w14:paraId="34C276B3" w14:textId="77777777" w:rsidR="00D06738" w:rsidRDefault="00D06738" w:rsidRPr="00FF6B9A">
      <w:pPr>
        <w:spacing w:line="360" w:lineRule="auto"/>
        <w:ind w:firstLine="480" w:firstLineChars="200"/>
        <w:rPr>
          <w:rFonts w:eastAsiaTheme="minorEastAsia"/>
          <w:color w:themeColor="text1" w:val="000000"/>
          <w:sz w:val="24"/>
          <w:szCs w:val="24"/>
        </w:rPr>
      </w:pPr>
    </w:p>
    <w:p w14:paraId="23507D88"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8.</w:t>
      </w:r>
      <w:proofErr w:type="gramEnd"/>
      <w:r w:rsidRPr="00FF6B9A">
        <w:rPr>
          <w:rFonts w:eastAsiaTheme="minorEastAsia"/>
          <w:b/>
          <w:bCs/>
          <w:color w:themeColor="text1" w:val="000000"/>
          <w:kern w:val="0"/>
          <w:sz w:val="24"/>
          <w:szCs w:val="24"/>
        </w:rPr>
        <w:t xml:space="preserve">2 </w:t>
      </w:r>
      <w:r w:rsidRPr="00FF6B9A">
        <w:rPr>
          <w:rFonts w:eastAsiaTheme="minorEastAsia"/>
          <w:b/>
          <w:bCs/>
          <w:color w:themeColor="text1" w:val="000000"/>
          <w:kern w:val="0"/>
          <w:sz w:val="24"/>
          <w:szCs w:val="24"/>
        </w:rPr>
        <w:t>存放地点</w:t>
      </w:r>
    </w:p>
    <w:p w14:paraId="61EC8F57"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基金管理人或基金托管人住所。</w:t>
      </w:r>
    </w:p>
    <w:p w14:paraId="4B43DAA4" w14:textId="77777777" w:rsidR="00D06738" w:rsidRDefault="00D06738" w:rsidRPr="00FF6B9A">
      <w:pPr>
        <w:spacing w:line="360" w:lineRule="auto"/>
        <w:ind w:firstLine="480" w:firstLineChars="200"/>
        <w:rPr>
          <w:rFonts w:eastAsiaTheme="minorEastAsia"/>
          <w:color w:themeColor="text1" w:val="000000"/>
          <w:sz w:val="24"/>
          <w:szCs w:val="24"/>
        </w:rPr>
      </w:pPr>
    </w:p>
    <w:p w14:paraId="05279DD9"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8.</w:t>
      </w:r>
      <w:proofErr w:type="gramEnd"/>
      <w:r w:rsidRPr="00FF6B9A">
        <w:rPr>
          <w:rFonts w:eastAsiaTheme="minorEastAsia"/>
          <w:b/>
          <w:bCs/>
          <w:color w:themeColor="text1" w:val="000000"/>
          <w:kern w:val="0"/>
          <w:sz w:val="24"/>
          <w:szCs w:val="24"/>
        </w:rPr>
        <w:t xml:space="preserve">3 </w:t>
      </w:r>
      <w:r w:rsidRPr="00FF6B9A">
        <w:rPr>
          <w:rFonts w:eastAsiaTheme="minorEastAsia"/>
          <w:b/>
          <w:bCs/>
          <w:color w:themeColor="text1" w:val="000000"/>
          <w:kern w:val="0"/>
          <w:sz w:val="24"/>
          <w:szCs w:val="24"/>
        </w:rPr>
        <w:t>查阅方式</w:t>
      </w:r>
    </w:p>
    <w:p w14:paraId="5BDF4042"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投资者可在营业时间免费查阅，也可按工本费购买复印件。</w:t>
      </w:r>
    </w:p>
    <w:p w14:paraId="1EB1072F" w14:textId="77777777" w:rsidR="00D06738" w:rsidRDefault="00D06738" w:rsidRPr="00FF6B9A">
      <w:pPr>
        <w:spacing w:line="360" w:lineRule="auto"/>
        <w:ind w:left="840"/>
        <w:jc w:val="right"/>
        <w:rPr>
          <w:rFonts w:eastAsiaTheme="minorEastAsia"/>
          <w:color w:themeColor="text1" w:val="000000"/>
          <w:sz w:val="24"/>
          <w:szCs w:val="24"/>
        </w:rPr>
      </w:pPr>
    </w:p>
    <w:p w14:paraId="086D5C70" w14:textId="77777777" w:rsidR="00D06738" w:rsidRDefault="00D06738" w:rsidRPr="00FF6B9A">
      <w:pPr>
        <w:spacing w:line="360" w:lineRule="auto"/>
        <w:ind w:left="840"/>
        <w:jc w:val="right"/>
        <w:rPr>
          <w:rFonts w:eastAsiaTheme="minorEastAsia"/>
          <w:color w:themeColor="text1" w:val="000000"/>
          <w:sz w:val="24"/>
          <w:szCs w:val="24"/>
        </w:rPr>
      </w:pPr>
    </w:p>
    <w:p w14:paraId="667FD74D" w14:textId="77777777" w:rsidR="00D06738" w:rsidRDefault="00D06738" w:rsidRPr="00FF6B9A">
      <w:pPr>
        <w:spacing w:line="360" w:lineRule="auto"/>
        <w:ind w:left="840"/>
        <w:jc w:val="right"/>
        <w:rPr>
          <w:rFonts w:eastAsiaTheme="minorEastAsia"/>
          <w:color w:themeColor="text1" w:val="000000"/>
          <w:sz w:val="24"/>
          <w:szCs w:val="24"/>
        </w:rPr>
      </w:pPr>
    </w:p>
    <w:p w14:paraId="5173A207" w14:textId="77777777" w:rsidR="00D06738" w:rsidRDefault="00D06738" w:rsidRPr="00FF6B9A">
      <w:pPr>
        <w:spacing w:line="360" w:lineRule="auto"/>
        <w:ind w:left="840"/>
        <w:jc w:val="right"/>
        <w:rPr>
          <w:rFonts w:eastAsiaTheme="minorEastAsia"/>
          <w:color w:themeColor="text1" w:val="000000"/>
          <w:sz w:val="24"/>
          <w:szCs w:val="24"/>
        </w:rPr>
      </w:pPr>
    </w:p>
    <w:p w14:paraId="5C1BC673" w14:textId="77777777" w:rsidR="00D06738" w:rsidRDefault="00D06738" w:rsidRPr="00FF6B9A">
      <w:pPr>
        <w:spacing w:line="360" w:lineRule="auto"/>
        <w:ind w:left="840"/>
        <w:jc w:val="right"/>
        <w:rPr>
          <w:rFonts w:eastAsiaTheme="minorEastAsia"/>
          <w:color w:themeColor="text1" w:val="000000"/>
          <w:sz w:val="24"/>
          <w:szCs w:val="24"/>
        </w:rPr>
      </w:pPr>
    </w:p>
    <w:p w14:paraId="309916CD" w14:textId="77777777" w:rsidR="00D06738" w:rsidRDefault="00D06738" w:rsidRPr="00FF6B9A">
      <w:pPr>
        <w:spacing w:line="360" w:lineRule="auto"/>
        <w:ind w:left="840"/>
        <w:jc w:val="right"/>
        <w:rPr>
          <w:rFonts w:eastAsiaTheme="minorEastAsia"/>
          <w:color w:themeColor="text1" w:val="000000"/>
          <w:sz w:val="24"/>
          <w:szCs w:val="24"/>
        </w:rPr>
      </w:pPr>
    </w:p>
    <w:p w14:paraId="7C0C74F6" w14:textId="77777777" w:rsidR="00D06738" w:rsidRDefault="00D06738" w:rsidRPr="00FF6B9A">
      <w:pPr>
        <w:spacing w:line="360" w:lineRule="auto"/>
        <w:ind w:left="840"/>
        <w:jc w:val="right"/>
        <w:rPr>
          <w:rFonts w:eastAsiaTheme="minorEastAsia"/>
          <w:color w:themeColor="text1" w:val="000000"/>
          <w:sz w:val="24"/>
          <w:szCs w:val="24"/>
        </w:rPr>
      </w:pPr>
    </w:p>
    <w:p w14:paraId="04EFEDF1" w14:textId="77777777" w:rsidR="00D06738" w:rsidRDefault="00D06738" w:rsidRPr="00FF6B9A">
      <w:pPr>
        <w:spacing w:line="360" w:lineRule="auto"/>
        <w:ind w:left="840"/>
        <w:jc w:val="right"/>
        <w:rPr>
          <w:rFonts w:eastAsiaTheme="minorEastAsia"/>
          <w:color w:themeColor="text1" w:val="000000"/>
          <w:sz w:val="24"/>
          <w:szCs w:val="24"/>
        </w:rPr>
      </w:pPr>
    </w:p>
    <w:p w14:paraId="0387F1AC" w14:textId="77777777" w:rsidR="00D06738" w:rsidRDefault="00454D20" w:rsidRPr="00FF6B9A">
      <w:pPr>
        <w:spacing w:line="360" w:lineRule="auto"/>
        <w:jc w:val="right"/>
        <w:rPr>
          <w:rFonts w:eastAsiaTheme="minorEastAsia"/>
          <w:b/>
          <w:bCs/>
          <w:color w:themeColor="text1" w:val="000000"/>
          <w:sz w:val="24"/>
          <w:szCs w:val="24"/>
        </w:rPr>
      </w:pPr>
      <w:r w:rsidRPr="00FF6B9A">
        <w:rPr>
          <w:rFonts w:eastAsiaTheme="minorEastAsia"/>
          <w:b/>
          <w:bCs/>
          <w:color w:themeColor="text1" w:val="000000"/>
          <w:sz w:val="24"/>
          <w:szCs w:val="24"/>
        </w:rPr>
        <w:t/>
      </w:r>
      <w:proofErr w:type="spellStart"/>
      <w:r w:rsidRPr="00FF6B9A">
        <w:rPr>
          <w:rFonts w:eastAsiaTheme="minorEastAsia"/>
          <w:b/>
          <w:bCs/>
          <w:color w:themeColor="text1" w:val="000000"/>
          <w:sz w:val="24"/>
          <w:szCs w:val="24"/>
        </w:rPr>
        <w:t/>
      </w:r>
      <w:proofErr w:type="spellEnd"/>
      <w:r w:rsidRPr="00FF6B9A">
        <w:rPr>
          <w:rFonts w:eastAsiaTheme="minorEastAsia"/>
          <w:b/>
          <w:bCs/>
          <w:color w:themeColor="text1" w:val="000000"/>
          <w:sz w:val="24"/>
          <w:szCs w:val="24"/>
        </w:rPr>
        <w:t>上投摩根基金管理有限公司</w:t>
      </w:r>
    </w:p>
    <w:p w14:paraId="114F1307" w14:textId="77777777" w:rsidR="00D06738" w:rsidRDefault="00454D20" w:rsidRPr="00FF6B9A">
      <w:pPr>
        <w:spacing w:line="360" w:lineRule="auto"/>
        <w:jc w:val="right"/>
        <w:rPr>
          <w:rFonts w:eastAsiaTheme="minorEastAsia"/>
          <w:b/>
          <w:bCs/>
          <w:color w:themeColor="text1" w:val="000000"/>
          <w:sz w:val="24"/>
          <w:szCs w:val="24"/>
        </w:rPr>
      </w:pPr>
      <w:r w:rsidRPr="00FF6B9A">
        <w:rPr>
          <w:rFonts w:eastAsiaTheme="minorEastAsia"/>
          <w:b/>
          <w:bCs/>
          <w:color w:themeColor="text1" w:val="000000"/>
          <w:sz w:val="24"/>
          <w:szCs w:val="24"/>
        </w:rPr>
        <w:t/>
      </w:r>
      <w:proofErr w:type="spellStart"/>
      <w:r w:rsidRPr="00FF6B9A">
        <w:rPr>
          <w:rFonts w:eastAsiaTheme="minorEastAsia"/>
          <w:b/>
          <w:bCs/>
          <w:color w:themeColor="text1" w:val="000000"/>
          <w:sz w:val="24"/>
          <w:szCs w:val="24"/>
        </w:rPr>
        <w:t/>
      </w:r>
      <w:proofErr w:type="spellEnd"/>
      <w:r w:rsidRPr="00FF6B9A">
        <w:rPr>
          <w:rFonts w:eastAsiaTheme="minorEastAsia"/>
          <w:b/>
          <w:bCs/>
          <w:color w:themeColor="text1" w:val="000000"/>
          <w:sz w:val="24"/>
          <w:szCs w:val="24"/>
        </w:rPr>
        <w:t>二〇二一年七月二十一日</w:t>
      </w:r>
    </w:p>
    <w:p w14:paraId="2199A838" w14:textId="77777777" w:rsidR="00D06738" w:rsidRDefault="00D06738" w:rsidRPr="00FF6B9A">
      <w:pPr>
        <w:spacing w:line="360" w:lineRule="auto"/>
        <w:ind w:left="840"/>
        <w:jc w:val="right"/>
        <w:rPr>
          <w:rFonts w:eastAsiaTheme="minorEastAsia"/>
          <w:b/>
          <w:bCs/>
          <w:color w:themeColor="text1" w:val="000000"/>
          <w:sz w:val="24"/>
          <w:szCs w:val="24"/>
        </w:rPr>
      </w:pPr>
    </w:p>
    <w:p w14:paraId="1ED73A6C" w14:textId="77777777" w:rsidR="00D06738" w:rsidRDefault="00D06738" w:rsidRPr="00FF6B9A">
      <w:pPr>
        <w:rPr>
          <w:rFonts w:eastAsiaTheme="minorEastAsia"/>
          <w:color w:themeColor="text1" w:val="000000"/>
          <w:sz w:val="24"/>
          <w:szCs w:val="24"/>
        </w:rPr>
      </w:pPr>
    </w:p>
    <w:sectPr w:rsidR="00D06738" w:rsidRPr="00FF6B9A">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A565" w14:textId="77777777" w:rsidR="007573EA" w:rsidRDefault="007573EA">
      <w:r>
        <w:separator/>
      </w:r>
    </w:p>
  </w:endnote>
  <w:endnote w:type="continuationSeparator" w:id="0">
    <w:p w14:paraId="487ADA0C" w14:textId="77777777"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78AE9C8" w14:textId="77777777" w:rsidR="007573EA" w:rsidRDefault="007573EA">
      <w:r>
        <w:separator/>
      </w:r>
    </w:p>
  </w:footnote>
  <w:footnote w:id="0" w:type="continuationSeparator">
    <w:p w14:paraId="43F62B92" w14:textId="77777777" w:rsidR="007573EA" w:rsidRDefault="007573E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上投摩根整合驱动灵活配置混合型证券投资基金</w:t>
    </w:r>
    <w:proofErr w:type="spellStart"/>
    <w:proofErr w:type="gramEnd"/>
    <w:r>
      <w:rPr>
        <w:rFonts w:hint="eastAsia"/>
      </w:rPr>
      <w:t/>
    </w:r>
    <w:proofErr w:type="spellEnd"/>
    <w:r>
      <w:rPr>
        <w:rFonts w:hint="eastAsia"/>
      </w:rPr>
      <w:t>2021年第2季度报告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qFormat/>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4167</Words>
  <Characters>23756</Characters>
  <Application>Microsoft Office Word</Application>
  <DocSecurity>0</DocSecurity>
  <Lines>197</Lines>
  <Paragraphs>55</Paragraphs>
  <ScaleCrop>false</ScaleCrop>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良 虢</cp:lastModifiedBy>
  <dcterms:modified xsi:type="dcterms:W3CDTF">2021-06-04T04:09:00Z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