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bookmarkStart w:id="0" w:name="_GoBack"/>
      <w:bookmarkEnd w:id="0"/>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上投摩根卓越制造股票型证券投资基金</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2021</w:t>
      </w:r>
      <w:r w:rsidRPr="00FF6B9A">
        <w:rPr>
          <w:rFonts w:eastAsiaTheme="minorEastAsia"/>
          <w:b/>
          <w:color w:val="000000" w:themeColor="text1"/>
          <w:sz w:val="36"/>
          <w:szCs w:val="36"/>
        </w:rPr>
        <w:t>年第</w:t>
      </w:r>
      <w:r w:rsidRPr="00FF6B9A">
        <w:rPr>
          <w:rFonts w:eastAsiaTheme="minorEastAsia"/>
          <w:b/>
          <w:color w:val="000000" w:themeColor="text1"/>
          <w:sz w:val="36"/>
          <w:szCs w:val="36"/>
        </w:rPr>
        <w:t>2</w:t>
      </w:r>
      <w:r w:rsidRPr="00FF6B9A">
        <w:rPr>
          <w:rFonts w:eastAsiaTheme="minorEastAsia"/>
          <w:b/>
          <w:color w:val="000000" w:themeColor="text1"/>
          <w:sz w:val="36"/>
          <w:szCs w:val="36"/>
        </w:rPr>
        <w:t>季度报告</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2021</w:t>
      </w:r>
      <w:r w:rsidRPr="00FF6B9A">
        <w:rPr>
          <w:rFonts w:eastAsiaTheme="minorEastAsia"/>
          <w:b/>
          <w:color w:val="000000" w:themeColor="text1"/>
          <w:sz w:val="36"/>
          <w:szCs w:val="36"/>
        </w:rPr>
        <w:t>年</w:t>
      </w:r>
      <w:r w:rsidRPr="00FF6B9A">
        <w:rPr>
          <w:rFonts w:eastAsiaTheme="minorEastAsia"/>
          <w:b/>
          <w:color w:val="000000" w:themeColor="text1"/>
          <w:sz w:val="36"/>
          <w:szCs w:val="36"/>
        </w:rPr>
        <w:t>6</w:t>
      </w:r>
      <w:r w:rsidRPr="00FF6B9A">
        <w:rPr>
          <w:rFonts w:eastAsiaTheme="minorEastAsia"/>
          <w:b/>
          <w:color w:val="000000" w:themeColor="text1"/>
          <w:sz w:val="36"/>
          <w:szCs w:val="36"/>
        </w:rPr>
        <w:t>月</w:t>
      </w:r>
      <w:r w:rsidRPr="00FF6B9A">
        <w:rPr>
          <w:rFonts w:eastAsiaTheme="minorEastAsia"/>
          <w:b/>
          <w:color w:val="000000" w:themeColor="text1"/>
          <w:sz w:val="36"/>
          <w:szCs w:val="36"/>
        </w:rPr>
        <w:t>30</w:t>
      </w:r>
      <w:r w:rsidRPr="00FF6B9A">
        <w:rPr>
          <w:rFonts w:eastAsiaTheme="minorEastAsia"/>
          <w:b/>
          <w:color w:val="000000" w:themeColor="text1"/>
          <w:sz w:val="36"/>
          <w:szCs w:val="36"/>
        </w:rPr>
        <w:t>日</w:t>
      </w: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rPr>
          <w:rFonts w:eastAsiaTheme="minorEastAsia"/>
          <w:b/>
          <w:bCs/>
          <w:color w:val="000000" w:themeColor="text1"/>
          <w:sz w:val="24"/>
          <w:szCs w:val="24"/>
        </w:rPr>
      </w:pP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基金管理人：上投摩根基金管理有限公司</w:t>
      </w: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基金托管人：中国建设银行股份有限公司</w:t>
      </w:r>
    </w:p>
    <w:p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报告送出日期：二〇二一年七月二十一日</w:t>
      </w:r>
    </w:p>
    <w:p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rsidR="00B1194E" w:rsidRDefault="00723258">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rsidR="00B1194E" w:rsidRDefault="00723258">
      <w:pPr>
        <w:spacing w:line="360" w:lineRule="auto"/>
        <w:ind w:firstLineChars="200" w:firstLine="420"/>
        <w:rPr>
          <w:rFonts w:eastAsiaTheme="minorEastAsia"/>
          <w:color w:val="000000" w:themeColor="text1"/>
        </w:rPr>
      </w:pPr>
      <w:r>
        <w:rPr>
          <w:rFonts w:eastAsiaTheme="minorEastAsia"/>
          <w:color w:val="000000" w:themeColor="text1"/>
        </w:rPr>
        <w:t>基金托管人中国建设银行股份有限公司根据本基金合同规定，于</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w:t>
      </w:r>
      <w:r>
        <w:rPr>
          <w:rFonts w:eastAsiaTheme="minorEastAsia"/>
          <w:color w:val="000000" w:themeColor="text1"/>
        </w:rPr>
        <w:t>20</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rsidR="00B1194E" w:rsidRDefault="00723258">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rsidR="00B1194E" w:rsidRDefault="00723258">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基金的过往业绩并不代表其未来表现。投资有风险，投资者在作出投资决策前应仔细阅读本基金的招募说明书。</w:t>
      </w:r>
      <w:r>
        <w:rPr>
          <w:rFonts w:eastAsiaTheme="minorEastAsia"/>
          <w:color w:val="000000" w:themeColor="text1"/>
        </w:rPr>
        <w:t xml:space="preserve"> </w:t>
      </w:r>
    </w:p>
    <w:p w:rsidR="00B1194E" w:rsidRDefault="00723258">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4</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6</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日止。</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上投摩根卓越制造股票</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001126</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001126</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契约型开放式</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2015</w:t>
            </w:r>
            <w:r w:rsidRPr="00FF6B9A">
              <w:rPr>
                <w:rFonts w:eastAsiaTheme="minorEastAsia"/>
                <w:color w:val="000000" w:themeColor="text1"/>
                <w:kern w:val="0"/>
              </w:rPr>
              <w:t>年</w:t>
            </w:r>
            <w:r w:rsidRPr="00FF6B9A">
              <w:rPr>
                <w:rFonts w:eastAsiaTheme="minorEastAsia"/>
                <w:color w:val="000000" w:themeColor="text1"/>
                <w:kern w:val="0"/>
              </w:rPr>
              <w:t>4</w:t>
            </w:r>
            <w:r w:rsidRPr="00FF6B9A">
              <w:rPr>
                <w:rFonts w:eastAsiaTheme="minorEastAsia"/>
                <w:color w:val="000000" w:themeColor="text1"/>
                <w:kern w:val="0"/>
              </w:rPr>
              <w:t>月</w:t>
            </w:r>
            <w:r w:rsidRPr="00FF6B9A">
              <w:rPr>
                <w:rFonts w:eastAsiaTheme="minorEastAsia"/>
                <w:color w:val="000000" w:themeColor="text1"/>
                <w:kern w:val="0"/>
              </w:rPr>
              <w:t>14</w:t>
            </w:r>
            <w:r w:rsidRPr="00FF6B9A">
              <w:rPr>
                <w:rFonts w:eastAsiaTheme="minorEastAsia"/>
                <w:color w:val="000000" w:themeColor="text1"/>
                <w:kern w:val="0"/>
              </w:rPr>
              <w:t>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1,256,302,057.62</w:t>
            </w:r>
            <w:r w:rsidRPr="00FF6B9A">
              <w:rPr>
                <w:rFonts w:eastAsiaTheme="minorEastAsia"/>
                <w:color w:val="000000" w:themeColor="text1"/>
                <w:kern w:val="0"/>
              </w:rPr>
              <w:t>份</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通过系统和深入的基本面研究，重点投资于制造业中具有竞争力的优质上市公司，在严格控制风险的前提下，力争实现基金资产长期稳定增值。</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rsidR="00B1194E" w:rsidRDefault="00723258">
            <w:pPr>
              <w:adjustRightInd w:val="0"/>
              <w:spacing w:before="29" w:line="360" w:lineRule="auto"/>
              <w:ind w:left="17"/>
              <w:rPr>
                <w:rFonts w:eastAsiaTheme="minorEastAsia"/>
                <w:color w:val="000000" w:themeColor="text1"/>
              </w:rPr>
            </w:pPr>
            <w:r>
              <w:rPr>
                <w:rFonts w:eastAsiaTheme="minorEastAsia"/>
                <w:color w:val="000000" w:themeColor="text1"/>
                <w:kern w:val="0"/>
              </w:rPr>
              <w:t>本基金将通过系统和深入的基本面研究，重点投资于制造业中具有竞争力的优质上市公司，在严格控制风险的前提下，力争实现基金资产长期稳定增值。本基金将不低于</w:t>
            </w:r>
            <w:r>
              <w:rPr>
                <w:rFonts w:eastAsiaTheme="minorEastAsia"/>
                <w:color w:val="000000" w:themeColor="text1"/>
                <w:kern w:val="0"/>
              </w:rPr>
              <w:t>80%</w:t>
            </w:r>
            <w:r>
              <w:rPr>
                <w:rFonts w:eastAsiaTheme="minorEastAsia"/>
                <w:color w:val="000000" w:themeColor="text1"/>
                <w:kern w:val="0"/>
              </w:rPr>
              <w:t>的非现金基金资产投资于国家卓越制造相关行业。</w:t>
            </w:r>
          </w:p>
          <w:p w:rsidR="00B1194E" w:rsidRDefault="00723258">
            <w:pPr>
              <w:adjustRightInd w:val="0"/>
              <w:spacing w:before="29" w:line="360" w:lineRule="auto"/>
              <w:ind w:left="17"/>
              <w:rPr>
                <w:rFonts w:eastAsiaTheme="minorEastAsia"/>
                <w:color w:val="000000" w:themeColor="text1"/>
              </w:rPr>
            </w:pPr>
            <w:r>
              <w:rPr>
                <w:rFonts w:eastAsiaTheme="minorEastAsia"/>
                <w:color w:val="000000" w:themeColor="text1"/>
                <w:kern w:val="0"/>
              </w:rPr>
              <w:lastRenderedPageBreak/>
              <w:t>在行业配置层面，本基金将从行业生命周期、行业景气度、行业竞争格局等多角度，综合评估各个行业的投资价值，对基金资产在行业间分配进行安排。</w:t>
            </w:r>
          </w:p>
          <w:p w:rsidR="00B1194E" w:rsidRDefault="00723258">
            <w:pPr>
              <w:adjustRightInd w:val="0"/>
              <w:spacing w:before="29" w:line="360" w:lineRule="auto"/>
              <w:ind w:left="17"/>
              <w:rPr>
                <w:rFonts w:eastAsiaTheme="minorEastAsia"/>
                <w:color w:val="000000" w:themeColor="text1"/>
              </w:rPr>
            </w:pPr>
            <w:r>
              <w:rPr>
                <w:rFonts w:eastAsiaTheme="minorEastAsia"/>
                <w:color w:val="000000" w:themeColor="text1"/>
                <w:kern w:val="0"/>
              </w:rPr>
              <w:t>在个股选择层面，本基金将主要采用</w:t>
            </w:r>
            <w:r>
              <w:rPr>
                <w:rFonts w:eastAsiaTheme="minorEastAsia"/>
                <w:color w:val="000000" w:themeColor="text1"/>
                <w:kern w:val="0"/>
              </w:rPr>
              <w:t>“</w:t>
            </w:r>
            <w:r>
              <w:rPr>
                <w:rFonts w:eastAsiaTheme="minorEastAsia"/>
                <w:color w:val="000000" w:themeColor="text1"/>
                <w:kern w:val="0"/>
              </w:rPr>
              <w:t>自下而上</w:t>
            </w:r>
            <w:r>
              <w:rPr>
                <w:rFonts w:eastAsiaTheme="minorEastAsia"/>
                <w:color w:val="000000" w:themeColor="text1"/>
                <w:kern w:val="0"/>
              </w:rPr>
              <w:t>”</w:t>
            </w:r>
            <w:r>
              <w:rPr>
                <w:rFonts w:eastAsiaTheme="minorEastAsia"/>
                <w:color w:val="000000" w:themeColor="text1"/>
                <w:kern w:val="0"/>
              </w:rPr>
              <w:t>的方法，在备选行业内部通过定量与定性相结合的分析方法，综合分析上市公司的业绩质量、成长性和估值水平等各方面信息，精选具有良好成长性、估值合理的个股。</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具体投资策略包括：资产配置策略、股票投资策略、行业配置策略、固定收益类投资策略、可转换债券投资策略、中小企业私募债券投资策略、股指期货投资策略、资产支持证券投资策略、权证投资策略、存托凭证投资策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业绩比较基准</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申万制造业指数收益率</w:t>
            </w:r>
            <w:r w:rsidRPr="00FF6B9A">
              <w:rPr>
                <w:rFonts w:eastAsiaTheme="minorEastAsia"/>
                <w:color w:val="000000" w:themeColor="text1"/>
                <w:kern w:val="0"/>
              </w:rPr>
              <w:t>×85%+</w:t>
            </w:r>
            <w:r w:rsidRPr="00FF6B9A">
              <w:rPr>
                <w:rFonts w:eastAsiaTheme="minorEastAsia"/>
                <w:color w:val="000000" w:themeColor="text1"/>
                <w:kern w:val="0"/>
              </w:rPr>
              <w:t>上证国债指数收益率</w:t>
            </w:r>
            <w:r w:rsidRPr="00FF6B9A">
              <w:rPr>
                <w:rFonts w:eastAsiaTheme="minorEastAsia"/>
                <w:color w:val="000000" w:themeColor="text1"/>
                <w:kern w:val="0"/>
              </w:rPr>
              <w:t>×15%</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rsidR="00B1194E" w:rsidRDefault="00723258">
            <w:pPr>
              <w:adjustRightInd w:val="0"/>
              <w:spacing w:before="29" w:line="360" w:lineRule="auto"/>
              <w:ind w:left="17"/>
              <w:rPr>
                <w:rFonts w:eastAsiaTheme="minorEastAsia"/>
                <w:color w:val="000000" w:themeColor="text1"/>
              </w:rPr>
            </w:pPr>
            <w:r>
              <w:rPr>
                <w:rFonts w:eastAsiaTheme="minorEastAsia"/>
                <w:color w:val="000000" w:themeColor="text1"/>
                <w:kern w:val="0"/>
              </w:rPr>
              <w:t>本基金属于股票型基金产品，预期风险和收益水平高于混合型基金、债券型基金和货币市场基金，属于较高风险收益水平的基金产品。</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根据</w:t>
            </w:r>
            <w:r w:rsidRPr="00FF6B9A">
              <w:rPr>
                <w:rFonts w:eastAsiaTheme="minorEastAsia"/>
                <w:color w:val="000000" w:themeColor="text1"/>
                <w:kern w:val="0"/>
              </w:rPr>
              <w:t>2017</w:t>
            </w:r>
            <w:r w:rsidRPr="00FF6B9A">
              <w:rPr>
                <w:rFonts w:eastAsiaTheme="minorEastAsia"/>
                <w:color w:val="000000" w:themeColor="text1"/>
                <w:kern w:val="0"/>
              </w:rPr>
              <w:t>年</w:t>
            </w:r>
            <w:r w:rsidRPr="00FF6B9A">
              <w:rPr>
                <w:rFonts w:eastAsiaTheme="minorEastAsia"/>
                <w:color w:val="000000" w:themeColor="text1"/>
                <w:kern w:val="0"/>
              </w:rPr>
              <w:t>7</w:t>
            </w:r>
            <w:r w:rsidRPr="00FF6B9A">
              <w:rPr>
                <w:rFonts w:eastAsiaTheme="minorEastAsia"/>
                <w:color w:val="000000" w:themeColor="text1"/>
                <w:kern w:val="0"/>
              </w:rPr>
              <w:t>月</w:t>
            </w:r>
            <w:r w:rsidRPr="00FF6B9A">
              <w:rPr>
                <w:rFonts w:eastAsiaTheme="minorEastAsia"/>
                <w:color w:val="000000" w:themeColor="text1"/>
                <w:kern w:val="0"/>
              </w:rPr>
              <w:t>1</w:t>
            </w:r>
            <w:r w:rsidRPr="00FF6B9A">
              <w:rPr>
                <w:rFonts w:eastAsiaTheme="minorEastAsia"/>
                <w:color w:val="000000" w:themeColor="text1"/>
                <w:kern w:val="0"/>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基金管理人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上投摩根基金管理有限公司</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中国建设银行股份有限公司</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723258" w:rsidRPr="00FF6B9A" w:rsidTr="00723258">
        <w:tc>
          <w:tcPr>
            <w:tcW w:w="3402" w:type="dxa"/>
            <w:vAlign w:val="center"/>
          </w:tcPr>
          <w:p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lastRenderedPageBreak/>
              <w:t>(2021</w:t>
            </w:r>
            <w:r w:rsidRPr="00FF6B9A">
              <w:rPr>
                <w:rFonts w:eastAsiaTheme="minorEastAsia"/>
                <w:color w:val="000000" w:themeColor="text1"/>
              </w:rPr>
              <w:t>年</w:t>
            </w:r>
            <w:r w:rsidRPr="00FF6B9A">
              <w:rPr>
                <w:rFonts w:eastAsiaTheme="minorEastAsia"/>
                <w:color w:val="000000" w:themeColor="text1"/>
              </w:rPr>
              <w:t>4</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6</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w:t>
            </w:r>
            <w:r w:rsidRPr="00FF6B9A">
              <w:rPr>
                <w:rFonts w:eastAsiaTheme="minorEastAsia"/>
                <w:color w:val="000000" w:themeColor="text1"/>
              </w:rPr>
              <w:t>)</w:t>
            </w:r>
          </w:p>
        </w:tc>
      </w:tr>
      <w:tr w:rsidR="00723258" w:rsidRPr="00FF6B9A" w:rsidTr="00723258">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lastRenderedPageBreak/>
              <w:t>1.</w:t>
            </w:r>
            <w:r w:rsidRPr="00FF6B9A">
              <w:rPr>
                <w:rFonts w:eastAsiaTheme="minorEastAsia"/>
                <w:color w:val="000000" w:themeColor="text1"/>
                <w:kern w:val="0"/>
              </w:rPr>
              <w:t>本期已实现收益</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30,480,830.17</w:t>
            </w:r>
          </w:p>
        </w:tc>
      </w:tr>
      <w:tr w:rsidR="00723258" w:rsidRPr="00FF6B9A" w:rsidTr="00723258">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285,521,672.09</w:t>
            </w:r>
          </w:p>
        </w:tc>
      </w:tr>
      <w:tr w:rsidR="00723258" w:rsidRPr="00FF6B9A" w:rsidTr="00723258">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w:t>
            </w:r>
            <w:r w:rsidRPr="00FF6B9A">
              <w:rPr>
                <w:rFonts w:eastAsiaTheme="minorEastAsia"/>
                <w:color w:val="000000" w:themeColor="text1"/>
                <w:kern w:val="0"/>
              </w:rPr>
              <w:t>加权平均基金份额本期利润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0.2233</w:t>
            </w:r>
          </w:p>
        </w:tc>
      </w:tr>
      <w:tr w:rsidR="00723258" w:rsidRPr="00FF6B9A" w:rsidTr="00723258">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2,322,315,418.70</w:t>
            </w:r>
          </w:p>
        </w:tc>
      </w:tr>
      <w:tr w:rsidR="00723258" w:rsidRPr="00FF6B9A" w:rsidTr="00723258">
        <w:trPr>
          <w:trHeight w:val="158"/>
        </w:trPr>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1.8485</w:t>
            </w:r>
          </w:p>
        </w:tc>
      </w:tr>
    </w:tbl>
    <w:p w:rsidR="00B1194E" w:rsidRDefault="00723258">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注：本期已实现收益指基金本期利息收入、投资收益、其他收入</w:t>
      </w:r>
      <w:r>
        <w:rPr>
          <w:rFonts w:eastAsiaTheme="minorEastAsia"/>
          <w:color w:val="000000" w:themeColor="text1"/>
        </w:rPr>
        <w:t>(</w:t>
      </w:r>
      <w:r>
        <w:rPr>
          <w:rFonts w:eastAsiaTheme="minorEastAsia"/>
          <w:color w:val="000000" w:themeColor="text1"/>
        </w:rPr>
        <w:t>不含公允价值变动收益</w:t>
      </w:r>
      <w:r>
        <w:rPr>
          <w:rFonts w:eastAsiaTheme="minorEastAsia"/>
          <w:color w:val="000000" w:themeColor="text1"/>
        </w:rPr>
        <w:t>)</w:t>
      </w:r>
      <w:r>
        <w:rPr>
          <w:rFonts w:eastAsiaTheme="minorEastAsia"/>
          <w:color w:val="000000" w:themeColor="text1"/>
        </w:rPr>
        <w:t>扣除相关费用后的余额，本期利润为本期已实现收益加上本期公允价值变动收益。</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tc>
          <w:tcPr>
            <w:tcW w:w="139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t>②</w:t>
            </w:r>
          </w:p>
        </w:tc>
        <w:tc>
          <w:tcPr>
            <w:tcW w:w="118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w:t>
            </w:r>
            <w:r w:rsidRPr="00FF6B9A">
              <w:rPr>
                <w:rFonts w:ascii="宋体" w:hAnsi="宋体" w:cs="宋体" w:hint="eastAsia"/>
                <w:color w:val="000000" w:themeColor="text1"/>
                <w:kern w:val="0"/>
              </w:rPr>
              <w:t>③</w:t>
            </w:r>
          </w:p>
        </w:tc>
        <w:tc>
          <w:tcPr>
            <w:tcW w:w="118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业绩比较基准收益率标准差</w:t>
            </w:r>
            <w:r w:rsidRPr="00FF6B9A">
              <w:rPr>
                <w:rFonts w:ascii="宋体" w:hAnsi="宋体" w:cs="宋体" w:hint="eastAsia"/>
                <w:color w:val="000000" w:themeColor="text1"/>
                <w:kern w:val="0"/>
              </w:rPr>
              <w:t>④</w:t>
            </w:r>
          </w:p>
        </w:tc>
        <w:tc>
          <w:tcPr>
            <w:tcW w:w="119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B1194E">
        <w:tc>
          <w:tcPr>
            <w:tcW w:w="1395" w:type="dxa"/>
            <w:vAlign w:val="center"/>
          </w:tcPr>
          <w:p w:rsidR="00B1194E" w:rsidRDefault="00723258">
            <w:pPr>
              <w:jc w:val="left"/>
            </w:pPr>
            <w:r>
              <w:rPr>
                <w:rFonts w:eastAsiaTheme="minorEastAsia"/>
                <w:color w:val="000000" w:themeColor="text1"/>
                <w:kern w:val="0"/>
              </w:rPr>
              <w:t>过去三个月</w:t>
            </w:r>
          </w:p>
        </w:tc>
        <w:tc>
          <w:tcPr>
            <w:tcW w:w="1092" w:type="dxa"/>
            <w:vAlign w:val="center"/>
          </w:tcPr>
          <w:p w:rsidR="00B1194E" w:rsidRDefault="00723258">
            <w:pPr>
              <w:jc w:val="center"/>
            </w:pPr>
            <w:r>
              <w:rPr>
                <w:rFonts w:eastAsiaTheme="minorEastAsia"/>
                <w:color w:val="000000" w:themeColor="text1"/>
                <w:kern w:val="0"/>
              </w:rPr>
              <w:t>13.78%</w:t>
            </w:r>
          </w:p>
        </w:tc>
        <w:tc>
          <w:tcPr>
            <w:tcW w:w="1161" w:type="dxa"/>
            <w:vAlign w:val="center"/>
          </w:tcPr>
          <w:p w:rsidR="00B1194E" w:rsidRDefault="00723258">
            <w:pPr>
              <w:jc w:val="center"/>
            </w:pPr>
            <w:r>
              <w:rPr>
                <w:rFonts w:eastAsiaTheme="minorEastAsia"/>
                <w:color w:val="000000" w:themeColor="text1"/>
                <w:kern w:val="0"/>
              </w:rPr>
              <w:t>1.18%</w:t>
            </w:r>
          </w:p>
        </w:tc>
        <w:tc>
          <w:tcPr>
            <w:tcW w:w="1181" w:type="dxa"/>
            <w:vAlign w:val="center"/>
          </w:tcPr>
          <w:p w:rsidR="00B1194E" w:rsidRDefault="00723258">
            <w:pPr>
              <w:jc w:val="center"/>
            </w:pPr>
            <w:r>
              <w:rPr>
                <w:rFonts w:eastAsiaTheme="minorEastAsia"/>
                <w:color w:val="000000" w:themeColor="text1"/>
                <w:kern w:val="0"/>
              </w:rPr>
              <w:t>15.30%</w:t>
            </w:r>
          </w:p>
        </w:tc>
        <w:tc>
          <w:tcPr>
            <w:tcW w:w="1188" w:type="dxa"/>
            <w:vAlign w:val="center"/>
          </w:tcPr>
          <w:p w:rsidR="00B1194E" w:rsidRDefault="00723258">
            <w:pPr>
              <w:jc w:val="center"/>
            </w:pPr>
            <w:r>
              <w:rPr>
                <w:rFonts w:eastAsiaTheme="minorEastAsia"/>
                <w:color w:val="000000" w:themeColor="text1"/>
                <w:kern w:val="0"/>
              </w:rPr>
              <w:t>0.99%</w:t>
            </w:r>
          </w:p>
        </w:tc>
        <w:tc>
          <w:tcPr>
            <w:tcW w:w="1199" w:type="dxa"/>
            <w:vAlign w:val="center"/>
          </w:tcPr>
          <w:p w:rsidR="00B1194E" w:rsidRDefault="00723258">
            <w:pPr>
              <w:jc w:val="center"/>
            </w:pPr>
            <w:r>
              <w:rPr>
                <w:rFonts w:eastAsiaTheme="minorEastAsia"/>
                <w:color w:val="000000" w:themeColor="text1"/>
                <w:kern w:val="0"/>
              </w:rPr>
              <w:t>-1.52%</w:t>
            </w:r>
          </w:p>
        </w:tc>
        <w:tc>
          <w:tcPr>
            <w:tcW w:w="1204" w:type="dxa"/>
            <w:vAlign w:val="center"/>
          </w:tcPr>
          <w:p w:rsidR="00B1194E" w:rsidRDefault="00723258">
            <w:pPr>
              <w:jc w:val="center"/>
            </w:pPr>
            <w:r>
              <w:rPr>
                <w:rFonts w:eastAsiaTheme="minorEastAsia"/>
                <w:color w:val="000000" w:themeColor="text1"/>
                <w:kern w:val="0"/>
              </w:rPr>
              <w:t>0.19%</w:t>
            </w:r>
          </w:p>
        </w:tc>
      </w:tr>
      <w:tr w:rsidR="00B1194E">
        <w:tc>
          <w:tcPr>
            <w:tcW w:w="1395" w:type="dxa"/>
            <w:vAlign w:val="center"/>
          </w:tcPr>
          <w:p w:rsidR="00B1194E" w:rsidRDefault="00723258">
            <w:pPr>
              <w:jc w:val="left"/>
            </w:pPr>
            <w:r>
              <w:rPr>
                <w:rFonts w:eastAsiaTheme="minorEastAsia"/>
                <w:color w:val="000000" w:themeColor="text1"/>
                <w:kern w:val="0"/>
              </w:rPr>
              <w:t>过去六个月</w:t>
            </w:r>
          </w:p>
        </w:tc>
        <w:tc>
          <w:tcPr>
            <w:tcW w:w="1092" w:type="dxa"/>
            <w:vAlign w:val="center"/>
          </w:tcPr>
          <w:p w:rsidR="00B1194E" w:rsidRDefault="00723258">
            <w:pPr>
              <w:jc w:val="center"/>
            </w:pPr>
            <w:r>
              <w:rPr>
                <w:rFonts w:eastAsiaTheme="minorEastAsia"/>
                <w:color w:val="000000" w:themeColor="text1"/>
                <w:kern w:val="0"/>
              </w:rPr>
              <w:t>7.75%</w:t>
            </w:r>
          </w:p>
        </w:tc>
        <w:tc>
          <w:tcPr>
            <w:tcW w:w="1161" w:type="dxa"/>
            <w:vAlign w:val="center"/>
          </w:tcPr>
          <w:p w:rsidR="00B1194E" w:rsidRDefault="00723258">
            <w:pPr>
              <w:jc w:val="center"/>
            </w:pPr>
            <w:r>
              <w:rPr>
                <w:rFonts w:eastAsiaTheme="minorEastAsia"/>
                <w:color w:val="000000" w:themeColor="text1"/>
                <w:kern w:val="0"/>
              </w:rPr>
              <w:t>1.68%</w:t>
            </w:r>
          </w:p>
        </w:tc>
        <w:tc>
          <w:tcPr>
            <w:tcW w:w="1181" w:type="dxa"/>
            <w:vAlign w:val="center"/>
          </w:tcPr>
          <w:p w:rsidR="00B1194E" w:rsidRDefault="00723258">
            <w:pPr>
              <w:jc w:val="center"/>
            </w:pPr>
            <w:r>
              <w:rPr>
                <w:rFonts w:eastAsiaTheme="minorEastAsia"/>
                <w:color w:val="000000" w:themeColor="text1"/>
                <w:kern w:val="0"/>
              </w:rPr>
              <w:t>8.18%</w:t>
            </w:r>
          </w:p>
        </w:tc>
        <w:tc>
          <w:tcPr>
            <w:tcW w:w="1188" w:type="dxa"/>
            <w:vAlign w:val="center"/>
          </w:tcPr>
          <w:p w:rsidR="00B1194E" w:rsidRDefault="00723258">
            <w:pPr>
              <w:jc w:val="center"/>
            </w:pPr>
            <w:r>
              <w:rPr>
                <w:rFonts w:eastAsiaTheme="minorEastAsia"/>
                <w:color w:val="000000" w:themeColor="text1"/>
                <w:kern w:val="0"/>
              </w:rPr>
              <w:t>1.27%</w:t>
            </w:r>
          </w:p>
        </w:tc>
        <w:tc>
          <w:tcPr>
            <w:tcW w:w="1199" w:type="dxa"/>
            <w:vAlign w:val="center"/>
          </w:tcPr>
          <w:p w:rsidR="00B1194E" w:rsidRDefault="00723258">
            <w:pPr>
              <w:jc w:val="center"/>
            </w:pPr>
            <w:r>
              <w:rPr>
                <w:rFonts w:eastAsiaTheme="minorEastAsia"/>
                <w:color w:val="000000" w:themeColor="text1"/>
                <w:kern w:val="0"/>
              </w:rPr>
              <w:t>-0.43%</w:t>
            </w:r>
          </w:p>
        </w:tc>
        <w:tc>
          <w:tcPr>
            <w:tcW w:w="1204" w:type="dxa"/>
            <w:vAlign w:val="center"/>
          </w:tcPr>
          <w:p w:rsidR="00B1194E" w:rsidRDefault="00723258">
            <w:pPr>
              <w:jc w:val="center"/>
            </w:pPr>
            <w:r>
              <w:rPr>
                <w:rFonts w:eastAsiaTheme="minorEastAsia"/>
                <w:color w:val="000000" w:themeColor="text1"/>
                <w:kern w:val="0"/>
              </w:rPr>
              <w:t>0.41%</w:t>
            </w:r>
          </w:p>
        </w:tc>
      </w:tr>
      <w:tr w:rsidR="00B1194E">
        <w:tc>
          <w:tcPr>
            <w:tcW w:w="1395" w:type="dxa"/>
            <w:vAlign w:val="center"/>
          </w:tcPr>
          <w:p w:rsidR="00B1194E" w:rsidRDefault="00723258">
            <w:pPr>
              <w:jc w:val="left"/>
            </w:pPr>
            <w:r>
              <w:rPr>
                <w:rFonts w:eastAsiaTheme="minorEastAsia"/>
                <w:color w:val="000000" w:themeColor="text1"/>
                <w:kern w:val="0"/>
              </w:rPr>
              <w:t>过去一年</w:t>
            </w:r>
          </w:p>
        </w:tc>
        <w:tc>
          <w:tcPr>
            <w:tcW w:w="1092" w:type="dxa"/>
            <w:vAlign w:val="center"/>
          </w:tcPr>
          <w:p w:rsidR="00B1194E" w:rsidRDefault="00723258">
            <w:pPr>
              <w:jc w:val="center"/>
            </w:pPr>
            <w:r>
              <w:rPr>
                <w:rFonts w:eastAsiaTheme="minorEastAsia"/>
                <w:color w:val="000000" w:themeColor="text1"/>
                <w:kern w:val="0"/>
              </w:rPr>
              <w:t>51.37%</w:t>
            </w:r>
          </w:p>
        </w:tc>
        <w:tc>
          <w:tcPr>
            <w:tcW w:w="1161" w:type="dxa"/>
            <w:vAlign w:val="center"/>
          </w:tcPr>
          <w:p w:rsidR="00B1194E" w:rsidRDefault="00723258">
            <w:pPr>
              <w:jc w:val="center"/>
            </w:pPr>
            <w:r>
              <w:rPr>
                <w:rFonts w:eastAsiaTheme="minorEastAsia"/>
                <w:color w:val="000000" w:themeColor="text1"/>
                <w:kern w:val="0"/>
              </w:rPr>
              <w:t>1.66%</w:t>
            </w:r>
          </w:p>
        </w:tc>
        <w:tc>
          <w:tcPr>
            <w:tcW w:w="1181" w:type="dxa"/>
            <w:vAlign w:val="center"/>
          </w:tcPr>
          <w:p w:rsidR="00B1194E" w:rsidRDefault="00723258">
            <w:pPr>
              <w:jc w:val="center"/>
            </w:pPr>
            <w:r>
              <w:rPr>
                <w:rFonts w:eastAsiaTheme="minorEastAsia"/>
                <w:color w:val="000000" w:themeColor="text1"/>
                <w:kern w:val="0"/>
              </w:rPr>
              <w:t>31.10%</w:t>
            </w:r>
          </w:p>
        </w:tc>
        <w:tc>
          <w:tcPr>
            <w:tcW w:w="1188" w:type="dxa"/>
            <w:vAlign w:val="center"/>
          </w:tcPr>
          <w:p w:rsidR="00B1194E" w:rsidRDefault="00723258">
            <w:pPr>
              <w:jc w:val="center"/>
            </w:pPr>
            <w:r>
              <w:rPr>
                <w:rFonts w:eastAsiaTheme="minorEastAsia"/>
                <w:color w:val="000000" w:themeColor="text1"/>
                <w:kern w:val="0"/>
              </w:rPr>
              <w:t>1.36%</w:t>
            </w:r>
          </w:p>
        </w:tc>
        <w:tc>
          <w:tcPr>
            <w:tcW w:w="1199" w:type="dxa"/>
            <w:vAlign w:val="center"/>
          </w:tcPr>
          <w:p w:rsidR="00B1194E" w:rsidRDefault="00723258">
            <w:pPr>
              <w:jc w:val="center"/>
            </w:pPr>
            <w:r>
              <w:rPr>
                <w:rFonts w:eastAsiaTheme="minorEastAsia"/>
                <w:color w:val="000000" w:themeColor="text1"/>
                <w:kern w:val="0"/>
              </w:rPr>
              <w:t>20.27%</w:t>
            </w:r>
          </w:p>
        </w:tc>
        <w:tc>
          <w:tcPr>
            <w:tcW w:w="1204" w:type="dxa"/>
            <w:vAlign w:val="center"/>
          </w:tcPr>
          <w:p w:rsidR="00B1194E" w:rsidRDefault="00723258">
            <w:pPr>
              <w:jc w:val="center"/>
            </w:pPr>
            <w:r>
              <w:rPr>
                <w:rFonts w:eastAsiaTheme="minorEastAsia"/>
                <w:color w:val="000000" w:themeColor="text1"/>
                <w:kern w:val="0"/>
              </w:rPr>
              <w:t>0.30%</w:t>
            </w:r>
          </w:p>
        </w:tc>
      </w:tr>
      <w:tr w:rsidR="00B1194E">
        <w:tc>
          <w:tcPr>
            <w:tcW w:w="1395" w:type="dxa"/>
            <w:vAlign w:val="center"/>
          </w:tcPr>
          <w:p w:rsidR="00B1194E" w:rsidRDefault="00723258">
            <w:pPr>
              <w:jc w:val="left"/>
            </w:pPr>
            <w:r>
              <w:rPr>
                <w:rFonts w:eastAsiaTheme="minorEastAsia"/>
                <w:color w:val="000000" w:themeColor="text1"/>
                <w:kern w:val="0"/>
              </w:rPr>
              <w:t>过去三年</w:t>
            </w:r>
          </w:p>
        </w:tc>
        <w:tc>
          <w:tcPr>
            <w:tcW w:w="1092" w:type="dxa"/>
            <w:vAlign w:val="center"/>
          </w:tcPr>
          <w:p w:rsidR="00B1194E" w:rsidRDefault="00723258">
            <w:pPr>
              <w:jc w:val="center"/>
            </w:pPr>
            <w:r>
              <w:rPr>
                <w:rFonts w:eastAsiaTheme="minorEastAsia"/>
                <w:color w:val="000000" w:themeColor="text1"/>
                <w:kern w:val="0"/>
              </w:rPr>
              <w:t>215.42%</w:t>
            </w:r>
          </w:p>
        </w:tc>
        <w:tc>
          <w:tcPr>
            <w:tcW w:w="1161" w:type="dxa"/>
            <w:vAlign w:val="center"/>
          </w:tcPr>
          <w:p w:rsidR="00B1194E" w:rsidRDefault="00723258">
            <w:pPr>
              <w:jc w:val="center"/>
            </w:pPr>
            <w:r>
              <w:rPr>
                <w:rFonts w:eastAsiaTheme="minorEastAsia"/>
                <w:color w:val="000000" w:themeColor="text1"/>
                <w:kern w:val="0"/>
              </w:rPr>
              <w:t>1.51%</w:t>
            </w:r>
          </w:p>
        </w:tc>
        <w:tc>
          <w:tcPr>
            <w:tcW w:w="1181" w:type="dxa"/>
            <w:vAlign w:val="center"/>
          </w:tcPr>
          <w:p w:rsidR="00B1194E" w:rsidRDefault="00723258">
            <w:pPr>
              <w:jc w:val="center"/>
            </w:pPr>
            <w:r>
              <w:rPr>
                <w:rFonts w:eastAsiaTheme="minorEastAsia"/>
                <w:color w:val="000000" w:themeColor="text1"/>
                <w:kern w:val="0"/>
              </w:rPr>
              <w:t>63.18%</w:t>
            </w:r>
          </w:p>
        </w:tc>
        <w:tc>
          <w:tcPr>
            <w:tcW w:w="1188" w:type="dxa"/>
            <w:vAlign w:val="center"/>
          </w:tcPr>
          <w:p w:rsidR="00B1194E" w:rsidRDefault="00723258">
            <w:pPr>
              <w:jc w:val="center"/>
            </w:pPr>
            <w:r>
              <w:rPr>
                <w:rFonts w:eastAsiaTheme="minorEastAsia"/>
                <w:color w:val="000000" w:themeColor="text1"/>
                <w:kern w:val="0"/>
              </w:rPr>
              <w:t>1.46%</w:t>
            </w:r>
          </w:p>
        </w:tc>
        <w:tc>
          <w:tcPr>
            <w:tcW w:w="1199" w:type="dxa"/>
            <w:vAlign w:val="center"/>
          </w:tcPr>
          <w:p w:rsidR="00B1194E" w:rsidRDefault="00723258">
            <w:pPr>
              <w:jc w:val="center"/>
            </w:pPr>
            <w:r>
              <w:rPr>
                <w:rFonts w:eastAsiaTheme="minorEastAsia"/>
                <w:color w:val="000000" w:themeColor="text1"/>
                <w:kern w:val="0"/>
              </w:rPr>
              <w:t>152.24%</w:t>
            </w:r>
          </w:p>
        </w:tc>
        <w:tc>
          <w:tcPr>
            <w:tcW w:w="1204" w:type="dxa"/>
            <w:vAlign w:val="center"/>
          </w:tcPr>
          <w:p w:rsidR="00B1194E" w:rsidRDefault="00723258">
            <w:pPr>
              <w:jc w:val="center"/>
            </w:pPr>
            <w:r>
              <w:rPr>
                <w:rFonts w:eastAsiaTheme="minorEastAsia"/>
                <w:color w:val="000000" w:themeColor="text1"/>
                <w:kern w:val="0"/>
              </w:rPr>
              <w:t>0.05%</w:t>
            </w:r>
          </w:p>
        </w:tc>
      </w:tr>
      <w:tr w:rsidR="00B1194E">
        <w:tc>
          <w:tcPr>
            <w:tcW w:w="1395" w:type="dxa"/>
            <w:vAlign w:val="center"/>
          </w:tcPr>
          <w:p w:rsidR="00B1194E" w:rsidRDefault="00723258">
            <w:pPr>
              <w:jc w:val="left"/>
            </w:pPr>
            <w:r>
              <w:rPr>
                <w:rFonts w:eastAsiaTheme="minorEastAsia"/>
                <w:color w:val="000000" w:themeColor="text1"/>
                <w:kern w:val="0"/>
              </w:rPr>
              <w:t>过去五年</w:t>
            </w:r>
          </w:p>
        </w:tc>
        <w:tc>
          <w:tcPr>
            <w:tcW w:w="1092" w:type="dxa"/>
            <w:vAlign w:val="center"/>
          </w:tcPr>
          <w:p w:rsidR="00B1194E" w:rsidRDefault="00723258">
            <w:pPr>
              <w:jc w:val="center"/>
            </w:pPr>
            <w:r>
              <w:rPr>
                <w:rFonts w:eastAsiaTheme="minorEastAsia"/>
                <w:color w:val="000000" w:themeColor="text1"/>
                <w:kern w:val="0"/>
              </w:rPr>
              <w:t>188.11%</w:t>
            </w:r>
          </w:p>
        </w:tc>
        <w:tc>
          <w:tcPr>
            <w:tcW w:w="1161" w:type="dxa"/>
            <w:vAlign w:val="center"/>
          </w:tcPr>
          <w:p w:rsidR="00B1194E" w:rsidRDefault="00723258">
            <w:pPr>
              <w:jc w:val="center"/>
            </w:pPr>
            <w:r>
              <w:rPr>
                <w:rFonts w:eastAsiaTheme="minorEastAsia"/>
                <w:color w:val="000000" w:themeColor="text1"/>
                <w:kern w:val="0"/>
              </w:rPr>
              <w:t>1.35%</w:t>
            </w:r>
          </w:p>
        </w:tc>
        <w:tc>
          <w:tcPr>
            <w:tcW w:w="1181" w:type="dxa"/>
            <w:vAlign w:val="center"/>
          </w:tcPr>
          <w:p w:rsidR="00B1194E" w:rsidRDefault="00723258">
            <w:pPr>
              <w:jc w:val="center"/>
            </w:pPr>
            <w:r>
              <w:rPr>
                <w:rFonts w:eastAsiaTheme="minorEastAsia"/>
                <w:color w:val="000000" w:themeColor="text1"/>
                <w:kern w:val="0"/>
              </w:rPr>
              <w:t>29.48%</w:t>
            </w:r>
          </w:p>
        </w:tc>
        <w:tc>
          <w:tcPr>
            <w:tcW w:w="1188" w:type="dxa"/>
            <w:vAlign w:val="center"/>
          </w:tcPr>
          <w:p w:rsidR="00B1194E" w:rsidRDefault="00723258">
            <w:pPr>
              <w:jc w:val="center"/>
            </w:pPr>
            <w:r>
              <w:rPr>
                <w:rFonts w:eastAsiaTheme="minorEastAsia"/>
                <w:color w:val="000000" w:themeColor="text1"/>
                <w:kern w:val="0"/>
              </w:rPr>
              <w:t>1.28%</w:t>
            </w:r>
          </w:p>
        </w:tc>
        <w:tc>
          <w:tcPr>
            <w:tcW w:w="1199" w:type="dxa"/>
            <w:vAlign w:val="center"/>
          </w:tcPr>
          <w:p w:rsidR="00B1194E" w:rsidRDefault="00723258">
            <w:pPr>
              <w:jc w:val="center"/>
            </w:pPr>
            <w:r>
              <w:rPr>
                <w:rFonts w:eastAsiaTheme="minorEastAsia"/>
                <w:color w:val="000000" w:themeColor="text1"/>
                <w:kern w:val="0"/>
              </w:rPr>
              <w:t>158.63%</w:t>
            </w:r>
          </w:p>
        </w:tc>
        <w:tc>
          <w:tcPr>
            <w:tcW w:w="1204" w:type="dxa"/>
            <w:vAlign w:val="center"/>
          </w:tcPr>
          <w:p w:rsidR="00B1194E" w:rsidRDefault="00723258">
            <w:pPr>
              <w:jc w:val="center"/>
            </w:pPr>
            <w:r>
              <w:rPr>
                <w:rFonts w:eastAsiaTheme="minorEastAsia"/>
                <w:color w:val="000000" w:themeColor="text1"/>
                <w:kern w:val="0"/>
              </w:rPr>
              <w:t>0.07%</w:t>
            </w:r>
          </w:p>
        </w:tc>
      </w:tr>
      <w:tr w:rsidR="00B1194E">
        <w:tc>
          <w:tcPr>
            <w:tcW w:w="1395" w:type="dxa"/>
            <w:vAlign w:val="center"/>
          </w:tcPr>
          <w:p w:rsidR="00B1194E" w:rsidRDefault="00723258">
            <w:pPr>
              <w:jc w:val="left"/>
            </w:pPr>
            <w:r>
              <w:rPr>
                <w:rFonts w:eastAsiaTheme="minorEastAsia"/>
                <w:color w:val="000000" w:themeColor="text1"/>
                <w:kern w:val="0"/>
              </w:rPr>
              <w:t>自基金合同生效起至今</w:t>
            </w:r>
          </w:p>
        </w:tc>
        <w:tc>
          <w:tcPr>
            <w:tcW w:w="1092" w:type="dxa"/>
            <w:vAlign w:val="center"/>
          </w:tcPr>
          <w:p w:rsidR="00B1194E" w:rsidRDefault="00723258">
            <w:pPr>
              <w:jc w:val="center"/>
            </w:pPr>
            <w:r>
              <w:rPr>
                <w:rFonts w:eastAsiaTheme="minorEastAsia"/>
                <w:color w:val="000000" w:themeColor="text1"/>
                <w:kern w:val="0"/>
              </w:rPr>
              <w:t>99.66%</w:t>
            </w:r>
          </w:p>
        </w:tc>
        <w:tc>
          <w:tcPr>
            <w:tcW w:w="1161" w:type="dxa"/>
            <w:vAlign w:val="center"/>
          </w:tcPr>
          <w:p w:rsidR="00B1194E" w:rsidRDefault="00723258">
            <w:pPr>
              <w:jc w:val="center"/>
            </w:pPr>
            <w:r>
              <w:rPr>
                <w:rFonts w:eastAsiaTheme="minorEastAsia"/>
                <w:color w:val="000000" w:themeColor="text1"/>
                <w:kern w:val="0"/>
              </w:rPr>
              <w:t>1.82%</w:t>
            </w:r>
          </w:p>
        </w:tc>
        <w:tc>
          <w:tcPr>
            <w:tcW w:w="1181" w:type="dxa"/>
            <w:vAlign w:val="center"/>
          </w:tcPr>
          <w:p w:rsidR="00B1194E" w:rsidRDefault="00723258">
            <w:pPr>
              <w:jc w:val="center"/>
            </w:pPr>
            <w:r>
              <w:rPr>
                <w:rFonts w:eastAsiaTheme="minorEastAsia"/>
                <w:color w:val="000000" w:themeColor="text1"/>
                <w:kern w:val="0"/>
              </w:rPr>
              <w:t>14.97%</w:t>
            </w:r>
          </w:p>
        </w:tc>
        <w:tc>
          <w:tcPr>
            <w:tcW w:w="1188" w:type="dxa"/>
            <w:vAlign w:val="center"/>
          </w:tcPr>
          <w:p w:rsidR="00B1194E" w:rsidRDefault="00723258">
            <w:pPr>
              <w:jc w:val="center"/>
            </w:pPr>
            <w:r>
              <w:rPr>
                <w:rFonts w:eastAsiaTheme="minorEastAsia"/>
                <w:color w:val="000000" w:themeColor="text1"/>
                <w:kern w:val="0"/>
              </w:rPr>
              <w:t>1.61%</w:t>
            </w:r>
          </w:p>
        </w:tc>
        <w:tc>
          <w:tcPr>
            <w:tcW w:w="1199" w:type="dxa"/>
            <w:vAlign w:val="center"/>
          </w:tcPr>
          <w:p w:rsidR="00B1194E" w:rsidRDefault="00723258">
            <w:pPr>
              <w:jc w:val="center"/>
            </w:pPr>
            <w:r>
              <w:rPr>
                <w:rFonts w:eastAsiaTheme="minorEastAsia"/>
                <w:color w:val="000000" w:themeColor="text1"/>
                <w:kern w:val="0"/>
              </w:rPr>
              <w:t>84.69%</w:t>
            </w:r>
          </w:p>
        </w:tc>
        <w:tc>
          <w:tcPr>
            <w:tcW w:w="1204" w:type="dxa"/>
            <w:vAlign w:val="center"/>
          </w:tcPr>
          <w:p w:rsidR="00B1194E" w:rsidRDefault="00723258">
            <w:pPr>
              <w:jc w:val="center"/>
            </w:pPr>
            <w:r>
              <w:rPr>
                <w:rFonts w:eastAsiaTheme="minorEastAsia"/>
                <w:color w:val="000000" w:themeColor="text1"/>
                <w:kern w:val="0"/>
              </w:rPr>
              <w:t>0.21%</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上投摩根卓越制造股票型证券投资基金</w:t>
      </w:r>
    </w:p>
    <w:p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(2015</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4</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14</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2021</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6</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30</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rsidR="00D06738" w:rsidRPr="00FF6B9A" w:rsidRDefault="00454D20">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lastRenderedPageBreak/>
        <w:drawing>
          <wp:inline distT="0" distB="0" distL="0" distR="0" wp14:anchorId="41E8FF0D" wp14:editId="228D69F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B1194E" w:rsidRDefault="00723258">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注：本基金合同生效日为</w:t>
      </w:r>
      <w:r>
        <w:rPr>
          <w:rFonts w:eastAsiaTheme="minorEastAsia"/>
          <w:color w:val="000000" w:themeColor="text1"/>
        </w:rPr>
        <w:t>2015</w:t>
      </w:r>
      <w:r>
        <w:rPr>
          <w:rFonts w:eastAsiaTheme="minorEastAsia"/>
          <w:color w:val="000000" w:themeColor="text1"/>
        </w:rPr>
        <w:t>年</w:t>
      </w:r>
      <w:r>
        <w:rPr>
          <w:rFonts w:eastAsiaTheme="minorEastAsia"/>
          <w:color w:val="000000" w:themeColor="text1"/>
        </w:rPr>
        <w:t>4</w:t>
      </w:r>
      <w:r>
        <w:rPr>
          <w:rFonts w:eastAsiaTheme="minorEastAsia"/>
          <w:color w:val="000000" w:themeColor="text1"/>
        </w:rPr>
        <w:t>月</w:t>
      </w:r>
      <w:r>
        <w:rPr>
          <w:rFonts w:eastAsiaTheme="minorEastAsia"/>
          <w:color w:val="000000" w:themeColor="text1"/>
        </w:rPr>
        <w:t>14</w:t>
      </w:r>
      <w:r>
        <w:rPr>
          <w:rFonts w:eastAsiaTheme="minorEastAsia"/>
          <w:color w:val="000000" w:themeColor="text1"/>
        </w:rPr>
        <w:t>日，图示的时间段为合同生效日至本报告期末。</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本基金建仓期为本基金合同生效日起</w:t>
      </w:r>
      <w:r w:rsidRPr="00FF6B9A">
        <w:rPr>
          <w:rFonts w:eastAsiaTheme="minorEastAsia"/>
          <w:color w:val="000000" w:themeColor="text1"/>
        </w:rPr>
        <w:t xml:space="preserve"> 6 </w:t>
      </w:r>
      <w:r w:rsidRPr="00FF6B9A">
        <w:rPr>
          <w:rFonts w:eastAsiaTheme="minorEastAsia"/>
          <w:color w:val="000000" w:themeColor="text1"/>
        </w:rPr>
        <w:t>个月，建仓期结束时资产配置比例符合本基金基金合同规定。</w:t>
      </w:r>
    </w:p>
    <w:p w:rsidR="00D06738" w:rsidRPr="00FF6B9A" w:rsidRDefault="00D06738">
      <w:pPr>
        <w:tabs>
          <w:tab w:val="left" w:pos="1800"/>
        </w:tabs>
        <w:spacing w:line="360" w:lineRule="auto"/>
        <w:rPr>
          <w:rFonts w:eastAsiaTheme="minorEastAsia"/>
          <w:color w:val="000000" w:themeColor="text1"/>
          <w:sz w:val="24"/>
          <w:szCs w:val="24"/>
        </w:rPr>
      </w:pPr>
    </w:p>
    <w:p w:rsidR="00D06738" w:rsidRPr="00FF6B9A" w:rsidRDefault="00D06738">
      <w:pPr>
        <w:tabs>
          <w:tab w:val="left" w:pos="1800"/>
        </w:tabs>
        <w:spacing w:line="288" w:lineRule="auto"/>
        <w:rPr>
          <w:rFonts w:eastAsiaTheme="minorEastAsia"/>
          <w:color w:val="000000" w:themeColor="text1"/>
          <w:sz w:val="24"/>
          <w:szCs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§4  </w:t>
      </w:r>
      <w:r w:rsidRPr="00FF6B9A">
        <w:rPr>
          <w:rFonts w:eastAsiaTheme="minorEastAsia"/>
          <w:color w:val="000000" w:themeColor="text1"/>
          <w:kern w:val="0"/>
          <w:sz w:val="24"/>
          <w:szCs w:val="24"/>
        </w:rPr>
        <w:t>管理人报告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trPr>
          <w:cantSplit/>
          <w:trHeight w:val="292"/>
        </w:trPr>
        <w:tc>
          <w:tcPr>
            <w:tcW w:w="851"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任本基金的基金经理期限</w:t>
            </w:r>
          </w:p>
        </w:tc>
        <w:tc>
          <w:tcPr>
            <w:tcW w:w="1417" w:type="dxa"/>
            <w:vMerge w:val="restart"/>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trPr>
          <w:cantSplit/>
        </w:trPr>
        <w:tc>
          <w:tcPr>
            <w:tcW w:w="851"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rsidR="00D06738" w:rsidRPr="00FF6B9A" w:rsidRDefault="00D06738">
            <w:pPr>
              <w:widowControl/>
              <w:spacing w:line="360" w:lineRule="auto"/>
              <w:jc w:val="left"/>
              <w:rPr>
                <w:rFonts w:eastAsiaTheme="minorEastAsia"/>
                <w:color w:val="000000" w:themeColor="text1"/>
                <w:kern w:val="0"/>
              </w:rPr>
            </w:pPr>
          </w:p>
        </w:tc>
      </w:tr>
      <w:tr w:rsidR="00B1194E">
        <w:tc>
          <w:tcPr>
            <w:tcW w:w="851" w:type="dxa"/>
            <w:vAlign w:val="center"/>
          </w:tcPr>
          <w:p w:rsidR="00B1194E" w:rsidRDefault="00723258">
            <w:pPr>
              <w:jc w:val="center"/>
            </w:pPr>
            <w:r>
              <w:rPr>
                <w:rFonts w:eastAsiaTheme="minorEastAsia"/>
                <w:color w:val="000000" w:themeColor="text1"/>
              </w:rPr>
              <w:t>李德辉</w:t>
            </w:r>
          </w:p>
        </w:tc>
        <w:tc>
          <w:tcPr>
            <w:tcW w:w="850" w:type="dxa"/>
            <w:vAlign w:val="center"/>
          </w:tcPr>
          <w:p w:rsidR="00B1194E" w:rsidRDefault="00723258">
            <w:pPr>
              <w:jc w:val="center"/>
            </w:pPr>
            <w:r>
              <w:rPr>
                <w:rFonts w:eastAsiaTheme="minorEastAsia"/>
                <w:color w:val="000000" w:themeColor="text1"/>
              </w:rPr>
              <w:t>本基金基金经理</w:t>
            </w:r>
          </w:p>
        </w:tc>
        <w:tc>
          <w:tcPr>
            <w:tcW w:w="1560" w:type="dxa"/>
            <w:vAlign w:val="center"/>
          </w:tcPr>
          <w:p w:rsidR="00B1194E" w:rsidRDefault="00723258">
            <w:pPr>
              <w:jc w:val="center"/>
            </w:pPr>
            <w:r>
              <w:rPr>
                <w:rFonts w:eastAsiaTheme="minorEastAsia"/>
                <w:color w:val="000000" w:themeColor="text1"/>
              </w:rPr>
              <w:t>2018-06-15</w:t>
            </w:r>
          </w:p>
        </w:tc>
        <w:tc>
          <w:tcPr>
            <w:tcW w:w="1559" w:type="dxa"/>
            <w:vAlign w:val="center"/>
          </w:tcPr>
          <w:p w:rsidR="00B1194E" w:rsidRDefault="00723258">
            <w:pPr>
              <w:jc w:val="center"/>
            </w:pPr>
            <w:r>
              <w:rPr>
                <w:rFonts w:eastAsiaTheme="minorEastAsia"/>
                <w:color w:val="000000" w:themeColor="text1"/>
              </w:rPr>
              <w:t>-</w:t>
            </w:r>
          </w:p>
        </w:tc>
        <w:tc>
          <w:tcPr>
            <w:tcW w:w="1417" w:type="dxa"/>
            <w:vAlign w:val="center"/>
          </w:tcPr>
          <w:p w:rsidR="00B1194E" w:rsidRDefault="00723258">
            <w:pPr>
              <w:jc w:val="center"/>
            </w:pPr>
            <w:r>
              <w:rPr>
                <w:rFonts w:eastAsiaTheme="minorEastAsia"/>
                <w:color w:val="000000" w:themeColor="text1"/>
              </w:rPr>
              <w:t>9</w:t>
            </w:r>
            <w:r>
              <w:rPr>
                <w:rFonts w:eastAsiaTheme="minorEastAsia"/>
                <w:color w:val="000000" w:themeColor="text1"/>
              </w:rPr>
              <w:t>年</w:t>
            </w:r>
          </w:p>
        </w:tc>
        <w:tc>
          <w:tcPr>
            <w:tcW w:w="2694" w:type="dxa"/>
            <w:vAlign w:val="center"/>
          </w:tcPr>
          <w:p w:rsidR="00B1194E" w:rsidRDefault="00723258">
            <w:r>
              <w:rPr>
                <w:rFonts w:eastAsiaTheme="minorEastAsia"/>
                <w:color w:val="000000" w:themeColor="text1"/>
              </w:rPr>
              <w:t>李德辉先生，上海交通大学生物医学工程博士，</w:t>
            </w:r>
            <w:r>
              <w:rPr>
                <w:rFonts w:eastAsiaTheme="minorEastAsia"/>
                <w:color w:val="000000" w:themeColor="text1"/>
              </w:rPr>
              <w:t>2012</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月至</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月在农银汇理基金管理有限公司担任研究员。自</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月起加入上投摩根基金管理有限公司，先后担任研究员、行业专家兼基金经理助理、基金经理、高级基金经理。自</w:t>
            </w:r>
            <w:r>
              <w:rPr>
                <w:rFonts w:eastAsiaTheme="minorEastAsia"/>
                <w:color w:val="000000" w:themeColor="text1"/>
              </w:rPr>
              <w:t>2016</w:t>
            </w:r>
            <w:r>
              <w:rPr>
                <w:rFonts w:eastAsiaTheme="minorEastAsia"/>
                <w:color w:val="000000" w:themeColor="text1"/>
              </w:rPr>
              <w:t>年</w:t>
            </w:r>
            <w:r>
              <w:rPr>
                <w:rFonts w:eastAsiaTheme="minorEastAsia"/>
                <w:color w:val="000000" w:themeColor="text1"/>
              </w:rPr>
              <w:t>11</w:t>
            </w:r>
            <w:r>
              <w:rPr>
                <w:rFonts w:eastAsiaTheme="minorEastAsia"/>
                <w:color w:val="000000" w:themeColor="text1"/>
              </w:rPr>
              <w:t>月起担任上投摩根科技前沿灵活配置混合型证券投资基金基金经理，</w:t>
            </w:r>
            <w:r>
              <w:rPr>
                <w:rFonts w:eastAsiaTheme="minorEastAsia"/>
                <w:color w:val="000000" w:themeColor="text1"/>
              </w:rPr>
              <w:t>2018</w:t>
            </w:r>
            <w:r>
              <w:rPr>
                <w:rFonts w:eastAsiaTheme="minorEastAsia"/>
                <w:color w:val="000000" w:themeColor="text1"/>
              </w:rPr>
              <w:t>年</w:t>
            </w:r>
            <w:r>
              <w:rPr>
                <w:rFonts w:eastAsiaTheme="minorEastAsia"/>
                <w:color w:val="000000" w:themeColor="text1"/>
              </w:rPr>
              <w:t>3</w:t>
            </w:r>
            <w:r>
              <w:rPr>
                <w:rFonts w:eastAsiaTheme="minorEastAsia"/>
                <w:color w:val="000000" w:themeColor="text1"/>
              </w:rPr>
              <w:t>月至</w:t>
            </w:r>
            <w:r>
              <w:rPr>
                <w:rFonts w:eastAsiaTheme="minorEastAsia"/>
                <w:color w:val="000000" w:themeColor="text1"/>
              </w:rPr>
              <w:t>2019</w:t>
            </w:r>
            <w:r>
              <w:rPr>
                <w:rFonts w:eastAsiaTheme="minorEastAsia"/>
                <w:color w:val="000000" w:themeColor="text1"/>
              </w:rPr>
              <w:lastRenderedPageBreak/>
              <w:t>年</w:t>
            </w:r>
            <w:r>
              <w:rPr>
                <w:rFonts w:eastAsiaTheme="minorEastAsia"/>
                <w:color w:val="000000" w:themeColor="text1"/>
              </w:rPr>
              <w:t>7</w:t>
            </w:r>
            <w:r>
              <w:rPr>
                <w:rFonts w:eastAsiaTheme="minorEastAsia"/>
                <w:color w:val="000000" w:themeColor="text1"/>
              </w:rPr>
              <w:t>月同时担任上投摩根安全战略股票型证券投资基金基金经理及上投摩根双核平衡混合型证券投资基金基金经理，自</w:t>
            </w:r>
            <w:r>
              <w:rPr>
                <w:rFonts w:eastAsiaTheme="minorEastAsia"/>
                <w:color w:val="000000" w:themeColor="text1"/>
              </w:rPr>
              <w:t>2018</w:t>
            </w:r>
            <w:r>
              <w:rPr>
                <w:rFonts w:eastAsiaTheme="minorEastAsia"/>
                <w:color w:val="000000" w:themeColor="text1"/>
              </w:rPr>
              <w:t>年</w:t>
            </w:r>
            <w:r>
              <w:rPr>
                <w:rFonts w:eastAsiaTheme="minorEastAsia"/>
                <w:color w:val="000000" w:themeColor="text1"/>
              </w:rPr>
              <w:t>6</w:t>
            </w:r>
            <w:r>
              <w:rPr>
                <w:rFonts w:eastAsiaTheme="minorEastAsia"/>
                <w:color w:val="000000" w:themeColor="text1"/>
              </w:rPr>
              <w:t>月起同时担任上投摩根卓越制造股票型证券投资基金基金经理，自</w:t>
            </w:r>
            <w:r>
              <w:rPr>
                <w:rFonts w:eastAsiaTheme="minorEastAsia"/>
                <w:color w:val="000000" w:themeColor="text1"/>
              </w:rPr>
              <w:t>2019</w:t>
            </w:r>
            <w:r>
              <w:rPr>
                <w:rFonts w:eastAsiaTheme="minorEastAsia"/>
                <w:color w:val="000000" w:themeColor="text1"/>
              </w:rPr>
              <w:t>年</w:t>
            </w:r>
            <w:r>
              <w:rPr>
                <w:rFonts w:eastAsiaTheme="minorEastAsia"/>
                <w:color w:val="000000" w:themeColor="text1"/>
              </w:rPr>
              <w:t>3</w:t>
            </w:r>
            <w:r>
              <w:rPr>
                <w:rFonts w:eastAsiaTheme="minorEastAsia"/>
                <w:color w:val="000000" w:themeColor="text1"/>
              </w:rPr>
              <w:t>月起</w:t>
            </w:r>
            <w:r>
              <w:rPr>
                <w:rFonts w:eastAsiaTheme="minorEastAsia"/>
                <w:color w:val="000000" w:themeColor="text1"/>
              </w:rPr>
              <w:t>同时担任上投摩根智选</w:t>
            </w:r>
            <w:r>
              <w:rPr>
                <w:rFonts w:eastAsiaTheme="minorEastAsia"/>
                <w:color w:val="000000" w:themeColor="text1"/>
              </w:rPr>
              <w:t>30</w:t>
            </w:r>
            <w:r>
              <w:rPr>
                <w:rFonts w:eastAsiaTheme="minorEastAsia"/>
                <w:color w:val="000000" w:themeColor="text1"/>
              </w:rPr>
              <w:t>混合型证券投资基金基金经理，自</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月起同时担任上投摩根慧选成长股票型证券投资基金基金经理，自</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9</w:t>
            </w:r>
            <w:r>
              <w:rPr>
                <w:rFonts w:eastAsiaTheme="minorEastAsia"/>
                <w:color w:val="000000" w:themeColor="text1"/>
              </w:rPr>
              <w:t>月起同时担任上投摩根慧见两年持有期混合型证券投资基金基金经理。</w:t>
            </w:r>
          </w:p>
        </w:tc>
      </w:tr>
    </w:tbl>
    <w:p w:rsidR="00B1194E" w:rsidRDefault="00723258">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lastRenderedPageBreak/>
        <w:t>注：</w:t>
      </w:r>
      <w:r>
        <w:rPr>
          <w:rFonts w:eastAsiaTheme="minorEastAsia"/>
          <w:color w:val="000000" w:themeColor="text1"/>
        </w:rPr>
        <w:t>1.</w:t>
      </w:r>
      <w:r>
        <w:rPr>
          <w:rFonts w:eastAsiaTheme="minorEastAsia"/>
          <w:color w:val="000000" w:themeColor="text1"/>
        </w:rPr>
        <w:t>任职日期和离任日期均指根据公司决定确定的聘任日期和解聘日期。</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2.</w:t>
      </w:r>
      <w:r w:rsidRPr="00FF6B9A">
        <w:rPr>
          <w:rFonts w:eastAsiaTheme="minorEastAsia"/>
          <w:color w:val="000000" w:themeColor="text1"/>
        </w:rPr>
        <w:t>证券从业的含义遵从行业协会《证券业从业人员资格管理办法》的相关规定。</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卓越制造股票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rsidR="00B1194E" w:rsidRDefault="00723258">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B1194E" w:rsidRDefault="00723258">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w:t>
      </w:r>
      <w:r>
        <w:rPr>
          <w:rFonts w:eastAsiaTheme="minorEastAsia"/>
          <w:color w:val="000000" w:themeColor="text1"/>
        </w:rPr>
        <w:lastRenderedPageBreak/>
        <w:t>券时，按照时间优先、比例分配的原则在各投资组合间公平分配交易量；对于银行间市场投资活动</w:t>
      </w:r>
      <w:r>
        <w:rPr>
          <w:rFonts w:eastAsiaTheme="minorEastAsia"/>
          <w:color w:val="000000" w:themeColor="text1"/>
        </w:rPr>
        <w:t>，本公司通过对手库控制和交易室询价机制，严格防范对手风险并检查价格公允性；对于申购投资行为，本公司遵循价格优先、比例分配的原则，根据事前独立申报的价格和数量对交易结果进行公平分配。</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rsidR="00B1194E" w:rsidRDefault="00723258">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报告期内，通过对交易价格、交易时间、交易方向等的分析，未发现有可能导致不公平交易和利益输送的异常交易行为。</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4.4 </w:t>
      </w:r>
      <w:r w:rsidRPr="00FF6B9A">
        <w:rPr>
          <w:rFonts w:eastAsiaTheme="minorEastAsia"/>
          <w:b/>
          <w:bCs/>
          <w:color w:val="000000" w:themeColor="text1"/>
          <w:kern w:val="0"/>
          <w:sz w:val="24"/>
          <w:szCs w:val="24"/>
        </w:rPr>
        <w:t>报告期内基金的投资策略和业绩表现说明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4.4.1</w:t>
      </w:r>
      <w:r w:rsidRPr="00FF6B9A">
        <w:rPr>
          <w:rFonts w:eastAsiaTheme="minorEastAsia"/>
          <w:color w:val="000000" w:themeColor="text1"/>
          <w:sz w:val="24"/>
          <w:szCs w:val="24"/>
        </w:rPr>
        <w:t>报告期内基金投资策略和运作分析</w:t>
      </w:r>
    </w:p>
    <w:p w:rsidR="00B1194E" w:rsidRDefault="00723258">
      <w:pPr>
        <w:spacing w:line="360" w:lineRule="auto"/>
        <w:ind w:firstLineChars="200" w:firstLine="420"/>
        <w:rPr>
          <w:rFonts w:eastAsiaTheme="minorEastAsia"/>
          <w:color w:val="000000" w:themeColor="text1"/>
        </w:rPr>
      </w:pPr>
      <w:r>
        <w:rPr>
          <w:rFonts w:eastAsiaTheme="minorEastAsia"/>
          <w:color w:val="000000" w:themeColor="text1"/>
        </w:rPr>
        <w:t>2021</w:t>
      </w:r>
      <w:r>
        <w:rPr>
          <w:rFonts w:eastAsiaTheme="minorEastAsia"/>
          <w:color w:val="000000" w:themeColor="text1"/>
        </w:rPr>
        <w:t>年二季度权益市场反弹较多，因为流动性比预期更加宽松，同时经济转弱趋势明显，导致市场结构分化更加明显，投资者更偏好高景气度资产。本基金二季度由于偏保守策略，导致绩效不及预期。本基金今年以来表现相对较弱，回顾原因是我们投资方法论中对企业护城河考虑较多，对短期景气度赋予权重较低，该方法论在今年市场表现较弱。所以我们适度调整策略，兼顾护城河和景气度，争取下半年能适度改善基金绩效。</w:t>
      </w:r>
    </w:p>
    <w:p w:rsidR="00B1194E" w:rsidRDefault="00723258">
      <w:pPr>
        <w:spacing w:line="360" w:lineRule="auto"/>
        <w:ind w:firstLineChars="200" w:firstLine="420"/>
        <w:rPr>
          <w:rFonts w:eastAsiaTheme="minorEastAsia"/>
          <w:color w:val="000000" w:themeColor="text1"/>
        </w:rPr>
      </w:pPr>
      <w:r>
        <w:rPr>
          <w:rFonts w:eastAsiaTheme="minorEastAsia"/>
          <w:color w:val="000000" w:themeColor="text1"/>
        </w:rPr>
        <w:t>展望下半年，我们认为经济大概率继续趋弱，疫情对居民收入预期的负面影响，导致内需乏力，出口也出现环比放缓的迹象，这种情况下我们认为</w:t>
      </w:r>
      <w:r>
        <w:rPr>
          <w:rFonts w:eastAsiaTheme="minorEastAsia"/>
          <w:color w:val="000000" w:themeColor="text1"/>
        </w:rPr>
        <w:t>下半年流动性具备宽松的条件。所以从长周期角度看我们对市场看法相对积极。但是缺点也很明显，目前高景气度的资产普遍估值更贵，估值需要看</w:t>
      </w:r>
      <w:r>
        <w:rPr>
          <w:rFonts w:eastAsiaTheme="minorEastAsia"/>
          <w:color w:val="000000" w:themeColor="text1"/>
        </w:rPr>
        <w:t>22</w:t>
      </w:r>
      <w:r>
        <w:rPr>
          <w:rFonts w:eastAsiaTheme="minorEastAsia"/>
          <w:color w:val="000000" w:themeColor="text1"/>
        </w:rPr>
        <w:t>年及以后的盈利增长。我们认为这种困境短期较难解决，所以需要甄别不同景气资产的增长久期，如果增长久期是</w:t>
      </w:r>
      <w:r>
        <w:rPr>
          <w:rFonts w:eastAsiaTheme="minorEastAsia"/>
          <w:color w:val="000000" w:themeColor="text1"/>
        </w:rPr>
        <w:t>3-5</w:t>
      </w:r>
      <w:r>
        <w:rPr>
          <w:rFonts w:eastAsiaTheme="minorEastAsia"/>
          <w:color w:val="000000" w:themeColor="text1"/>
        </w:rPr>
        <w:t>年，大体上目前高估值能消化，但是如果景气周期只有半年到</w:t>
      </w:r>
      <w:r>
        <w:rPr>
          <w:rFonts w:eastAsiaTheme="minorEastAsia"/>
          <w:color w:val="000000" w:themeColor="text1"/>
        </w:rPr>
        <w:t>1</w:t>
      </w:r>
      <w:r>
        <w:rPr>
          <w:rFonts w:eastAsiaTheme="minorEastAsia"/>
          <w:color w:val="000000" w:themeColor="text1"/>
        </w:rPr>
        <w:t>年，目前高估值是有较大风险。所以我们需要在不同高景气资产中择优选择。</w:t>
      </w:r>
    </w:p>
    <w:p w:rsidR="00B1194E" w:rsidRDefault="00723258">
      <w:pPr>
        <w:spacing w:line="360" w:lineRule="auto"/>
        <w:ind w:firstLineChars="200" w:firstLine="420"/>
        <w:rPr>
          <w:rFonts w:eastAsiaTheme="minorEastAsia"/>
          <w:color w:val="000000" w:themeColor="text1"/>
        </w:rPr>
      </w:pPr>
      <w:r>
        <w:rPr>
          <w:rFonts w:eastAsiaTheme="minorEastAsia"/>
          <w:color w:val="000000" w:themeColor="text1"/>
        </w:rPr>
        <w:t>我们看好的成长型赛道为：科技</w:t>
      </w:r>
      <w:r>
        <w:rPr>
          <w:rFonts w:eastAsiaTheme="minorEastAsia"/>
          <w:color w:val="000000" w:themeColor="text1"/>
        </w:rPr>
        <w:t>/</w:t>
      </w:r>
      <w:r>
        <w:rPr>
          <w:rFonts w:eastAsiaTheme="minorEastAsia"/>
          <w:color w:val="000000" w:themeColor="text1"/>
        </w:rPr>
        <w:t>新能源汽车</w:t>
      </w:r>
      <w:r>
        <w:rPr>
          <w:rFonts w:eastAsiaTheme="minorEastAsia"/>
          <w:color w:val="000000" w:themeColor="text1"/>
        </w:rPr>
        <w:t>/</w:t>
      </w:r>
      <w:r>
        <w:rPr>
          <w:rFonts w:eastAsiaTheme="minorEastAsia"/>
          <w:color w:val="000000" w:themeColor="text1"/>
        </w:rPr>
        <w:t>军工，看好的稳定型赛道为：医药</w:t>
      </w:r>
      <w:r>
        <w:rPr>
          <w:rFonts w:eastAsiaTheme="minorEastAsia"/>
          <w:color w:val="000000" w:themeColor="text1"/>
        </w:rPr>
        <w:t>/</w:t>
      </w:r>
      <w:r>
        <w:rPr>
          <w:rFonts w:eastAsiaTheme="minorEastAsia"/>
          <w:color w:val="000000" w:themeColor="text1"/>
        </w:rPr>
        <w:t>消费</w:t>
      </w:r>
      <w:r>
        <w:rPr>
          <w:rFonts w:eastAsiaTheme="minorEastAsia"/>
          <w:color w:val="000000" w:themeColor="text1"/>
        </w:rPr>
        <w:t>/</w:t>
      </w:r>
      <w:r>
        <w:rPr>
          <w:rFonts w:eastAsiaTheme="minorEastAsia"/>
          <w:color w:val="000000" w:themeColor="text1"/>
        </w:rPr>
        <w:t>资产管理服务。科技：我们看好传统有较强网络效应的互联网公司，看好硬</w:t>
      </w:r>
      <w:r>
        <w:rPr>
          <w:rFonts w:eastAsiaTheme="minorEastAsia"/>
          <w:color w:val="000000" w:themeColor="text1"/>
        </w:rPr>
        <w:t>核创新能力的软件或半导体公司。新能源汽车：行业渗透率快速提升，我们看好电动化和智能化趋势。军工：年初以来股价相对滞涨，从基本面趋势看未来几年的需求持续性较强，估值有较好性价比。</w:t>
      </w:r>
      <w:r>
        <w:rPr>
          <w:rFonts w:eastAsiaTheme="minorEastAsia"/>
          <w:color w:val="000000" w:themeColor="text1"/>
        </w:rPr>
        <w:lastRenderedPageBreak/>
        <w:t>医药：创新的需求总是存在，看好受益于海外研发外包趋势的公司。消费：我们看好高端消费品，有较强护城河和较稳定的需求增长，看好部分新型消费需求崛起。资产管理：看好权益市场的长期发展，行业内公司有较好的商业模型和较快的盈利增长。</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个股选择上，我们坚持供给端有壁垒和需求端有增长两个维度，希望通过优秀公司的韧性来降低行业需求的波动性风险，力争获取长期稳定超额收益。</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4.4.2</w:t>
      </w:r>
      <w:r w:rsidRPr="00FF6B9A">
        <w:rPr>
          <w:rFonts w:eastAsiaTheme="minorEastAsia"/>
          <w:color w:val="000000" w:themeColor="text1"/>
          <w:sz w:val="24"/>
          <w:szCs w:val="24"/>
        </w:rPr>
        <w:t>报告期内基金的业绩表现</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本报告期上投摩根卓越制造股票份额净值增长率为</w:t>
      </w:r>
      <w:r w:rsidRPr="00FF6B9A">
        <w:rPr>
          <w:rFonts w:eastAsiaTheme="minorEastAsia"/>
          <w:color w:val="000000" w:themeColor="text1"/>
        </w:rPr>
        <w:t>:13.78%</w:t>
      </w:r>
      <w:r w:rsidRPr="00FF6B9A">
        <w:rPr>
          <w:rFonts w:eastAsiaTheme="minorEastAsia"/>
          <w:color w:val="000000" w:themeColor="text1"/>
        </w:rPr>
        <w:t>，同期业绩比较基准收益率为</w:t>
      </w:r>
      <w:r w:rsidRPr="00FF6B9A">
        <w:rPr>
          <w:rFonts w:eastAsiaTheme="minorEastAsia"/>
          <w:color w:val="000000" w:themeColor="text1"/>
        </w:rPr>
        <w:t>:15.30%</w:t>
      </w:r>
      <w:r w:rsidRPr="00FF6B9A">
        <w:rPr>
          <w:rFonts w:eastAsiaTheme="minorEastAsia"/>
          <w:color w:val="000000" w:themeColor="text1"/>
        </w:rPr>
        <w:t>。</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t>4.5</w:t>
      </w:r>
      <w:r w:rsidRPr="00FF6B9A">
        <w:rPr>
          <w:rFonts w:eastAsiaTheme="minorEastAsia"/>
          <w:b/>
          <w:color w:val="000000" w:themeColor="text1"/>
          <w:kern w:val="0"/>
          <w:sz w:val="24"/>
          <w:szCs w:val="24"/>
        </w:rPr>
        <w:t>报告期内基金持有人数或基金资产净值预警说明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kern w:val="0"/>
        </w:rPr>
        <w:t>无。</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§5  </w:t>
      </w:r>
      <w:r w:rsidRPr="00FF6B9A">
        <w:rPr>
          <w:rFonts w:eastAsiaTheme="minorEastAsia"/>
          <w:color w:val="000000" w:themeColor="text1"/>
          <w:kern w:val="0"/>
          <w:sz w:val="24"/>
          <w:szCs w:val="24"/>
        </w:rPr>
        <w:t>投资组合报告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2,183,392,048.82</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91.73</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2,183,392,048.82</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91.73</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金融衍生品投资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192,665,792.15</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8.09</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4,269,333.27</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0.18</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lastRenderedPageBreak/>
              <w:t>8</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2,380,327,174.24</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rsidRPr="00FF6B9A">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占基金资产净值比例（％）</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p w:rsidR="00D06738" w:rsidRPr="00FF6B9A" w:rsidRDefault="00D06738">
            <w:pPr>
              <w:jc w:val="right"/>
              <w:rPr>
                <w:rFonts w:eastAsiaTheme="minorEastAsia"/>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p w:rsidR="00D06738" w:rsidRPr="00FF6B9A" w:rsidRDefault="00D06738">
            <w:pPr>
              <w:jc w:val="right"/>
              <w:rPr>
                <w:rFonts w:eastAsiaTheme="minorEastAsia"/>
                <w:color w:val="000000" w:themeColor="text1"/>
                <w:kern w:val="0"/>
              </w:rPr>
            </w:pP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1,581,450,951.62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68.10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1,012,711.41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0.04</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14,112.00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12,479.36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213,213,648.78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9.18</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100,773,725.63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4.34</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10,095.90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88,207,492.70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3.80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163,909,301.80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7.06</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426,738.90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0.02</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34,318,596.00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1.48</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42,194.72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D06738">
            <w:pPr>
              <w:adjustRightInd w:val="0"/>
              <w:snapToGrid w:val="0"/>
              <w:spacing w:line="400" w:lineRule="exact"/>
              <w:jc w:val="center"/>
              <w:rPr>
                <w:rFonts w:eastAsiaTheme="minorEastAsia"/>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2,183,392,048.82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94.02</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FF6B9A" w:rsidRPr="00FF6B9A" w:rsidRDefault="00FF6B9A" w:rsidP="00FF6B9A">
      <w:pPr>
        <w:spacing w:line="360" w:lineRule="auto"/>
        <w:rPr>
          <w:rFonts w:eastAsiaTheme="minorEastAsia"/>
          <w:sz w:val="24"/>
          <w:szCs w:val="24"/>
        </w:rPr>
      </w:pPr>
      <w:bookmarkStart w:id="1"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期末按公允价值占基金资产净值比例大小排序的股票投资明细</w:t>
      </w:r>
      <w:r w:rsidRPr="00FF6B9A">
        <w:rPr>
          <w:rFonts w:asciiTheme="minorEastAsia" w:eastAsiaTheme="minorEastAsia" w:hAnsiTheme="minorEastAsia" w:hint="eastAsia"/>
          <w:b/>
          <w:bCs/>
          <w:kern w:val="0"/>
          <w:sz w:val="24"/>
          <w:szCs w:val="24"/>
        </w:rPr>
        <w:cr/>
      </w:r>
      <w:r w:rsidRPr="00FF6B9A">
        <w:rPr>
          <w:rFonts w:eastAsiaTheme="minorEastAsia"/>
          <w:b/>
          <w:bCs/>
          <w:kern w:val="0"/>
          <w:sz w:val="24"/>
          <w:szCs w:val="24"/>
        </w:rPr>
        <w:t>5.3.1</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tbl>
      <w:tblPr>
        <w:tblStyle w:val="aff4"/>
        <w:tblW w:w="0" w:type="auto"/>
        <w:tblLayout w:type="fixed"/>
        <w:tblLook w:val="04A0" w:firstRow="1" w:lastRow="0" w:firstColumn="1" w:lastColumn="0" w:noHBand="0" w:noVBand="1"/>
      </w:tblPr>
      <w:tblGrid>
        <w:gridCol w:w="817"/>
        <w:gridCol w:w="1276"/>
        <w:gridCol w:w="1701"/>
        <w:gridCol w:w="1276"/>
        <w:gridCol w:w="1842"/>
        <w:gridCol w:w="1616"/>
      </w:tblGrid>
      <w:tr w:rsidR="00FF6B9A" w:rsidRPr="00FF6B9A" w:rsidTr="00D913A1">
        <w:tc>
          <w:tcPr>
            <w:tcW w:w="817"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序号</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股票代码</w:t>
            </w:r>
          </w:p>
        </w:tc>
        <w:tc>
          <w:tcPr>
            <w:tcW w:w="1701"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股票名称</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数量</w:t>
            </w:r>
            <w:r w:rsidRPr="00FF6B9A">
              <w:rPr>
                <w:rFonts w:eastAsiaTheme="minorEastAsia"/>
                <w:kern w:val="0"/>
                <w:sz w:val="24"/>
                <w:szCs w:val="24"/>
              </w:rPr>
              <w:t>(</w:t>
            </w:r>
            <w:r w:rsidRPr="00FF6B9A">
              <w:rPr>
                <w:rFonts w:eastAsiaTheme="minorEastAsia"/>
                <w:kern w:val="0"/>
                <w:sz w:val="24"/>
                <w:szCs w:val="24"/>
              </w:rPr>
              <w:t>股</w:t>
            </w:r>
            <w:r w:rsidRPr="00FF6B9A">
              <w:rPr>
                <w:rFonts w:eastAsiaTheme="minorEastAsia"/>
                <w:kern w:val="0"/>
                <w:sz w:val="24"/>
                <w:szCs w:val="24"/>
              </w:rPr>
              <w:t>)</w:t>
            </w:r>
          </w:p>
        </w:tc>
        <w:tc>
          <w:tcPr>
            <w:tcW w:w="1842" w:type="dxa"/>
            <w:vAlign w:val="center"/>
          </w:tcPr>
          <w:p w:rsidR="00FF6B9A" w:rsidRPr="00FF6B9A" w:rsidRDefault="00FF6B9A" w:rsidP="00D913A1">
            <w:pPr>
              <w:autoSpaceDE w:val="0"/>
              <w:autoSpaceDN w:val="0"/>
              <w:adjustRightInd w:val="0"/>
              <w:spacing w:before="29" w:line="360" w:lineRule="auto"/>
              <w:ind w:left="17"/>
              <w:jc w:val="center"/>
              <w:rPr>
                <w:rFonts w:eastAsiaTheme="minorEastAsia"/>
                <w:kern w:val="0"/>
                <w:sz w:val="24"/>
                <w:szCs w:val="24"/>
              </w:rPr>
            </w:pPr>
            <w:r w:rsidRPr="00FF6B9A">
              <w:rPr>
                <w:rFonts w:eastAsiaTheme="minorEastAsia"/>
                <w:kern w:val="0"/>
                <w:sz w:val="24"/>
                <w:szCs w:val="24"/>
              </w:rPr>
              <w:t>公允价值</w:t>
            </w:r>
            <w:r w:rsidRPr="00FF6B9A">
              <w:rPr>
                <w:rFonts w:eastAsiaTheme="minorEastAsia"/>
                <w:kern w:val="0"/>
                <w:sz w:val="24"/>
                <w:szCs w:val="24"/>
              </w:rPr>
              <w:t>(</w:t>
            </w:r>
            <w:r w:rsidRPr="00FF6B9A">
              <w:rPr>
                <w:rFonts w:eastAsiaTheme="minorEastAsia"/>
                <w:kern w:val="0"/>
                <w:sz w:val="24"/>
                <w:szCs w:val="24"/>
              </w:rPr>
              <w:t>元</w:t>
            </w:r>
            <w:r w:rsidRPr="00FF6B9A">
              <w:rPr>
                <w:rFonts w:eastAsiaTheme="minorEastAsia"/>
                <w:kern w:val="0"/>
                <w:sz w:val="24"/>
                <w:szCs w:val="24"/>
              </w:rPr>
              <w:t>)</w:t>
            </w:r>
          </w:p>
        </w:tc>
        <w:tc>
          <w:tcPr>
            <w:tcW w:w="161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占基金资产净值比例</w:t>
            </w:r>
            <w:r w:rsidRPr="00FF6B9A">
              <w:rPr>
                <w:rFonts w:eastAsiaTheme="minorEastAsia"/>
                <w:kern w:val="0"/>
                <w:sz w:val="24"/>
                <w:szCs w:val="24"/>
              </w:rPr>
              <w:t>(</w:t>
            </w:r>
            <w:r w:rsidRPr="00FF6B9A">
              <w:rPr>
                <w:rFonts w:eastAsiaTheme="minorEastAsia"/>
                <w:kern w:val="0"/>
                <w:sz w:val="24"/>
                <w:szCs w:val="24"/>
              </w:rPr>
              <w:t>％</w:t>
            </w:r>
            <w:r w:rsidRPr="00FF6B9A">
              <w:rPr>
                <w:rFonts w:eastAsiaTheme="minorEastAsia"/>
                <w:kern w:val="0"/>
                <w:sz w:val="24"/>
                <w:szCs w:val="24"/>
              </w:rPr>
              <w:t>)</w:t>
            </w:r>
          </w:p>
        </w:tc>
      </w:tr>
      <w:tr w:rsidR="00B1194E">
        <w:tc>
          <w:tcPr>
            <w:tcW w:w="817" w:type="dxa"/>
            <w:vAlign w:val="center"/>
          </w:tcPr>
          <w:p w:rsidR="00B1194E" w:rsidRDefault="00723258">
            <w:pPr>
              <w:jc w:val="center"/>
            </w:pPr>
            <w:r>
              <w:rPr>
                <w:rFonts w:eastAsiaTheme="minorEastAsia"/>
                <w:kern w:val="0"/>
                <w:sz w:val="24"/>
                <w:szCs w:val="24"/>
              </w:rPr>
              <w:lastRenderedPageBreak/>
              <w:t>1</w:t>
            </w:r>
          </w:p>
        </w:tc>
        <w:tc>
          <w:tcPr>
            <w:tcW w:w="1276" w:type="dxa"/>
            <w:vAlign w:val="center"/>
          </w:tcPr>
          <w:p w:rsidR="00B1194E" w:rsidRDefault="00723258">
            <w:pPr>
              <w:jc w:val="center"/>
            </w:pPr>
            <w:r>
              <w:rPr>
                <w:rFonts w:eastAsiaTheme="minorEastAsia"/>
                <w:kern w:val="0"/>
                <w:sz w:val="24"/>
                <w:szCs w:val="24"/>
              </w:rPr>
              <w:t>300750</w:t>
            </w:r>
          </w:p>
        </w:tc>
        <w:tc>
          <w:tcPr>
            <w:tcW w:w="1701" w:type="dxa"/>
            <w:vAlign w:val="center"/>
          </w:tcPr>
          <w:p w:rsidR="00B1194E" w:rsidRDefault="00723258">
            <w:pPr>
              <w:jc w:val="center"/>
            </w:pPr>
            <w:r>
              <w:rPr>
                <w:rFonts w:eastAsiaTheme="minorEastAsia"/>
                <w:kern w:val="0"/>
                <w:sz w:val="24"/>
                <w:szCs w:val="24"/>
              </w:rPr>
              <w:t>宁德时代</w:t>
            </w:r>
          </w:p>
        </w:tc>
        <w:tc>
          <w:tcPr>
            <w:tcW w:w="1276" w:type="dxa"/>
            <w:vAlign w:val="center"/>
          </w:tcPr>
          <w:p w:rsidR="00B1194E" w:rsidRDefault="00723258">
            <w:pPr>
              <w:jc w:val="right"/>
            </w:pPr>
            <w:r>
              <w:rPr>
                <w:rFonts w:eastAsiaTheme="minorEastAsia"/>
                <w:kern w:val="0"/>
                <w:sz w:val="24"/>
                <w:szCs w:val="24"/>
              </w:rPr>
              <w:t>330,352</w:t>
            </w:r>
          </w:p>
        </w:tc>
        <w:tc>
          <w:tcPr>
            <w:tcW w:w="1842" w:type="dxa"/>
            <w:vAlign w:val="center"/>
          </w:tcPr>
          <w:p w:rsidR="00B1194E" w:rsidRDefault="00723258">
            <w:pPr>
              <w:jc w:val="right"/>
            </w:pPr>
            <w:r>
              <w:rPr>
                <w:rFonts w:eastAsiaTheme="minorEastAsia"/>
                <w:kern w:val="0"/>
                <w:sz w:val="24"/>
                <w:szCs w:val="24"/>
              </w:rPr>
              <w:t>176,672,249.60</w:t>
            </w:r>
          </w:p>
        </w:tc>
        <w:tc>
          <w:tcPr>
            <w:tcW w:w="1616" w:type="dxa"/>
            <w:vAlign w:val="center"/>
          </w:tcPr>
          <w:p w:rsidR="00B1194E" w:rsidRDefault="00723258">
            <w:pPr>
              <w:jc w:val="right"/>
            </w:pPr>
            <w:r>
              <w:rPr>
                <w:rFonts w:eastAsiaTheme="minorEastAsia"/>
                <w:kern w:val="0"/>
                <w:sz w:val="24"/>
                <w:szCs w:val="24"/>
              </w:rPr>
              <w:t>7.61</w:t>
            </w:r>
          </w:p>
        </w:tc>
      </w:tr>
      <w:tr w:rsidR="00B1194E">
        <w:tc>
          <w:tcPr>
            <w:tcW w:w="817" w:type="dxa"/>
            <w:vAlign w:val="center"/>
          </w:tcPr>
          <w:p w:rsidR="00B1194E" w:rsidRDefault="00723258">
            <w:pPr>
              <w:jc w:val="center"/>
            </w:pPr>
            <w:r>
              <w:rPr>
                <w:rFonts w:eastAsiaTheme="minorEastAsia"/>
                <w:kern w:val="0"/>
                <w:sz w:val="24"/>
                <w:szCs w:val="24"/>
              </w:rPr>
              <w:t>2</w:t>
            </w:r>
          </w:p>
        </w:tc>
        <w:tc>
          <w:tcPr>
            <w:tcW w:w="1276" w:type="dxa"/>
            <w:vAlign w:val="center"/>
          </w:tcPr>
          <w:p w:rsidR="00B1194E" w:rsidRDefault="00723258">
            <w:pPr>
              <w:jc w:val="center"/>
            </w:pPr>
            <w:r>
              <w:rPr>
                <w:rFonts w:eastAsiaTheme="minorEastAsia"/>
                <w:kern w:val="0"/>
                <w:sz w:val="24"/>
                <w:szCs w:val="24"/>
              </w:rPr>
              <w:t>603259</w:t>
            </w:r>
          </w:p>
        </w:tc>
        <w:tc>
          <w:tcPr>
            <w:tcW w:w="1701" w:type="dxa"/>
            <w:vAlign w:val="center"/>
          </w:tcPr>
          <w:p w:rsidR="00B1194E" w:rsidRDefault="00723258">
            <w:pPr>
              <w:jc w:val="center"/>
            </w:pPr>
            <w:r>
              <w:rPr>
                <w:rFonts w:eastAsiaTheme="minorEastAsia"/>
                <w:kern w:val="0"/>
                <w:sz w:val="24"/>
                <w:szCs w:val="24"/>
              </w:rPr>
              <w:t>药明康德</w:t>
            </w:r>
          </w:p>
        </w:tc>
        <w:tc>
          <w:tcPr>
            <w:tcW w:w="1276" w:type="dxa"/>
            <w:vAlign w:val="center"/>
          </w:tcPr>
          <w:p w:rsidR="00B1194E" w:rsidRDefault="00723258">
            <w:pPr>
              <w:jc w:val="right"/>
            </w:pPr>
            <w:r>
              <w:rPr>
                <w:rFonts w:eastAsiaTheme="minorEastAsia"/>
                <w:kern w:val="0"/>
                <w:sz w:val="24"/>
                <w:szCs w:val="24"/>
              </w:rPr>
              <w:t>1,014,723</w:t>
            </w:r>
          </w:p>
        </w:tc>
        <w:tc>
          <w:tcPr>
            <w:tcW w:w="1842" w:type="dxa"/>
            <w:vAlign w:val="center"/>
          </w:tcPr>
          <w:p w:rsidR="00B1194E" w:rsidRDefault="00723258">
            <w:pPr>
              <w:jc w:val="right"/>
            </w:pPr>
            <w:r>
              <w:rPr>
                <w:rFonts w:eastAsiaTheme="minorEastAsia"/>
                <w:kern w:val="0"/>
                <w:sz w:val="24"/>
                <w:szCs w:val="24"/>
              </w:rPr>
              <w:t>158,895,474.57</w:t>
            </w:r>
          </w:p>
        </w:tc>
        <w:tc>
          <w:tcPr>
            <w:tcW w:w="1616" w:type="dxa"/>
            <w:vAlign w:val="center"/>
          </w:tcPr>
          <w:p w:rsidR="00B1194E" w:rsidRDefault="00723258">
            <w:pPr>
              <w:jc w:val="right"/>
            </w:pPr>
            <w:r>
              <w:rPr>
                <w:rFonts w:eastAsiaTheme="minorEastAsia"/>
                <w:kern w:val="0"/>
                <w:sz w:val="24"/>
                <w:szCs w:val="24"/>
              </w:rPr>
              <w:t>6.84</w:t>
            </w:r>
          </w:p>
        </w:tc>
      </w:tr>
      <w:tr w:rsidR="00B1194E">
        <w:tc>
          <w:tcPr>
            <w:tcW w:w="817" w:type="dxa"/>
            <w:vAlign w:val="center"/>
          </w:tcPr>
          <w:p w:rsidR="00B1194E" w:rsidRDefault="00723258">
            <w:pPr>
              <w:jc w:val="center"/>
            </w:pPr>
            <w:r>
              <w:rPr>
                <w:rFonts w:eastAsiaTheme="minorEastAsia"/>
                <w:kern w:val="0"/>
                <w:sz w:val="24"/>
                <w:szCs w:val="24"/>
              </w:rPr>
              <w:t>3</w:t>
            </w:r>
          </w:p>
        </w:tc>
        <w:tc>
          <w:tcPr>
            <w:tcW w:w="1276" w:type="dxa"/>
            <w:vAlign w:val="center"/>
          </w:tcPr>
          <w:p w:rsidR="00B1194E" w:rsidRDefault="00723258">
            <w:pPr>
              <w:jc w:val="center"/>
            </w:pPr>
            <w:r>
              <w:rPr>
                <w:rFonts w:eastAsiaTheme="minorEastAsia"/>
                <w:kern w:val="0"/>
                <w:sz w:val="24"/>
                <w:szCs w:val="24"/>
              </w:rPr>
              <w:t>600519</w:t>
            </w:r>
          </w:p>
        </w:tc>
        <w:tc>
          <w:tcPr>
            <w:tcW w:w="1701" w:type="dxa"/>
            <w:vAlign w:val="center"/>
          </w:tcPr>
          <w:p w:rsidR="00B1194E" w:rsidRDefault="00723258">
            <w:pPr>
              <w:jc w:val="center"/>
            </w:pPr>
            <w:r>
              <w:rPr>
                <w:rFonts w:eastAsiaTheme="minorEastAsia"/>
                <w:kern w:val="0"/>
                <w:sz w:val="24"/>
                <w:szCs w:val="24"/>
              </w:rPr>
              <w:t>贵州茅台</w:t>
            </w:r>
          </w:p>
        </w:tc>
        <w:tc>
          <w:tcPr>
            <w:tcW w:w="1276" w:type="dxa"/>
            <w:vAlign w:val="center"/>
          </w:tcPr>
          <w:p w:rsidR="00B1194E" w:rsidRDefault="00723258">
            <w:pPr>
              <w:jc w:val="right"/>
            </w:pPr>
            <w:r>
              <w:rPr>
                <w:rFonts w:eastAsiaTheme="minorEastAsia"/>
                <w:kern w:val="0"/>
                <w:sz w:val="24"/>
                <w:szCs w:val="24"/>
              </w:rPr>
              <w:t>64,674</w:t>
            </w:r>
          </w:p>
        </w:tc>
        <w:tc>
          <w:tcPr>
            <w:tcW w:w="1842" w:type="dxa"/>
            <w:vAlign w:val="center"/>
          </w:tcPr>
          <w:p w:rsidR="00B1194E" w:rsidRDefault="00723258">
            <w:pPr>
              <w:jc w:val="right"/>
            </w:pPr>
            <w:r>
              <w:rPr>
                <w:rFonts w:eastAsiaTheme="minorEastAsia"/>
                <w:kern w:val="0"/>
                <w:sz w:val="24"/>
                <w:szCs w:val="24"/>
              </w:rPr>
              <w:t>133,015,015.80</w:t>
            </w:r>
          </w:p>
        </w:tc>
        <w:tc>
          <w:tcPr>
            <w:tcW w:w="1616" w:type="dxa"/>
            <w:vAlign w:val="center"/>
          </w:tcPr>
          <w:p w:rsidR="00B1194E" w:rsidRDefault="00723258">
            <w:pPr>
              <w:jc w:val="right"/>
            </w:pPr>
            <w:r>
              <w:rPr>
                <w:rFonts w:eastAsiaTheme="minorEastAsia"/>
                <w:kern w:val="0"/>
                <w:sz w:val="24"/>
                <w:szCs w:val="24"/>
              </w:rPr>
              <w:t>5.73</w:t>
            </w:r>
          </w:p>
        </w:tc>
      </w:tr>
      <w:tr w:rsidR="00B1194E">
        <w:tc>
          <w:tcPr>
            <w:tcW w:w="817" w:type="dxa"/>
            <w:vAlign w:val="center"/>
          </w:tcPr>
          <w:p w:rsidR="00B1194E" w:rsidRDefault="00723258">
            <w:pPr>
              <w:jc w:val="center"/>
            </w:pPr>
            <w:r>
              <w:rPr>
                <w:rFonts w:eastAsiaTheme="minorEastAsia"/>
                <w:kern w:val="0"/>
                <w:sz w:val="24"/>
                <w:szCs w:val="24"/>
              </w:rPr>
              <w:t>4</w:t>
            </w:r>
          </w:p>
        </w:tc>
        <w:tc>
          <w:tcPr>
            <w:tcW w:w="1276" w:type="dxa"/>
            <w:vAlign w:val="center"/>
          </w:tcPr>
          <w:p w:rsidR="00B1194E" w:rsidRDefault="00723258">
            <w:pPr>
              <w:jc w:val="center"/>
            </w:pPr>
            <w:r>
              <w:rPr>
                <w:rFonts w:eastAsiaTheme="minorEastAsia"/>
                <w:kern w:val="0"/>
                <w:sz w:val="24"/>
                <w:szCs w:val="24"/>
              </w:rPr>
              <w:t>300059</w:t>
            </w:r>
          </w:p>
        </w:tc>
        <w:tc>
          <w:tcPr>
            <w:tcW w:w="1701" w:type="dxa"/>
            <w:vAlign w:val="center"/>
          </w:tcPr>
          <w:p w:rsidR="00B1194E" w:rsidRDefault="00723258">
            <w:pPr>
              <w:jc w:val="center"/>
            </w:pPr>
            <w:r>
              <w:rPr>
                <w:rFonts w:eastAsiaTheme="minorEastAsia"/>
                <w:kern w:val="0"/>
                <w:sz w:val="24"/>
                <w:szCs w:val="24"/>
              </w:rPr>
              <w:t>东方财富</w:t>
            </w:r>
          </w:p>
        </w:tc>
        <w:tc>
          <w:tcPr>
            <w:tcW w:w="1276" w:type="dxa"/>
            <w:vAlign w:val="center"/>
          </w:tcPr>
          <w:p w:rsidR="00B1194E" w:rsidRDefault="00723258">
            <w:pPr>
              <w:jc w:val="right"/>
            </w:pPr>
            <w:r>
              <w:rPr>
                <w:rFonts w:eastAsiaTheme="minorEastAsia"/>
                <w:kern w:val="0"/>
                <w:sz w:val="24"/>
                <w:szCs w:val="24"/>
              </w:rPr>
              <w:t>3,072,168</w:t>
            </w:r>
          </w:p>
        </w:tc>
        <w:tc>
          <w:tcPr>
            <w:tcW w:w="1842" w:type="dxa"/>
            <w:vAlign w:val="center"/>
          </w:tcPr>
          <w:p w:rsidR="00B1194E" w:rsidRDefault="00723258">
            <w:pPr>
              <w:jc w:val="right"/>
            </w:pPr>
            <w:r>
              <w:rPr>
                <w:rFonts w:eastAsiaTheme="minorEastAsia"/>
                <w:kern w:val="0"/>
                <w:sz w:val="24"/>
                <w:szCs w:val="24"/>
              </w:rPr>
              <w:t>100,736,388.72</w:t>
            </w:r>
          </w:p>
        </w:tc>
        <w:tc>
          <w:tcPr>
            <w:tcW w:w="1616" w:type="dxa"/>
            <w:vAlign w:val="center"/>
          </w:tcPr>
          <w:p w:rsidR="00B1194E" w:rsidRDefault="00723258">
            <w:pPr>
              <w:jc w:val="right"/>
            </w:pPr>
            <w:r>
              <w:rPr>
                <w:rFonts w:eastAsiaTheme="minorEastAsia"/>
                <w:kern w:val="0"/>
                <w:sz w:val="24"/>
                <w:szCs w:val="24"/>
              </w:rPr>
              <w:t>4.34</w:t>
            </w:r>
          </w:p>
        </w:tc>
      </w:tr>
      <w:tr w:rsidR="00B1194E">
        <w:tc>
          <w:tcPr>
            <w:tcW w:w="817" w:type="dxa"/>
            <w:vAlign w:val="center"/>
          </w:tcPr>
          <w:p w:rsidR="00B1194E" w:rsidRDefault="00723258">
            <w:pPr>
              <w:jc w:val="center"/>
            </w:pPr>
            <w:r>
              <w:rPr>
                <w:rFonts w:eastAsiaTheme="minorEastAsia"/>
                <w:kern w:val="0"/>
                <w:sz w:val="24"/>
                <w:szCs w:val="24"/>
              </w:rPr>
              <w:t>5</w:t>
            </w:r>
          </w:p>
        </w:tc>
        <w:tc>
          <w:tcPr>
            <w:tcW w:w="1276" w:type="dxa"/>
            <w:vAlign w:val="center"/>
          </w:tcPr>
          <w:p w:rsidR="00B1194E" w:rsidRDefault="00723258">
            <w:pPr>
              <w:jc w:val="center"/>
            </w:pPr>
            <w:r>
              <w:rPr>
                <w:rFonts w:eastAsiaTheme="minorEastAsia"/>
                <w:kern w:val="0"/>
                <w:sz w:val="24"/>
                <w:szCs w:val="24"/>
              </w:rPr>
              <w:t>601888</w:t>
            </w:r>
          </w:p>
        </w:tc>
        <w:tc>
          <w:tcPr>
            <w:tcW w:w="1701" w:type="dxa"/>
            <w:vAlign w:val="center"/>
          </w:tcPr>
          <w:p w:rsidR="00B1194E" w:rsidRDefault="00723258">
            <w:pPr>
              <w:jc w:val="center"/>
            </w:pPr>
            <w:r>
              <w:rPr>
                <w:rFonts w:eastAsiaTheme="minorEastAsia"/>
                <w:kern w:val="0"/>
                <w:sz w:val="24"/>
                <w:szCs w:val="24"/>
              </w:rPr>
              <w:t>中国中免</w:t>
            </w:r>
          </w:p>
        </w:tc>
        <w:tc>
          <w:tcPr>
            <w:tcW w:w="1276" w:type="dxa"/>
            <w:vAlign w:val="center"/>
          </w:tcPr>
          <w:p w:rsidR="00B1194E" w:rsidRDefault="00723258">
            <w:pPr>
              <w:jc w:val="right"/>
            </w:pPr>
            <w:r>
              <w:rPr>
                <w:rFonts w:eastAsiaTheme="minorEastAsia"/>
                <w:kern w:val="0"/>
                <w:sz w:val="24"/>
                <w:szCs w:val="24"/>
              </w:rPr>
              <w:t>293,927</w:t>
            </w:r>
          </w:p>
        </w:tc>
        <w:tc>
          <w:tcPr>
            <w:tcW w:w="1842" w:type="dxa"/>
            <w:vAlign w:val="center"/>
          </w:tcPr>
          <w:p w:rsidR="00B1194E" w:rsidRDefault="00723258">
            <w:pPr>
              <w:jc w:val="right"/>
            </w:pPr>
            <w:r>
              <w:rPr>
                <w:rFonts w:eastAsiaTheme="minorEastAsia"/>
                <w:kern w:val="0"/>
                <w:sz w:val="24"/>
                <w:szCs w:val="24"/>
              </w:rPr>
              <w:t>88,207,492.70</w:t>
            </w:r>
          </w:p>
        </w:tc>
        <w:tc>
          <w:tcPr>
            <w:tcW w:w="1616" w:type="dxa"/>
            <w:vAlign w:val="center"/>
          </w:tcPr>
          <w:p w:rsidR="00B1194E" w:rsidRDefault="00723258">
            <w:pPr>
              <w:jc w:val="right"/>
            </w:pPr>
            <w:r>
              <w:rPr>
                <w:rFonts w:eastAsiaTheme="minorEastAsia"/>
                <w:kern w:val="0"/>
                <w:sz w:val="24"/>
                <w:szCs w:val="24"/>
              </w:rPr>
              <w:t>3.80</w:t>
            </w:r>
          </w:p>
        </w:tc>
      </w:tr>
      <w:tr w:rsidR="00B1194E">
        <w:tc>
          <w:tcPr>
            <w:tcW w:w="817" w:type="dxa"/>
            <w:vAlign w:val="center"/>
          </w:tcPr>
          <w:p w:rsidR="00B1194E" w:rsidRDefault="00723258">
            <w:pPr>
              <w:jc w:val="center"/>
            </w:pPr>
            <w:r>
              <w:rPr>
                <w:rFonts w:eastAsiaTheme="minorEastAsia"/>
                <w:kern w:val="0"/>
                <w:sz w:val="24"/>
                <w:szCs w:val="24"/>
              </w:rPr>
              <w:t>6</w:t>
            </w:r>
          </w:p>
        </w:tc>
        <w:tc>
          <w:tcPr>
            <w:tcW w:w="1276" w:type="dxa"/>
            <w:vAlign w:val="center"/>
          </w:tcPr>
          <w:p w:rsidR="00B1194E" w:rsidRDefault="00723258">
            <w:pPr>
              <w:jc w:val="center"/>
            </w:pPr>
            <w:r>
              <w:rPr>
                <w:rFonts w:eastAsiaTheme="minorEastAsia"/>
                <w:kern w:val="0"/>
                <w:sz w:val="24"/>
                <w:szCs w:val="24"/>
              </w:rPr>
              <w:t>000858</w:t>
            </w:r>
          </w:p>
        </w:tc>
        <w:tc>
          <w:tcPr>
            <w:tcW w:w="1701" w:type="dxa"/>
            <w:vAlign w:val="center"/>
          </w:tcPr>
          <w:p w:rsidR="00B1194E" w:rsidRDefault="00723258">
            <w:pPr>
              <w:jc w:val="center"/>
            </w:pPr>
            <w:r>
              <w:rPr>
                <w:rFonts w:eastAsiaTheme="minorEastAsia"/>
                <w:kern w:val="0"/>
                <w:sz w:val="24"/>
                <w:szCs w:val="24"/>
              </w:rPr>
              <w:t>五粮液</w:t>
            </w:r>
          </w:p>
        </w:tc>
        <w:tc>
          <w:tcPr>
            <w:tcW w:w="1276" w:type="dxa"/>
            <w:vAlign w:val="center"/>
          </w:tcPr>
          <w:p w:rsidR="00B1194E" w:rsidRDefault="00723258">
            <w:pPr>
              <w:jc w:val="right"/>
            </w:pPr>
            <w:r>
              <w:rPr>
                <w:rFonts w:eastAsiaTheme="minorEastAsia"/>
                <w:kern w:val="0"/>
                <w:sz w:val="24"/>
                <w:szCs w:val="24"/>
              </w:rPr>
              <w:t>274,405</w:t>
            </w:r>
          </w:p>
        </w:tc>
        <w:tc>
          <w:tcPr>
            <w:tcW w:w="1842" w:type="dxa"/>
            <w:vAlign w:val="center"/>
          </w:tcPr>
          <w:p w:rsidR="00B1194E" w:rsidRDefault="00723258">
            <w:pPr>
              <w:jc w:val="right"/>
            </w:pPr>
            <w:r>
              <w:rPr>
                <w:rFonts w:eastAsiaTheme="minorEastAsia"/>
                <w:kern w:val="0"/>
                <w:sz w:val="24"/>
                <w:szCs w:val="24"/>
              </w:rPr>
              <w:t>81,742,505.45</w:t>
            </w:r>
          </w:p>
        </w:tc>
        <w:tc>
          <w:tcPr>
            <w:tcW w:w="1616" w:type="dxa"/>
            <w:vAlign w:val="center"/>
          </w:tcPr>
          <w:p w:rsidR="00B1194E" w:rsidRDefault="00723258">
            <w:pPr>
              <w:jc w:val="right"/>
            </w:pPr>
            <w:r>
              <w:rPr>
                <w:rFonts w:eastAsiaTheme="minorEastAsia"/>
                <w:kern w:val="0"/>
                <w:sz w:val="24"/>
                <w:szCs w:val="24"/>
              </w:rPr>
              <w:t>3.52</w:t>
            </w:r>
          </w:p>
        </w:tc>
      </w:tr>
      <w:tr w:rsidR="00B1194E">
        <w:tc>
          <w:tcPr>
            <w:tcW w:w="817" w:type="dxa"/>
            <w:vAlign w:val="center"/>
          </w:tcPr>
          <w:p w:rsidR="00B1194E" w:rsidRDefault="00723258">
            <w:pPr>
              <w:jc w:val="center"/>
            </w:pPr>
            <w:r>
              <w:rPr>
                <w:rFonts w:eastAsiaTheme="minorEastAsia"/>
                <w:kern w:val="0"/>
                <w:sz w:val="24"/>
                <w:szCs w:val="24"/>
              </w:rPr>
              <w:t>7</w:t>
            </w:r>
          </w:p>
        </w:tc>
        <w:tc>
          <w:tcPr>
            <w:tcW w:w="1276" w:type="dxa"/>
            <w:vAlign w:val="center"/>
          </w:tcPr>
          <w:p w:rsidR="00B1194E" w:rsidRDefault="00723258">
            <w:pPr>
              <w:jc w:val="center"/>
            </w:pPr>
            <w:r>
              <w:rPr>
                <w:rFonts w:eastAsiaTheme="minorEastAsia"/>
                <w:kern w:val="0"/>
                <w:sz w:val="24"/>
                <w:szCs w:val="24"/>
              </w:rPr>
              <w:t>603486</w:t>
            </w:r>
          </w:p>
        </w:tc>
        <w:tc>
          <w:tcPr>
            <w:tcW w:w="1701" w:type="dxa"/>
            <w:vAlign w:val="center"/>
          </w:tcPr>
          <w:p w:rsidR="00B1194E" w:rsidRDefault="00723258">
            <w:pPr>
              <w:jc w:val="center"/>
            </w:pPr>
            <w:r>
              <w:rPr>
                <w:rFonts w:eastAsiaTheme="minorEastAsia"/>
                <w:kern w:val="0"/>
                <w:sz w:val="24"/>
                <w:szCs w:val="24"/>
              </w:rPr>
              <w:t>科沃斯</w:t>
            </w:r>
          </w:p>
        </w:tc>
        <w:tc>
          <w:tcPr>
            <w:tcW w:w="1276" w:type="dxa"/>
            <w:vAlign w:val="center"/>
          </w:tcPr>
          <w:p w:rsidR="00B1194E" w:rsidRDefault="00723258">
            <w:pPr>
              <w:jc w:val="right"/>
            </w:pPr>
            <w:r>
              <w:rPr>
                <w:rFonts w:eastAsiaTheme="minorEastAsia"/>
                <w:kern w:val="0"/>
                <w:sz w:val="24"/>
                <w:szCs w:val="24"/>
              </w:rPr>
              <w:t>345,800</w:t>
            </w:r>
          </w:p>
        </w:tc>
        <w:tc>
          <w:tcPr>
            <w:tcW w:w="1842" w:type="dxa"/>
            <w:vAlign w:val="center"/>
          </w:tcPr>
          <w:p w:rsidR="00B1194E" w:rsidRDefault="00723258">
            <w:pPr>
              <w:jc w:val="right"/>
            </w:pPr>
            <w:r>
              <w:rPr>
                <w:rFonts w:eastAsiaTheme="minorEastAsia"/>
                <w:kern w:val="0"/>
                <w:sz w:val="24"/>
                <w:szCs w:val="24"/>
              </w:rPr>
              <w:t>78,870,064.00</w:t>
            </w:r>
          </w:p>
        </w:tc>
        <w:tc>
          <w:tcPr>
            <w:tcW w:w="1616" w:type="dxa"/>
            <w:vAlign w:val="center"/>
          </w:tcPr>
          <w:p w:rsidR="00B1194E" w:rsidRDefault="00723258">
            <w:pPr>
              <w:jc w:val="right"/>
            </w:pPr>
            <w:r>
              <w:rPr>
                <w:rFonts w:eastAsiaTheme="minorEastAsia"/>
                <w:kern w:val="0"/>
                <w:sz w:val="24"/>
                <w:szCs w:val="24"/>
              </w:rPr>
              <w:t>3.40</w:t>
            </w:r>
          </w:p>
        </w:tc>
      </w:tr>
      <w:tr w:rsidR="00B1194E">
        <w:tc>
          <w:tcPr>
            <w:tcW w:w="817" w:type="dxa"/>
            <w:vAlign w:val="center"/>
          </w:tcPr>
          <w:p w:rsidR="00B1194E" w:rsidRDefault="00723258">
            <w:pPr>
              <w:jc w:val="center"/>
            </w:pPr>
            <w:r>
              <w:rPr>
                <w:rFonts w:eastAsiaTheme="minorEastAsia"/>
                <w:kern w:val="0"/>
                <w:sz w:val="24"/>
                <w:szCs w:val="24"/>
              </w:rPr>
              <w:t>8</w:t>
            </w:r>
          </w:p>
        </w:tc>
        <w:tc>
          <w:tcPr>
            <w:tcW w:w="1276" w:type="dxa"/>
            <w:vAlign w:val="center"/>
          </w:tcPr>
          <w:p w:rsidR="00B1194E" w:rsidRDefault="00723258">
            <w:pPr>
              <w:jc w:val="center"/>
            </w:pPr>
            <w:r>
              <w:rPr>
                <w:rFonts w:eastAsiaTheme="minorEastAsia"/>
                <w:kern w:val="0"/>
                <w:sz w:val="24"/>
                <w:szCs w:val="24"/>
              </w:rPr>
              <w:t>300760</w:t>
            </w:r>
          </w:p>
        </w:tc>
        <w:tc>
          <w:tcPr>
            <w:tcW w:w="1701" w:type="dxa"/>
            <w:vAlign w:val="center"/>
          </w:tcPr>
          <w:p w:rsidR="00B1194E" w:rsidRDefault="00723258">
            <w:pPr>
              <w:jc w:val="center"/>
            </w:pPr>
            <w:r>
              <w:rPr>
                <w:rFonts w:eastAsiaTheme="minorEastAsia"/>
                <w:kern w:val="0"/>
                <w:sz w:val="24"/>
                <w:szCs w:val="24"/>
              </w:rPr>
              <w:t>迈瑞医疗</w:t>
            </w:r>
          </w:p>
        </w:tc>
        <w:tc>
          <w:tcPr>
            <w:tcW w:w="1276" w:type="dxa"/>
            <w:vAlign w:val="center"/>
          </w:tcPr>
          <w:p w:rsidR="00B1194E" w:rsidRDefault="00723258">
            <w:pPr>
              <w:jc w:val="right"/>
            </w:pPr>
            <w:r>
              <w:rPr>
                <w:rFonts w:eastAsiaTheme="minorEastAsia"/>
                <w:kern w:val="0"/>
                <w:sz w:val="24"/>
                <w:szCs w:val="24"/>
              </w:rPr>
              <w:t>154,643</w:t>
            </w:r>
          </w:p>
        </w:tc>
        <w:tc>
          <w:tcPr>
            <w:tcW w:w="1842" w:type="dxa"/>
            <w:vAlign w:val="center"/>
          </w:tcPr>
          <w:p w:rsidR="00B1194E" w:rsidRDefault="00723258">
            <w:pPr>
              <w:jc w:val="right"/>
            </w:pPr>
            <w:r>
              <w:rPr>
                <w:rFonts w:eastAsiaTheme="minorEastAsia"/>
                <w:kern w:val="0"/>
                <w:sz w:val="24"/>
                <w:szCs w:val="24"/>
              </w:rPr>
              <w:t>74,236,372.15</w:t>
            </w:r>
          </w:p>
        </w:tc>
        <w:tc>
          <w:tcPr>
            <w:tcW w:w="1616" w:type="dxa"/>
            <w:vAlign w:val="center"/>
          </w:tcPr>
          <w:p w:rsidR="00B1194E" w:rsidRDefault="00723258">
            <w:pPr>
              <w:jc w:val="right"/>
            </w:pPr>
            <w:r>
              <w:rPr>
                <w:rFonts w:eastAsiaTheme="minorEastAsia"/>
                <w:kern w:val="0"/>
                <w:sz w:val="24"/>
                <w:szCs w:val="24"/>
              </w:rPr>
              <w:t>3.20</w:t>
            </w:r>
          </w:p>
        </w:tc>
      </w:tr>
      <w:tr w:rsidR="00B1194E">
        <w:tc>
          <w:tcPr>
            <w:tcW w:w="817" w:type="dxa"/>
            <w:vAlign w:val="center"/>
          </w:tcPr>
          <w:p w:rsidR="00B1194E" w:rsidRDefault="00723258">
            <w:pPr>
              <w:jc w:val="center"/>
            </w:pPr>
            <w:r>
              <w:rPr>
                <w:rFonts w:eastAsiaTheme="minorEastAsia"/>
                <w:kern w:val="0"/>
                <w:sz w:val="24"/>
                <w:szCs w:val="24"/>
              </w:rPr>
              <w:t>9</w:t>
            </w:r>
          </w:p>
        </w:tc>
        <w:tc>
          <w:tcPr>
            <w:tcW w:w="1276" w:type="dxa"/>
            <w:vAlign w:val="center"/>
          </w:tcPr>
          <w:p w:rsidR="00B1194E" w:rsidRDefault="00723258">
            <w:pPr>
              <w:jc w:val="center"/>
            </w:pPr>
            <w:r>
              <w:rPr>
                <w:rFonts w:eastAsiaTheme="minorEastAsia"/>
                <w:kern w:val="0"/>
                <w:sz w:val="24"/>
                <w:szCs w:val="24"/>
              </w:rPr>
              <w:t>002821</w:t>
            </w:r>
          </w:p>
        </w:tc>
        <w:tc>
          <w:tcPr>
            <w:tcW w:w="1701" w:type="dxa"/>
            <w:vAlign w:val="center"/>
          </w:tcPr>
          <w:p w:rsidR="00B1194E" w:rsidRDefault="00723258">
            <w:pPr>
              <w:jc w:val="center"/>
            </w:pPr>
            <w:r>
              <w:rPr>
                <w:rFonts w:eastAsiaTheme="minorEastAsia"/>
                <w:kern w:val="0"/>
                <w:sz w:val="24"/>
                <w:szCs w:val="24"/>
              </w:rPr>
              <w:t>凯莱英</w:t>
            </w:r>
          </w:p>
        </w:tc>
        <w:tc>
          <w:tcPr>
            <w:tcW w:w="1276" w:type="dxa"/>
            <w:vAlign w:val="center"/>
          </w:tcPr>
          <w:p w:rsidR="00B1194E" w:rsidRDefault="00723258">
            <w:pPr>
              <w:jc w:val="right"/>
            </w:pPr>
            <w:r>
              <w:rPr>
                <w:rFonts w:eastAsiaTheme="minorEastAsia"/>
                <w:kern w:val="0"/>
                <w:sz w:val="24"/>
                <w:szCs w:val="24"/>
              </w:rPr>
              <w:t>198,393</w:t>
            </w:r>
          </w:p>
        </w:tc>
        <w:tc>
          <w:tcPr>
            <w:tcW w:w="1842" w:type="dxa"/>
            <w:vAlign w:val="center"/>
          </w:tcPr>
          <w:p w:rsidR="00B1194E" w:rsidRDefault="00723258">
            <w:pPr>
              <w:jc w:val="right"/>
            </w:pPr>
            <w:r>
              <w:rPr>
                <w:rFonts w:eastAsiaTheme="minorEastAsia"/>
                <w:kern w:val="0"/>
                <w:sz w:val="24"/>
                <w:szCs w:val="24"/>
              </w:rPr>
              <w:t>73,921,231.80</w:t>
            </w:r>
          </w:p>
        </w:tc>
        <w:tc>
          <w:tcPr>
            <w:tcW w:w="1616" w:type="dxa"/>
            <w:vAlign w:val="center"/>
          </w:tcPr>
          <w:p w:rsidR="00B1194E" w:rsidRDefault="00723258">
            <w:pPr>
              <w:jc w:val="right"/>
            </w:pPr>
            <w:r>
              <w:rPr>
                <w:rFonts w:eastAsiaTheme="minorEastAsia"/>
                <w:kern w:val="0"/>
                <w:sz w:val="24"/>
                <w:szCs w:val="24"/>
              </w:rPr>
              <w:t>3.18</w:t>
            </w:r>
          </w:p>
        </w:tc>
      </w:tr>
      <w:tr w:rsidR="00B1194E">
        <w:tc>
          <w:tcPr>
            <w:tcW w:w="817" w:type="dxa"/>
            <w:vAlign w:val="center"/>
          </w:tcPr>
          <w:p w:rsidR="00B1194E" w:rsidRDefault="00723258">
            <w:pPr>
              <w:jc w:val="center"/>
            </w:pPr>
            <w:r>
              <w:rPr>
                <w:rFonts w:eastAsiaTheme="minorEastAsia"/>
                <w:kern w:val="0"/>
                <w:sz w:val="24"/>
                <w:szCs w:val="24"/>
              </w:rPr>
              <w:t>10</w:t>
            </w:r>
          </w:p>
        </w:tc>
        <w:tc>
          <w:tcPr>
            <w:tcW w:w="1276" w:type="dxa"/>
            <w:vAlign w:val="center"/>
          </w:tcPr>
          <w:p w:rsidR="00B1194E" w:rsidRDefault="00723258">
            <w:pPr>
              <w:jc w:val="center"/>
            </w:pPr>
            <w:r>
              <w:rPr>
                <w:rFonts w:eastAsiaTheme="minorEastAsia"/>
                <w:kern w:val="0"/>
                <w:sz w:val="24"/>
                <w:szCs w:val="24"/>
              </w:rPr>
              <w:t>002179</w:t>
            </w:r>
          </w:p>
        </w:tc>
        <w:tc>
          <w:tcPr>
            <w:tcW w:w="1701" w:type="dxa"/>
            <w:vAlign w:val="center"/>
          </w:tcPr>
          <w:p w:rsidR="00B1194E" w:rsidRDefault="00723258">
            <w:pPr>
              <w:jc w:val="center"/>
            </w:pPr>
            <w:r>
              <w:rPr>
                <w:rFonts w:eastAsiaTheme="minorEastAsia"/>
                <w:kern w:val="0"/>
                <w:sz w:val="24"/>
                <w:szCs w:val="24"/>
              </w:rPr>
              <w:t>中航光电</w:t>
            </w:r>
          </w:p>
        </w:tc>
        <w:tc>
          <w:tcPr>
            <w:tcW w:w="1276" w:type="dxa"/>
            <w:vAlign w:val="center"/>
          </w:tcPr>
          <w:p w:rsidR="00B1194E" w:rsidRDefault="00723258">
            <w:pPr>
              <w:jc w:val="right"/>
            </w:pPr>
            <w:r>
              <w:rPr>
                <w:rFonts w:eastAsiaTheme="minorEastAsia"/>
                <w:kern w:val="0"/>
                <w:sz w:val="24"/>
                <w:szCs w:val="24"/>
              </w:rPr>
              <w:t>862,618</w:t>
            </w:r>
          </w:p>
        </w:tc>
        <w:tc>
          <w:tcPr>
            <w:tcW w:w="1842" w:type="dxa"/>
            <w:vAlign w:val="center"/>
          </w:tcPr>
          <w:p w:rsidR="00B1194E" w:rsidRDefault="00723258">
            <w:pPr>
              <w:jc w:val="right"/>
            </w:pPr>
            <w:r>
              <w:rPr>
                <w:rFonts w:eastAsiaTheme="minorEastAsia"/>
                <w:kern w:val="0"/>
                <w:sz w:val="24"/>
                <w:szCs w:val="24"/>
              </w:rPr>
              <w:t>68,164,074.36</w:t>
            </w:r>
          </w:p>
        </w:tc>
        <w:tc>
          <w:tcPr>
            <w:tcW w:w="1616" w:type="dxa"/>
            <w:vAlign w:val="center"/>
          </w:tcPr>
          <w:p w:rsidR="00B1194E" w:rsidRDefault="00723258">
            <w:pPr>
              <w:jc w:val="right"/>
            </w:pPr>
            <w:r>
              <w:rPr>
                <w:rFonts w:eastAsiaTheme="minorEastAsia"/>
                <w:kern w:val="0"/>
                <w:sz w:val="24"/>
                <w:szCs w:val="24"/>
              </w:rPr>
              <w:t>2.94</w:t>
            </w:r>
          </w:p>
        </w:tc>
      </w:tr>
      <w:bookmarkEnd w:id="1"/>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5.9.1 </w:t>
      </w:r>
      <w:r w:rsidRPr="00FF6B9A">
        <w:rPr>
          <w:rFonts w:eastAsiaTheme="minorEastAsia"/>
          <w:b/>
          <w:bCs/>
          <w:color w:val="000000" w:themeColor="text1"/>
          <w:kern w:val="0"/>
          <w:sz w:val="24"/>
          <w:szCs w:val="24"/>
        </w:rPr>
        <w:t>报告期末本基金投资的股指期货持仓和损益明细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rsidR="00D06738" w:rsidRPr="00FF6B9A" w:rsidRDefault="00D06738">
      <w:pPr>
        <w:adjustRightInd w:val="0"/>
        <w:snapToGrid w:val="0"/>
        <w:spacing w:line="360" w:lineRule="exac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5.9.2 </w:t>
      </w:r>
      <w:r w:rsidRPr="00FF6B9A">
        <w:rPr>
          <w:rFonts w:eastAsiaTheme="minorEastAsia"/>
          <w:b/>
          <w:bCs/>
          <w:color w:val="000000" w:themeColor="text1"/>
          <w:kern w:val="0"/>
          <w:sz w:val="24"/>
          <w:szCs w:val="24"/>
        </w:rPr>
        <w:t>本基金投资股指期货的投资政策</w:t>
      </w:r>
    </w:p>
    <w:p w:rsidR="00B1194E" w:rsidRDefault="00723258">
      <w:pPr>
        <w:spacing w:line="360" w:lineRule="auto"/>
        <w:ind w:firstLineChars="200" w:firstLine="420"/>
        <w:rPr>
          <w:rFonts w:eastAsiaTheme="minorEastAsia"/>
          <w:color w:val="000000" w:themeColor="text1"/>
        </w:rPr>
      </w:pPr>
      <w:r>
        <w:rPr>
          <w:rFonts w:eastAsiaTheme="minorEastAsia"/>
          <w:color w:val="000000" w:themeColor="text1"/>
        </w:rPr>
        <w:lastRenderedPageBreak/>
        <w:t>本基金根据风险管理的原则，以套期保值为主要目的，有选择地投资于股指期货。套期保值主要采用流动性好、交易活跃的期货合约。本基金在进行股指期货投资时，通过对证券市场和期货市场运行趋势的研究，并结合股指期货的定价模型寻求其合理的估值水平。</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本基金管理人将充分考虑股指期货的收益性、流动性及风险特征，通过资产配置、品种选择，谨慎进行投资，以降低投资组合的整体风险。</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Pr="00FF6B9A">
        <w:rPr>
          <w:rFonts w:eastAsiaTheme="minorEastAsia"/>
          <w:color w:val="000000" w:themeColor="text1"/>
          <w:sz w:val="24"/>
          <w:szCs w:val="24"/>
        </w:rPr>
        <w:t>报告期内本基金投资的前十名证券的发行主体本期没有出现被监管部门立案调查，或在报告编制日前一年内受到公开谴责、处罚的情形。</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5.11.3 </w:t>
      </w:r>
      <w:r w:rsidRPr="00FF6B9A">
        <w:rPr>
          <w:rFonts w:eastAsiaTheme="minor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rsidRPr="00FF6B9A">
        <w:tc>
          <w:tcPr>
            <w:tcW w:w="123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247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名称</w:t>
            </w:r>
          </w:p>
        </w:tc>
        <w:tc>
          <w:tcPr>
            <w:tcW w:w="480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1</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存出保证金</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555,921.29</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2</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应收证券清算款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3</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应收股利</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4</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应收利息</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22,868.47</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5</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应收申购款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3,690,543.51</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6</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其他应收款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7</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待摊费用</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8</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9</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合计</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4,269,333.27</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本基金本报告期末未持有处于转股期的可转换债券。</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报告期末前十名股票中存在流通受限情况的说明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lastRenderedPageBreak/>
        <w:t>本基金本报告期末前十名股票中不存在流通受限情况。</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因四舍五入原因</w:t>
      </w:r>
      <w:r w:rsidRPr="00FF6B9A">
        <w:rPr>
          <w:rFonts w:eastAsiaTheme="minorEastAsia"/>
          <w:color w:val="000000" w:themeColor="text1"/>
        </w:rPr>
        <w:t>,</w:t>
      </w:r>
      <w:r w:rsidRPr="00FF6B9A">
        <w:rPr>
          <w:rFonts w:eastAsiaTheme="minorEastAsia"/>
          <w:color w:val="000000" w:themeColor="text1"/>
        </w:rPr>
        <w:t>投资组合报告中分项之和与合计可能存在尾差。</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§6  </w:t>
      </w:r>
      <w:r w:rsidRPr="00FF6B9A">
        <w:rPr>
          <w:rFonts w:eastAsiaTheme="minorEastAsia"/>
          <w:color w:val="000000" w:themeColor="text1"/>
          <w:kern w:val="0"/>
          <w:sz w:val="24"/>
          <w:szCs w:val="24"/>
        </w:rPr>
        <w:t>开放式基金份额变动</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1,287,590,187.53</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103,103,084.25</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134,391,214.16</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1,256,302,057.62</w:t>
            </w:r>
          </w:p>
        </w:tc>
      </w:tr>
    </w:tbl>
    <w:p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t xml:space="preserve">§7  </w:t>
      </w:r>
      <w:r w:rsidRPr="00FF6B9A">
        <w:rPr>
          <w:color w:val="000000" w:themeColor="text1"/>
          <w:sz w:val="24"/>
          <w:szCs w:val="24"/>
        </w:rPr>
        <w:t>基金管理人运用固有资金投资本基金情况</w:t>
      </w:r>
    </w:p>
    <w:p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kern w:val="0"/>
        </w:rPr>
        <w:t>无。</w:t>
      </w:r>
    </w:p>
    <w:p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§8  </w:t>
      </w:r>
      <w:r w:rsidRPr="00FF6B9A">
        <w:rPr>
          <w:rFonts w:eastAsiaTheme="minorEastAsia"/>
          <w:color w:val="000000" w:themeColor="text1"/>
          <w:kern w:val="0"/>
          <w:sz w:val="24"/>
          <w:szCs w:val="24"/>
        </w:rPr>
        <w:t>备查文件目录</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8.1 </w:t>
      </w:r>
      <w:r w:rsidRPr="00FF6B9A">
        <w:rPr>
          <w:rFonts w:eastAsiaTheme="minorEastAsia"/>
          <w:b/>
          <w:bCs/>
          <w:color w:val="000000" w:themeColor="text1"/>
          <w:kern w:val="0"/>
          <w:sz w:val="24"/>
          <w:szCs w:val="24"/>
        </w:rPr>
        <w:t>备查文件目录</w:t>
      </w:r>
    </w:p>
    <w:p w:rsidR="00B1194E" w:rsidRDefault="00723258">
      <w:pPr>
        <w:spacing w:line="360" w:lineRule="auto"/>
        <w:ind w:firstLineChars="200" w:firstLine="420"/>
        <w:rPr>
          <w:rFonts w:eastAsiaTheme="minorEastAsia"/>
          <w:color w:val="000000" w:themeColor="text1"/>
        </w:rPr>
      </w:pPr>
      <w:r>
        <w:rPr>
          <w:rFonts w:eastAsiaTheme="minorEastAsia"/>
          <w:color w:val="000000" w:themeColor="text1"/>
        </w:rPr>
        <w:t xml:space="preserve">1. </w:t>
      </w:r>
      <w:r>
        <w:rPr>
          <w:rFonts w:eastAsiaTheme="minorEastAsia"/>
          <w:color w:val="000000" w:themeColor="text1"/>
        </w:rPr>
        <w:t>中国证监会准予上投摩根卓越制造股票型证券投资基金募集注册的文件；</w:t>
      </w:r>
    </w:p>
    <w:p w:rsidR="00B1194E" w:rsidRDefault="00723258">
      <w:pPr>
        <w:spacing w:line="360" w:lineRule="auto"/>
        <w:ind w:firstLineChars="200" w:firstLine="420"/>
        <w:rPr>
          <w:rFonts w:eastAsiaTheme="minorEastAsia"/>
          <w:color w:val="000000" w:themeColor="text1"/>
        </w:rPr>
      </w:pPr>
      <w:r>
        <w:rPr>
          <w:rFonts w:eastAsiaTheme="minorEastAsia"/>
          <w:color w:val="000000" w:themeColor="text1"/>
        </w:rPr>
        <w:t xml:space="preserve">2. </w:t>
      </w:r>
      <w:r>
        <w:rPr>
          <w:rFonts w:eastAsiaTheme="minorEastAsia"/>
          <w:color w:val="000000" w:themeColor="text1"/>
        </w:rPr>
        <w:t>《上投摩根上投摩根卓越制造股票型证券投资基金基金合同》；</w:t>
      </w:r>
    </w:p>
    <w:p w:rsidR="00B1194E" w:rsidRDefault="00723258">
      <w:pPr>
        <w:spacing w:line="360" w:lineRule="auto"/>
        <w:ind w:firstLineChars="200" w:firstLine="420"/>
        <w:rPr>
          <w:rFonts w:eastAsiaTheme="minorEastAsia"/>
          <w:color w:val="000000" w:themeColor="text1"/>
        </w:rPr>
      </w:pPr>
      <w:r>
        <w:rPr>
          <w:rFonts w:eastAsiaTheme="minorEastAsia"/>
          <w:color w:val="000000" w:themeColor="text1"/>
        </w:rPr>
        <w:t xml:space="preserve">3. </w:t>
      </w:r>
      <w:r>
        <w:rPr>
          <w:rFonts w:eastAsiaTheme="minorEastAsia"/>
          <w:color w:val="000000" w:themeColor="text1"/>
        </w:rPr>
        <w:t>《上投摩根上投摩根卓越制造股票型证券投资基金托管协议》；</w:t>
      </w:r>
    </w:p>
    <w:p w:rsidR="00B1194E" w:rsidRDefault="00723258">
      <w:pPr>
        <w:spacing w:line="360" w:lineRule="auto"/>
        <w:ind w:firstLineChars="200" w:firstLine="420"/>
        <w:rPr>
          <w:rFonts w:eastAsiaTheme="minorEastAsia"/>
          <w:color w:val="000000" w:themeColor="text1"/>
        </w:rPr>
      </w:pPr>
      <w:r>
        <w:rPr>
          <w:rFonts w:eastAsiaTheme="minorEastAsia"/>
          <w:color w:val="000000" w:themeColor="text1"/>
        </w:rPr>
        <w:t xml:space="preserve">4. </w:t>
      </w:r>
      <w:r>
        <w:rPr>
          <w:rFonts w:eastAsiaTheme="minorEastAsia"/>
          <w:color w:val="000000" w:themeColor="text1"/>
        </w:rPr>
        <w:t>《上投摩根开放式基金业务规则》；</w:t>
      </w:r>
    </w:p>
    <w:p w:rsidR="00B1194E" w:rsidRDefault="00723258">
      <w:pPr>
        <w:spacing w:line="360" w:lineRule="auto"/>
        <w:ind w:firstLineChars="200" w:firstLine="420"/>
        <w:rPr>
          <w:rFonts w:eastAsiaTheme="minorEastAsia"/>
          <w:color w:val="000000" w:themeColor="text1"/>
        </w:rPr>
      </w:pPr>
      <w:r>
        <w:rPr>
          <w:rFonts w:eastAsiaTheme="minorEastAsia"/>
          <w:color w:val="000000" w:themeColor="text1"/>
        </w:rPr>
        <w:t>5.</w:t>
      </w:r>
      <w:r>
        <w:rPr>
          <w:rFonts w:eastAsiaTheme="minorEastAsia"/>
          <w:color w:val="000000" w:themeColor="text1"/>
        </w:rPr>
        <w:t xml:space="preserve"> </w:t>
      </w:r>
      <w:r>
        <w:rPr>
          <w:rFonts w:eastAsiaTheme="minorEastAsia"/>
          <w:color w:val="000000" w:themeColor="text1"/>
        </w:rPr>
        <w:t>基金管理人业务资格批件、营业执照；</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 xml:space="preserve">6. </w:t>
      </w:r>
      <w:r w:rsidRPr="00FF6B9A">
        <w:rPr>
          <w:rFonts w:eastAsiaTheme="minorEastAsia"/>
          <w:color w:val="000000" w:themeColor="text1"/>
        </w:rPr>
        <w:t>基金托管人业务资格批件和营业执照。</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8.2 </w:t>
      </w:r>
      <w:r w:rsidRPr="00FF6B9A">
        <w:rPr>
          <w:rFonts w:eastAsiaTheme="minorEastAsia"/>
          <w:b/>
          <w:bCs/>
          <w:color w:val="000000" w:themeColor="text1"/>
          <w:kern w:val="0"/>
          <w:sz w:val="24"/>
          <w:szCs w:val="24"/>
        </w:rPr>
        <w:t>存放地点</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lastRenderedPageBreak/>
        <w:t>基金管理人或基金托管人处。</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8.3 </w:t>
      </w:r>
      <w:r w:rsidRPr="00FF6B9A">
        <w:rPr>
          <w:rFonts w:eastAsiaTheme="minorEastAsia"/>
          <w:b/>
          <w:bCs/>
          <w:color w:val="000000" w:themeColor="text1"/>
          <w:kern w:val="0"/>
          <w:sz w:val="24"/>
          <w:szCs w:val="24"/>
        </w:rPr>
        <w:t>查阅方式</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投资者可在营业时间免费查阅，也可按工本费购买复印件。</w:t>
      </w: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上投摩根基金管理有限公司</w:t>
      </w: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二〇二一年七月二十一日</w:t>
      </w:r>
    </w:p>
    <w:p w:rsidR="00D06738" w:rsidRPr="00FF6B9A" w:rsidRDefault="00D06738">
      <w:pPr>
        <w:spacing w:line="360" w:lineRule="auto"/>
        <w:ind w:left="840"/>
        <w:jc w:val="right"/>
        <w:rPr>
          <w:rFonts w:eastAsiaTheme="minorEastAsia"/>
          <w:b/>
          <w:bCs/>
          <w:color w:val="000000" w:themeColor="text1"/>
          <w:sz w:val="24"/>
          <w:szCs w:val="24"/>
        </w:rPr>
      </w:pPr>
    </w:p>
    <w:p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3EA" w:rsidRDefault="007573EA">
      <w:r>
        <w:separator/>
      </w:r>
    </w:p>
  </w:endnote>
  <w:endnote w:type="continuationSeparator" w:id="0">
    <w:p w:rsidR="007573EA" w:rsidRDefault="0075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723258" w:rsidRPr="00723258">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723258">
      <w:rPr>
        <w:rStyle w:val="aff"/>
        <w:noProof/>
      </w:rPr>
      <w:t>2</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3EA" w:rsidRDefault="007573EA">
      <w:r>
        <w:separator/>
      </w:r>
    </w:p>
  </w:footnote>
  <w:footnote w:type="continuationSeparator" w:id="0">
    <w:p w:rsidR="007573EA" w:rsidRDefault="00757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上投摩根卓越制造股票型证券投资基金</w:t>
    </w:r>
    <w:r>
      <w:rPr>
        <w:rFonts w:hint="eastAsia"/>
      </w:rPr>
      <w:t>2021</w:t>
    </w:r>
    <w:r>
      <w:rPr>
        <w:rFonts w:hint="eastAsia"/>
      </w:rPr>
      <w:t>年第</w:t>
    </w:r>
    <w:r>
      <w:rPr>
        <w:rFonts w:hint="eastAsia"/>
      </w:rPr>
      <w:t>2</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3258"/>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194E"/>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565191-EFA4-4A3F-9100-70A735605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1104</Words>
  <Characters>6294</Characters>
  <Application>Microsoft Office Word</Application>
  <DocSecurity>0</DocSecurity>
  <Lines>52</Lines>
  <Paragraphs>14</Paragraphs>
  <ScaleCrop>false</ScaleCrop>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Yang.Wang@FA</cp:lastModifiedBy>
  <cp:revision>268</cp:revision>
  <dcterms:created xsi:type="dcterms:W3CDTF">2012-10-16T06:07:00Z</dcterms:created>
  <dcterms:modified xsi:type="dcterms:W3CDTF">2021-07-19T11:33:00Z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