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上投摩根卓越制造股票型证券投资基金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2020年第4季度报告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2020年12月31日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中国建设银行股份有限公司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二〇二一年一月二十二日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本报告期自2020年10月1日起至12月31日止。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上投摩根卓越制造股票</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001126</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001126</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2015年4月14日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1,351,629,502.80</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通过系统和深入的基本面研究，重点投资于制造业中具有竞争力的优质上市公司，在严格控制风险的前提下，力争实现基金资产长期稳定增值。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通过系统和深入的基本面研究，重点投资于制造业中具有竞争力的优质上市公司，在严格控制风险的前提下，力争实现基金资产长期稳定增值。本基金将不低于80%的非现金基金资产投资于国家卓越制造相关行业。</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在行业配置层面，本基金将从行业生命周期、行业景气度、行业竞争格局等多角度，综合评估各个行业的投资价值，对基金资产在行业间分配进行安排。</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在个股选择层面，本基金将主要采用“自下而上”的方法，在备选行业内部通过定量与定性相结合的分析方法，综合分析上市公司的业绩质量、成长性和估值水平等各方面信息，精选具有良好成长性、估值合理的个股。</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申万制造业指数收益率×85%+上证国债指数收益率×15%</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本基金属于股票型基金产品，预期风险和收益水平高于混合型基金、债券型基金和货币市场基金，属于较高风险收益水平的基金产品。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中国建设银行股份有限公司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2020年10月1日-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2020年12月31日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362,395,784.38</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438,570,546.32</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0.2922</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2,318,830,420.64</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1.7156</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20.02%</w:t>
            </w:r>
          </w:p>
        </w:tc>
        <w:tc>
          <w:tcPr>
            <w:vAlign w:val="center"/>
          </w:tcPr>
          <w:p>
            <w:pPr>
              <w:jc w:val="center"/>
            </w:pPr>
            <w:r>
              <w:rPr>
                <w:rFonts w:asciiTheme="minorEastAsia" w:eastAsiaTheme="minorEastAsia" w:hAnsiTheme="minorEastAsia"/>
                <w:color w:themeColor="text1" w:val="000000"/>
                <w:kern w:val="0"/>
              </w:rPr>
              <w:t>1.34%</w:t>
            </w:r>
          </w:p>
        </w:tc>
        <w:tc>
          <w:tcPr>
            <w:vAlign w:val="center"/>
          </w:tcPr>
          <w:p>
            <w:pPr>
              <w:jc w:val="center"/>
            </w:pPr>
            <w:r>
              <w:rPr>
                <w:rFonts w:asciiTheme="minorEastAsia" w:eastAsiaTheme="minorEastAsia" w:hAnsiTheme="minorEastAsia"/>
                <w:color w:themeColor="text1" w:val="000000"/>
                <w:kern w:val="0"/>
              </w:rPr>
              <w:t>10.50%</w:t>
            </w:r>
          </w:p>
        </w:tc>
        <w:tc>
          <w:tcPr>
            <w:vAlign w:val="center"/>
          </w:tcPr>
          <w:p>
            <w:pPr>
              <w:jc w:val="center"/>
            </w:pPr>
            <w:r>
              <w:rPr>
                <w:rFonts w:asciiTheme="minorEastAsia" w:eastAsiaTheme="minorEastAsia" w:hAnsiTheme="minorEastAsia"/>
                <w:color w:themeColor="text1" w:val="000000"/>
                <w:kern w:val="0"/>
              </w:rPr>
              <w:t>1.19%</w:t>
            </w:r>
          </w:p>
        </w:tc>
        <w:tc>
          <w:tcPr>
            <w:vAlign w:val="center"/>
          </w:tcPr>
          <w:p>
            <w:pPr>
              <w:jc w:val="center"/>
            </w:pPr>
            <w:r>
              <w:rPr>
                <w:rFonts w:asciiTheme="minorEastAsia" w:eastAsiaTheme="minorEastAsia" w:hAnsiTheme="minorEastAsia"/>
                <w:color w:themeColor="text1" w:val="000000"/>
                <w:kern w:val="0"/>
              </w:rPr>
              <w:t>9.52%</w:t>
            </w:r>
          </w:p>
        </w:tc>
        <w:tc>
          <w:tcPr>
            <w:vAlign w:val="center"/>
          </w:tcPr>
          <w:p>
            <w:pPr>
              <w:jc w:val="center"/>
            </w:pPr>
            <w:r>
              <w:rPr>
                <w:rFonts w:asciiTheme="minorEastAsia" w:eastAsiaTheme="minorEastAsia" w:hAnsiTheme="minorEastAsia"/>
                <w:color w:themeColor="text1" w:val="000000"/>
                <w:kern w:val="0"/>
              </w:rPr>
              <w:t>0.15%</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40.49%</w:t>
            </w:r>
          </w:p>
        </w:tc>
        <w:tc>
          <w:tcPr>
            <w:vAlign w:val="center"/>
          </w:tcPr>
          <w:p>
            <w:pPr>
              <w:jc w:val="center"/>
            </w:pPr>
            <w:r>
              <w:rPr>
                <w:rFonts w:asciiTheme="minorEastAsia" w:eastAsiaTheme="minorEastAsia" w:hAnsiTheme="minorEastAsia"/>
                <w:color w:themeColor="text1" w:val="000000"/>
                <w:kern w:val="0"/>
              </w:rPr>
              <w:t>1.64%</w:t>
            </w:r>
          </w:p>
        </w:tc>
        <w:tc>
          <w:tcPr>
            <w:vAlign w:val="center"/>
          </w:tcPr>
          <w:p>
            <w:pPr>
              <w:jc w:val="center"/>
            </w:pPr>
            <w:r>
              <w:rPr>
                <w:rFonts w:asciiTheme="minorEastAsia" w:eastAsiaTheme="minorEastAsia" w:hAnsiTheme="minorEastAsia"/>
                <w:color w:themeColor="text1" w:val="000000"/>
                <w:kern w:val="0"/>
              </w:rPr>
              <w:t>20.97%</w:t>
            </w:r>
          </w:p>
        </w:tc>
        <w:tc>
          <w:tcPr>
            <w:vAlign w:val="center"/>
          </w:tcPr>
          <w:p>
            <w:pPr>
              <w:jc w:val="center"/>
            </w:pPr>
            <w:r>
              <w:rPr>
                <w:rFonts w:asciiTheme="minorEastAsia" w:eastAsiaTheme="minorEastAsia" w:hAnsiTheme="minorEastAsia"/>
                <w:color w:themeColor="text1" w:val="000000"/>
                <w:kern w:val="0"/>
              </w:rPr>
              <w:t>1.44%</w:t>
            </w:r>
          </w:p>
        </w:tc>
        <w:tc>
          <w:tcPr>
            <w:vAlign w:val="center"/>
          </w:tcPr>
          <w:p>
            <w:pPr>
              <w:jc w:val="center"/>
            </w:pPr>
            <w:r>
              <w:rPr>
                <w:rFonts w:asciiTheme="minorEastAsia" w:eastAsiaTheme="minorEastAsia" w:hAnsiTheme="minorEastAsia"/>
                <w:color w:themeColor="text1" w:val="000000"/>
                <w:kern w:val="0"/>
              </w:rPr>
              <w:t>19.52%</w:t>
            </w:r>
          </w:p>
        </w:tc>
        <w:tc>
          <w:tcPr>
            <w:vAlign w:val="center"/>
          </w:tcPr>
          <w:p>
            <w:pPr>
              <w:jc w:val="center"/>
            </w:pPr>
            <w:r>
              <w:rPr>
                <w:rFonts w:asciiTheme="minorEastAsia" w:eastAsiaTheme="minorEastAsia" w:hAnsiTheme="minorEastAsia"/>
                <w:color w:themeColor="text1" w:val="000000"/>
                <w:kern w:val="0"/>
              </w:rPr>
              <w:t>0.20%</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102.30%</w:t>
            </w:r>
          </w:p>
        </w:tc>
        <w:tc>
          <w:tcPr>
            <w:vAlign w:val="center"/>
          </w:tcPr>
          <w:p>
            <w:pPr>
              <w:jc w:val="center"/>
            </w:pPr>
            <w:r>
              <w:rPr>
                <w:rFonts w:asciiTheme="minorEastAsia" w:eastAsiaTheme="minorEastAsia" w:hAnsiTheme="minorEastAsia"/>
                <w:color w:themeColor="text1" w:val="000000"/>
                <w:kern w:val="0"/>
              </w:rPr>
              <w:t>1.72%</w:t>
            </w:r>
          </w:p>
        </w:tc>
        <w:tc>
          <w:tcPr>
            <w:vAlign w:val="center"/>
          </w:tcPr>
          <w:p>
            <w:pPr>
              <w:jc w:val="center"/>
            </w:pPr>
            <w:r>
              <w:rPr>
                <w:rFonts w:asciiTheme="minorEastAsia" w:eastAsiaTheme="minorEastAsia" w:hAnsiTheme="minorEastAsia"/>
                <w:color w:themeColor="text1" w:val="000000"/>
                <w:kern w:val="0"/>
              </w:rPr>
              <w:t>35.92%</w:t>
            </w:r>
          </w:p>
        </w:tc>
        <w:tc>
          <w:tcPr>
            <w:vAlign w:val="center"/>
          </w:tcPr>
          <w:p>
            <w:pPr>
              <w:jc w:val="center"/>
            </w:pPr>
            <w:r>
              <w:rPr>
                <w:rFonts w:asciiTheme="minorEastAsia" w:eastAsiaTheme="minorEastAsia" w:hAnsiTheme="minorEastAsia"/>
                <w:color w:themeColor="text1" w:val="000000"/>
                <w:kern w:val="0"/>
              </w:rPr>
              <w:t>1.63%</w:t>
            </w:r>
          </w:p>
        </w:tc>
        <w:tc>
          <w:tcPr>
            <w:vAlign w:val="center"/>
          </w:tcPr>
          <w:p>
            <w:pPr>
              <w:jc w:val="center"/>
            </w:pPr>
            <w:r>
              <w:rPr>
                <w:rFonts w:asciiTheme="minorEastAsia" w:eastAsiaTheme="minorEastAsia" w:hAnsiTheme="minorEastAsia"/>
                <w:color w:themeColor="text1" w:val="000000"/>
                <w:kern w:val="0"/>
              </w:rPr>
              <w:t>66.38%</w:t>
            </w:r>
          </w:p>
        </w:tc>
        <w:tc>
          <w:tcPr>
            <w:vAlign w:val="center"/>
          </w:tcPr>
          <w:p>
            <w:pPr>
              <w:jc w:val="center"/>
            </w:pPr>
            <w:r>
              <w:rPr>
                <w:rFonts w:asciiTheme="minorEastAsia" w:eastAsiaTheme="minorEastAsia" w:hAnsiTheme="minorEastAsia"/>
                <w:color w:themeColor="text1" w:val="000000"/>
                <w:kern w:val="0"/>
              </w:rPr>
              <w:t>0.09%</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155.94%</w:t>
            </w:r>
          </w:p>
        </w:tc>
        <w:tc>
          <w:tcPr>
            <w:vAlign w:val="center"/>
          </w:tcPr>
          <w:p>
            <w:pPr>
              <w:jc w:val="center"/>
            </w:pPr>
            <w:r>
              <w:rPr>
                <w:rFonts w:asciiTheme="minorEastAsia" w:eastAsiaTheme="minorEastAsia" w:hAnsiTheme="minorEastAsia"/>
                <w:color w:themeColor="text1" w:val="000000"/>
                <w:kern w:val="0"/>
              </w:rPr>
              <w:t>1.46%</w:t>
            </w:r>
          </w:p>
        </w:tc>
        <w:tc>
          <w:tcPr>
            <w:vAlign w:val="center"/>
          </w:tcPr>
          <w:p>
            <w:pPr>
              <w:jc w:val="center"/>
            </w:pPr>
            <w:r>
              <w:rPr>
                <w:rFonts w:asciiTheme="minorEastAsia" w:eastAsiaTheme="minorEastAsia" w:hAnsiTheme="minorEastAsia"/>
                <w:color w:themeColor="text1" w:val="000000"/>
                <w:kern w:val="0"/>
              </w:rPr>
              <w:t>21.75%</w:t>
            </w:r>
          </w:p>
        </w:tc>
        <w:tc>
          <w:tcPr>
            <w:vAlign w:val="center"/>
          </w:tcPr>
          <w:p>
            <w:pPr>
              <w:jc w:val="center"/>
            </w:pPr>
            <w:r>
              <w:rPr>
                <w:rFonts w:asciiTheme="minorEastAsia" w:eastAsiaTheme="minorEastAsia" w:hAnsiTheme="minorEastAsia"/>
                <w:color w:themeColor="text1" w:val="000000"/>
                <w:kern w:val="0"/>
              </w:rPr>
              <w:t>1.46%</w:t>
            </w:r>
          </w:p>
        </w:tc>
        <w:tc>
          <w:tcPr>
            <w:vAlign w:val="center"/>
          </w:tcPr>
          <w:p>
            <w:pPr>
              <w:jc w:val="center"/>
            </w:pPr>
            <w:r>
              <w:rPr>
                <w:rFonts w:asciiTheme="minorEastAsia" w:eastAsiaTheme="minorEastAsia" w:hAnsiTheme="minorEastAsia"/>
                <w:color w:themeColor="text1" w:val="000000"/>
                <w:kern w:val="0"/>
              </w:rPr>
              <w:t>134.19%</w:t>
            </w:r>
          </w:p>
        </w:tc>
        <w:tc>
          <w:tcPr>
            <w:vAlign w:val="center"/>
          </w:tcPr>
          <w:p>
            <w:pPr>
              <w:jc w:val="center"/>
            </w:pPr>
            <w:r>
              <w:rPr>
                <w:rFonts w:asciiTheme="minorEastAsia" w:eastAsiaTheme="minorEastAsia" w:hAnsiTheme="minorEastAsia"/>
                <w:color w:themeColor="text1" w:val="000000"/>
                <w:kern w:val="0"/>
              </w:rPr>
              <w:t>0.00%</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121.39%</w:t>
            </w:r>
          </w:p>
        </w:tc>
        <w:tc>
          <w:tcPr>
            <w:vAlign w:val="center"/>
          </w:tcPr>
          <w:p>
            <w:pPr>
              <w:jc w:val="center"/>
            </w:pPr>
            <w:r>
              <w:rPr>
                <w:rFonts w:asciiTheme="minorEastAsia" w:eastAsiaTheme="minorEastAsia" w:hAnsiTheme="minorEastAsia"/>
                <w:color w:themeColor="text1" w:val="000000"/>
                <w:kern w:val="0"/>
              </w:rPr>
              <w:t>1.50%</w:t>
            </w:r>
          </w:p>
        </w:tc>
        <w:tc>
          <w:tcPr>
            <w:vAlign w:val="center"/>
          </w:tcPr>
          <w:p>
            <w:pPr>
              <w:jc w:val="center"/>
            </w:pPr>
            <w:r>
              <w:rPr>
                <w:rFonts w:asciiTheme="minorEastAsia" w:eastAsiaTheme="minorEastAsia" w:hAnsiTheme="minorEastAsia"/>
                <w:color w:themeColor="text1" w:val="000000"/>
                <w:kern w:val="0"/>
              </w:rPr>
              <w:t>4.24%</w:t>
            </w:r>
          </w:p>
        </w:tc>
        <w:tc>
          <w:tcPr>
            <w:vAlign w:val="center"/>
          </w:tcPr>
          <w:p>
            <w:pPr>
              <w:jc w:val="center"/>
            </w:pPr>
            <w:r>
              <w:rPr>
                <w:rFonts w:asciiTheme="minorEastAsia" w:eastAsiaTheme="minorEastAsia" w:hAnsiTheme="minorEastAsia"/>
                <w:color w:themeColor="text1" w:val="000000"/>
                <w:kern w:val="0"/>
              </w:rPr>
              <w:t>1.40%</w:t>
            </w:r>
          </w:p>
        </w:tc>
        <w:tc>
          <w:tcPr>
            <w:vAlign w:val="center"/>
          </w:tcPr>
          <w:p>
            <w:pPr>
              <w:jc w:val="center"/>
            </w:pPr>
            <w:r>
              <w:rPr>
                <w:rFonts w:asciiTheme="minorEastAsia" w:eastAsiaTheme="minorEastAsia" w:hAnsiTheme="minorEastAsia"/>
                <w:color w:themeColor="text1" w:val="000000"/>
                <w:kern w:val="0"/>
              </w:rPr>
              <w:t>117.15%</w:t>
            </w:r>
          </w:p>
        </w:tc>
        <w:tc>
          <w:tcPr>
            <w:vAlign w:val="center"/>
          </w:tcPr>
          <w:p>
            <w:pPr>
              <w:jc w:val="center"/>
            </w:pPr>
            <w:r>
              <w:rPr>
                <w:rFonts w:asciiTheme="minorEastAsia" w:eastAsiaTheme="minorEastAsia" w:hAnsiTheme="minorEastAsia"/>
                <w:color w:themeColor="text1" w:val="000000"/>
                <w:kern w:val="0"/>
              </w:rPr>
              <w:t>0.10%</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85.30%</w:t>
            </w:r>
          </w:p>
        </w:tc>
        <w:tc>
          <w:tcPr>
            <w:vAlign w:val="center"/>
          </w:tcPr>
          <w:p>
            <w:pPr>
              <w:jc w:val="center"/>
            </w:pPr>
            <w:r>
              <w:rPr>
                <w:rFonts w:asciiTheme="minorEastAsia" w:eastAsiaTheme="minorEastAsia" w:hAnsiTheme="minorEastAsia"/>
                <w:color w:themeColor="text1" w:val="000000"/>
                <w:kern w:val="0"/>
              </w:rPr>
              <w:t>1.84%</w:t>
            </w:r>
          </w:p>
        </w:tc>
        <w:tc>
          <w:tcPr>
            <w:vAlign w:val="center"/>
          </w:tcPr>
          <w:p>
            <w:pPr>
              <w:jc w:val="center"/>
            </w:pPr>
            <w:r>
              <w:rPr>
                <w:rFonts w:asciiTheme="minorEastAsia" w:eastAsiaTheme="minorEastAsia" w:hAnsiTheme="minorEastAsia"/>
                <w:color w:themeColor="text1" w:val="000000"/>
                <w:kern w:val="0"/>
              </w:rPr>
              <w:t>6.46%</w:t>
            </w:r>
          </w:p>
        </w:tc>
        <w:tc>
          <w:tcPr>
            <w:vAlign w:val="center"/>
          </w:tcPr>
          <w:p>
            <w:pPr>
              <w:jc w:val="center"/>
            </w:pPr>
            <w:r>
              <w:rPr>
                <w:rFonts w:asciiTheme="minorEastAsia" w:eastAsiaTheme="minorEastAsia" w:hAnsiTheme="minorEastAsia"/>
                <w:color w:themeColor="text1" w:val="000000"/>
                <w:kern w:val="0"/>
              </w:rPr>
              <w:t>1.64%</w:t>
            </w:r>
          </w:p>
        </w:tc>
        <w:tc>
          <w:tcPr>
            <w:vAlign w:val="center"/>
          </w:tcPr>
          <w:p>
            <w:pPr>
              <w:jc w:val="center"/>
            </w:pPr>
            <w:r>
              <w:rPr>
                <w:rFonts w:asciiTheme="minorEastAsia" w:eastAsiaTheme="minorEastAsia" w:hAnsiTheme="minorEastAsia"/>
                <w:color w:themeColor="text1" w:val="000000"/>
                <w:kern w:val="0"/>
              </w:rPr>
              <w:t>78.84%</w:t>
            </w:r>
          </w:p>
        </w:tc>
        <w:tc>
          <w:tcPr>
            <w:vAlign w:val="center"/>
          </w:tcPr>
          <w:p>
            <w:pPr>
              <w:jc w:val="center"/>
            </w:pPr>
            <w:r>
              <w:rPr>
                <w:rFonts w:asciiTheme="minorEastAsia" w:eastAsiaTheme="minorEastAsia" w:hAnsiTheme="minorEastAsia"/>
                <w:color w:themeColor="text1" w:val="000000"/>
                <w:kern w:val="0"/>
              </w:rPr>
              <w:t>0.20%</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上投摩根卓越制造股票型证券投资基金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2015年4月14日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2020年12月31日)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注：本基金合同生效日为2015年4月14日，图示时间段为2015年4月14日至2020年12月31日。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本基金建仓期自2015年4月14日至2015年10月13日，建仓期结束时资产配置比例符合本基金基金合同规定。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李德辉</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2018-06-15</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8年</w:t>
            </w:r>
          </w:p>
        </w:tc>
        <w:tc>
          <w:tcPr>
            <w:vAlign w:val="center"/>
          </w:tcPr>
          <w:p>
            <w:pPr>
              <w:jc w:val="both"/>
            </w:pPr>
            <w:r>
              <w:rPr>
                <w:rFonts w:asciiTheme="minorEastAsia" w:eastAsiaTheme="minorEastAsia" w:hAnsiTheme="minorEastAsia"/>
                <w:color w:themeColor="text1" w:val="000000"/>
              </w:rPr>
              <w:t>李德辉先生，上海交通大学生物医学工程博士，自2012年7月至2014年7月，在农银汇理基金管理有限公司担任研究员；自2014年8月起加入上投摩根基金管理有限公司，先后担任研究员、行业专家兼基金经理助理、基金经理、高级基金经理，自2016年11月起担任上投摩根科技前沿灵活配置混合型证券投资基金基金经理。自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自2020年1月起同时担任上投摩根慧选成长股票型证券投资基金基金经理，自2020年9月起同时担任上投摩根慧见两年持有期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卓越制造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	</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	</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	</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	</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四季度权益市场震荡上行，经济延续复苏，流动性保持适度宽裕，结构上新能源汽车、光伏、消费等长期成长性好的资产表现更加强劲。本基金维持成长风格的配置，行业上超配了电子、新能源、医药、消费等方向核心资产，取得了不错的效果，超赢市场和基金基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2021年第一季度，我们认为国内经济延续复苏态势，流动性仍适度宽松，权益市场整体谨慎乐观。全年看我们认为经济和流动性大体上都在目前偏好状态回落到合理状态，整体对权益市场的影响偏中性。中长期角度看，我们认为宏观总需求大概率将逐步放缓，微观层面会出现竞争替代和马太效应加剧的现象。从投资角度看，优选需求韧性强、竞争格局好、护城河高的一些行业和公司，增强组合的稳定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具体来看，我们看好科技、新能源汽车、医药、消费等行业。科技行业：我们认为线上经济正在加速替代线下经济，线上化、云化有助于提升全产业链效率，有较强网络效应的互联网公司仍是稀缺的核心资产。新能源汽车行业：电动化和智能化趋势已经获得消费者认可，行业渗透率有望快速提升，未来成长空间较大。医药行业：人口老龄化导致医疗总需求增加，但是支付能力难以赶上需求增长，全产业链降价将会是必然的趋势，有创新能力的公司将是竞争中受益者。消费行业：伴随经济复苏和居民财富效应，高端消费品和中低端高性价比产品都需求旺盛，消费行业各细分品类也呈现品牌集中化趋势。</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个股选择上，我们优选具有持续成长性、竞争力较强的平台型公司，希望通过优秀公司的韧性来降低行业需求的波动性风险，力争获取长期稳定超额收益。</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本报告期上投摩根卓越制造股票份额净值增长率为:20.02%，同期业绩比较基准收益率为:10.50%。</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2,111,381,417.04</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89.12</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2,111,381,417.04</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89.12</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249,372,131.47</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10.53</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8,334,777.20</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0.35</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2,369,088,325.71</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1,574,695,602.20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67.91</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53,361,653.80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2.30</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13,344.48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16,322.72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36,169,094.43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1.56</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32,455,718.82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1.40</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111,116.14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201,610,550.40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8.69</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115,130,769.49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4.97</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1,100,106.51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0.05</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96,668,876.78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4.17</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48,261.27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2,111,381,417.04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91.05</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713,792</w:t>
            </w:r>
          </w:p>
        </w:tc>
        <w:tc>
          <w:tcPr>
            <w:vAlign w:val="center"/>
          </w:tcPr>
          <w:p>
            <w:pPr>
              <w:jc w:val="right"/>
            </w:pPr>
            <w:r>
              <w:rPr>
                <w:rFonts w:asciiTheme="minorEastAsia" w:cs="宋体" w:eastAsiaTheme="minorEastAsia" w:hAnsiTheme="minorEastAsia"/>
                <w:color w:themeColor="text1" w:val="000000"/>
                <w:kern w:val="0"/>
              </w:rPr>
              <w:t>201,610,550.40</w:t>
            </w:r>
          </w:p>
        </w:tc>
        <w:tc>
          <w:tcPr>
            <w:vAlign w:val="center"/>
          </w:tcPr>
          <w:p>
            <w:pPr>
              <w:jc w:val="right"/>
            </w:pPr>
            <w:r>
              <w:rPr>
                <w:rFonts w:asciiTheme="minorEastAsia" w:cs="宋体" w:eastAsiaTheme="minorEastAsia" w:hAnsiTheme="minorEastAsia"/>
                <w:color w:themeColor="text1" w:val="000000"/>
                <w:kern w:val="0"/>
              </w:rPr>
              <w:t>8.69</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3,042,385</w:t>
            </w:r>
          </w:p>
        </w:tc>
        <w:tc>
          <w:tcPr>
            <w:vAlign w:val="center"/>
          </w:tcPr>
          <w:p>
            <w:pPr>
              <w:jc w:val="right"/>
            </w:pPr>
            <w:r>
              <w:rPr>
                <w:rFonts w:asciiTheme="minorEastAsia" w:cs="宋体" w:eastAsiaTheme="minorEastAsia" w:hAnsiTheme="minorEastAsia"/>
                <w:color w:themeColor="text1" w:val="000000"/>
                <w:kern w:val="0"/>
              </w:rPr>
              <w:t>170,738,646.20</w:t>
            </w:r>
          </w:p>
        </w:tc>
        <w:tc>
          <w:tcPr>
            <w:vAlign w:val="center"/>
          </w:tcPr>
          <w:p>
            <w:pPr>
              <w:jc w:val="right"/>
            </w:pPr>
            <w:r>
              <w:rPr>
                <w:rFonts w:asciiTheme="minorEastAsia" w:cs="宋体" w:eastAsiaTheme="minorEastAsia" w:hAnsiTheme="minorEastAsia"/>
                <w:color w:themeColor="text1" w:val="000000"/>
                <w:kern w:val="0"/>
              </w:rPr>
              <w:t>7.36</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850,928</w:t>
            </w:r>
          </w:p>
        </w:tc>
        <w:tc>
          <w:tcPr>
            <w:vAlign w:val="center"/>
          </w:tcPr>
          <w:p>
            <w:pPr>
              <w:jc w:val="right"/>
            </w:pPr>
            <w:r>
              <w:rPr>
                <w:rFonts w:asciiTheme="minorEastAsia" w:cs="宋体" w:eastAsiaTheme="minorEastAsia" w:hAnsiTheme="minorEastAsia"/>
                <w:color w:themeColor="text1" w:val="000000"/>
                <w:kern w:val="0"/>
              </w:rPr>
              <w:t>114,637,020.16</w:t>
            </w:r>
          </w:p>
        </w:tc>
        <w:tc>
          <w:tcPr>
            <w:vAlign w:val="center"/>
          </w:tcPr>
          <w:p>
            <w:pPr>
              <w:jc w:val="right"/>
            </w:pPr>
            <w:r>
              <w:rPr>
                <w:rFonts w:asciiTheme="minorEastAsia" w:cs="宋体" w:eastAsiaTheme="minorEastAsia" w:hAnsiTheme="minorEastAsia"/>
                <w:color w:themeColor="text1" w:val="000000"/>
                <w:kern w:val="0"/>
              </w:rPr>
              <w:t>4.94</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300760</w:t>
            </w:r>
          </w:p>
        </w:tc>
        <w:tc>
          <w:tcPr>
            <w:vAlign w:val="center"/>
          </w:tcPr>
          <w:p>
            <w:pPr>
              <w:jc w:val="center"/>
            </w:pPr>
            <w:r>
              <w:rPr>
                <w:rFonts w:asciiTheme="minorEastAsia" w:cs="宋体" w:eastAsiaTheme="minorEastAsia" w:hAnsiTheme="minorEastAsia"/>
                <w:color w:themeColor="text1" w:val="000000"/>
                <w:kern w:val="0"/>
              </w:rPr>
              <w:t>迈瑞医疗</w:t>
            </w:r>
          </w:p>
        </w:tc>
        <w:tc>
          <w:tcPr>
            <w:vAlign w:val="center"/>
          </w:tcPr>
          <w:p>
            <w:pPr>
              <w:jc w:val="right"/>
            </w:pPr>
            <w:r>
              <w:rPr>
                <w:rFonts w:asciiTheme="minorEastAsia" w:cs="宋体" w:eastAsiaTheme="minorEastAsia" w:hAnsiTheme="minorEastAsia"/>
                <w:color w:themeColor="text1" w:val="000000"/>
                <w:kern w:val="0"/>
              </w:rPr>
              <w:t>259,416</w:t>
            </w:r>
          </w:p>
        </w:tc>
        <w:tc>
          <w:tcPr>
            <w:vAlign w:val="center"/>
          </w:tcPr>
          <w:p>
            <w:pPr>
              <w:jc w:val="right"/>
            </w:pPr>
            <w:r>
              <w:rPr>
                <w:rFonts w:asciiTheme="minorEastAsia" w:cs="宋体" w:eastAsiaTheme="minorEastAsia" w:hAnsiTheme="minorEastAsia"/>
                <w:color w:themeColor="text1" w:val="000000"/>
                <w:kern w:val="0"/>
              </w:rPr>
              <w:t>110,511,216.00</w:t>
            </w:r>
          </w:p>
        </w:tc>
        <w:tc>
          <w:tcPr>
            <w:vAlign w:val="center"/>
          </w:tcPr>
          <w:p>
            <w:pPr>
              <w:jc w:val="right"/>
            </w:pPr>
            <w:r>
              <w:rPr>
                <w:rFonts w:asciiTheme="minorEastAsia" w:cs="宋体" w:eastAsiaTheme="minorEastAsia" w:hAnsiTheme="minorEastAsia"/>
                <w:color w:themeColor="text1" w:val="000000"/>
                <w:kern w:val="0"/>
              </w:rPr>
              <w:t>4.77</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300750</w:t>
            </w:r>
          </w:p>
        </w:tc>
        <w:tc>
          <w:tcPr>
            <w:vAlign w:val="center"/>
          </w:tcPr>
          <w:p>
            <w:pPr>
              <w:jc w:val="center"/>
            </w:pPr>
            <w:r>
              <w:rPr>
                <w:rFonts w:asciiTheme="minorEastAsia" w:cs="宋体" w:eastAsiaTheme="minorEastAsia" w:hAnsiTheme="minorEastAsia"/>
                <w:color w:themeColor="text1" w:val="000000"/>
                <w:kern w:val="0"/>
              </w:rPr>
              <w:t>宁德时代</w:t>
            </w:r>
          </w:p>
        </w:tc>
        <w:tc>
          <w:tcPr>
            <w:vAlign w:val="center"/>
          </w:tcPr>
          <w:p>
            <w:pPr>
              <w:jc w:val="right"/>
            </w:pPr>
            <w:r>
              <w:rPr>
                <w:rFonts w:asciiTheme="minorEastAsia" w:cs="宋体" w:eastAsiaTheme="minorEastAsia" w:hAnsiTheme="minorEastAsia"/>
                <w:color w:themeColor="text1" w:val="000000"/>
                <w:kern w:val="0"/>
              </w:rPr>
              <w:t>280,484</w:t>
            </w:r>
          </w:p>
        </w:tc>
        <w:tc>
          <w:tcPr>
            <w:vAlign w:val="center"/>
          </w:tcPr>
          <w:p>
            <w:pPr>
              <w:jc w:val="right"/>
            </w:pPr>
            <w:r>
              <w:rPr>
                <w:rFonts w:asciiTheme="minorEastAsia" w:cs="宋体" w:eastAsiaTheme="minorEastAsia" w:hAnsiTheme="minorEastAsia"/>
                <w:color w:themeColor="text1" w:val="000000"/>
                <w:kern w:val="0"/>
              </w:rPr>
              <w:t>98,480,737.24</w:t>
            </w:r>
          </w:p>
        </w:tc>
        <w:tc>
          <w:tcPr>
            <w:vAlign w:val="center"/>
          </w:tcPr>
          <w:p>
            <w:pPr>
              <w:jc w:val="right"/>
            </w:pPr>
            <w:r>
              <w:rPr>
                <w:rFonts w:asciiTheme="minorEastAsia" w:cs="宋体" w:eastAsiaTheme="minorEastAsia" w:hAnsiTheme="minorEastAsia"/>
                <w:color w:themeColor="text1" w:val="000000"/>
                <w:kern w:val="0"/>
              </w:rPr>
              <w:t>4.25</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600519</w:t>
            </w:r>
          </w:p>
        </w:tc>
        <w:tc>
          <w:tcPr>
            <w:vAlign w:val="center"/>
          </w:tcPr>
          <w:p>
            <w:pPr>
              <w:jc w:val="center"/>
            </w:pPr>
            <w:r>
              <w:rPr>
                <w:rFonts w:asciiTheme="minorEastAsia" w:cs="宋体" w:eastAsiaTheme="minorEastAsia" w:hAnsiTheme="minorEastAsia"/>
                <w:color w:themeColor="text1" w:val="000000"/>
                <w:kern w:val="0"/>
              </w:rPr>
              <w:t>贵州茅台</w:t>
            </w:r>
          </w:p>
        </w:tc>
        <w:tc>
          <w:tcPr>
            <w:vAlign w:val="center"/>
          </w:tcPr>
          <w:p>
            <w:pPr>
              <w:jc w:val="right"/>
            </w:pPr>
            <w:r>
              <w:rPr>
                <w:rFonts w:asciiTheme="minorEastAsia" w:cs="宋体" w:eastAsiaTheme="minorEastAsia" w:hAnsiTheme="minorEastAsia"/>
                <w:color w:themeColor="text1" w:val="000000"/>
                <w:kern w:val="0"/>
              </w:rPr>
              <w:t>46,182</w:t>
            </w:r>
          </w:p>
        </w:tc>
        <w:tc>
          <w:tcPr>
            <w:vAlign w:val="center"/>
          </w:tcPr>
          <w:p>
            <w:pPr>
              <w:jc w:val="right"/>
            </w:pPr>
            <w:r>
              <w:rPr>
                <w:rFonts w:asciiTheme="minorEastAsia" w:cs="宋体" w:eastAsiaTheme="minorEastAsia" w:hAnsiTheme="minorEastAsia"/>
                <w:color w:themeColor="text1" w:val="000000"/>
                <w:kern w:val="0"/>
              </w:rPr>
              <w:t>92,271,636.00</w:t>
            </w:r>
          </w:p>
        </w:tc>
        <w:tc>
          <w:tcPr>
            <w:vAlign w:val="center"/>
          </w:tcPr>
          <w:p>
            <w:pPr>
              <w:jc w:val="right"/>
            </w:pPr>
            <w:r>
              <w:rPr>
                <w:rFonts w:asciiTheme="minorEastAsia" w:cs="宋体" w:eastAsiaTheme="minorEastAsia" w:hAnsiTheme="minorEastAsia"/>
                <w:color w:themeColor="text1" w:val="000000"/>
                <w:kern w:val="0"/>
              </w:rPr>
              <w:t>3.98</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600276</w:t>
            </w:r>
          </w:p>
        </w:tc>
        <w:tc>
          <w:tcPr>
            <w:vAlign w:val="center"/>
          </w:tcPr>
          <w:p>
            <w:pPr>
              <w:jc w:val="center"/>
            </w:pPr>
            <w:r>
              <w:rPr>
                <w:rFonts w:asciiTheme="minorEastAsia" w:cs="宋体" w:eastAsiaTheme="minorEastAsia" w:hAnsiTheme="minorEastAsia"/>
                <w:color w:themeColor="text1" w:val="000000"/>
                <w:kern w:val="0"/>
              </w:rPr>
              <w:t>恒瑞医药</w:t>
            </w:r>
          </w:p>
        </w:tc>
        <w:tc>
          <w:tcPr>
            <w:vAlign w:val="center"/>
          </w:tcPr>
          <w:p>
            <w:pPr>
              <w:jc w:val="right"/>
            </w:pPr>
            <w:r>
              <w:rPr>
                <w:rFonts w:asciiTheme="minorEastAsia" w:cs="宋体" w:eastAsiaTheme="minorEastAsia" w:hAnsiTheme="minorEastAsia"/>
                <w:color w:themeColor="text1" w:val="000000"/>
                <w:kern w:val="0"/>
              </w:rPr>
              <w:t>810,756</w:t>
            </w:r>
          </w:p>
        </w:tc>
        <w:tc>
          <w:tcPr>
            <w:vAlign w:val="center"/>
          </w:tcPr>
          <w:p>
            <w:pPr>
              <w:jc w:val="right"/>
            </w:pPr>
            <w:r>
              <w:rPr>
                <w:rFonts w:asciiTheme="minorEastAsia" w:cs="宋体" w:eastAsiaTheme="minorEastAsia" w:hAnsiTheme="minorEastAsia"/>
                <w:color w:themeColor="text1" w:val="000000"/>
                <w:kern w:val="0"/>
              </w:rPr>
              <w:t>90,366,863.76</w:t>
            </w:r>
          </w:p>
        </w:tc>
        <w:tc>
          <w:tcPr>
            <w:vAlign w:val="center"/>
          </w:tcPr>
          <w:p>
            <w:pPr>
              <w:jc w:val="right"/>
            </w:pPr>
            <w:r>
              <w:rPr>
                <w:rFonts w:asciiTheme="minorEastAsia" w:cs="宋体" w:eastAsiaTheme="minorEastAsia" w:hAnsiTheme="minorEastAsia"/>
                <w:color w:themeColor="text1" w:val="000000"/>
                <w:kern w:val="0"/>
              </w:rPr>
              <w:t>3.90</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五粮液</w:t>
            </w:r>
          </w:p>
        </w:tc>
        <w:tc>
          <w:tcPr>
            <w:vAlign w:val="center"/>
          </w:tcPr>
          <w:p>
            <w:pPr>
              <w:jc w:val="right"/>
            </w:pPr>
            <w:r>
              <w:rPr>
                <w:rFonts w:asciiTheme="minorEastAsia" w:cs="宋体" w:eastAsiaTheme="minorEastAsia" w:hAnsiTheme="minorEastAsia"/>
                <w:color w:themeColor="text1" w:val="000000"/>
                <w:kern w:val="0"/>
              </w:rPr>
              <w:t>299,362</w:t>
            </w:r>
          </w:p>
        </w:tc>
        <w:tc>
          <w:tcPr>
            <w:vAlign w:val="center"/>
          </w:tcPr>
          <w:p>
            <w:pPr>
              <w:jc w:val="right"/>
            </w:pPr>
            <w:r>
              <w:rPr>
                <w:rFonts w:asciiTheme="minorEastAsia" w:cs="宋体" w:eastAsiaTheme="minorEastAsia" w:hAnsiTheme="minorEastAsia"/>
                <w:color w:themeColor="text1" w:val="000000"/>
                <w:kern w:val="0"/>
              </w:rPr>
              <w:t>87,368,799.70</w:t>
            </w:r>
          </w:p>
        </w:tc>
        <w:tc>
          <w:tcPr>
            <w:vAlign w:val="center"/>
          </w:tcPr>
          <w:p>
            <w:pPr>
              <w:jc w:val="right"/>
            </w:pPr>
            <w:r>
              <w:rPr>
                <w:rFonts w:asciiTheme="minorEastAsia" w:cs="宋体" w:eastAsiaTheme="minorEastAsia" w:hAnsiTheme="minorEastAsia"/>
                <w:color w:themeColor="text1" w:val="000000"/>
                <w:kern w:val="0"/>
              </w:rPr>
              <w:t>3.77</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300014</w:t>
            </w:r>
          </w:p>
        </w:tc>
        <w:tc>
          <w:tcPr>
            <w:vAlign w:val="center"/>
          </w:tcPr>
          <w:p>
            <w:pPr>
              <w:jc w:val="center"/>
            </w:pPr>
            <w:r>
              <w:rPr>
                <w:rFonts w:asciiTheme="minorEastAsia" w:cs="宋体" w:eastAsiaTheme="minorEastAsia" w:hAnsiTheme="minorEastAsia"/>
                <w:color w:themeColor="text1" w:val="000000"/>
                <w:kern w:val="0"/>
              </w:rPr>
              <w:t>亿纬锂能</w:t>
            </w:r>
          </w:p>
        </w:tc>
        <w:tc>
          <w:tcPr>
            <w:vAlign w:val="center"/>
          </w:tcPr>
          <w:p>
            <w:pPr>
              <w:jc w:val="right"/>
            </w:pPr>
            <w:r>
              <w:rPr>
                <w:rFonts w:asciiTheme="minorEastAsia" w:cs="宋体" w:eastAsiaTheme="minorEastAsia" w:hAnsiTheme="minorEastAsia"/>
                <w:color w:themeColor="text1" w:val="000000"/>
                <w:kern w:val="0"/>
              </w:rPr>
              <w:t>1,047,170</w:t>
            </w:r>
          </w:p>
        </w:tc>
        <w:tc>
          <w:tcPr>
            <w:vAlign w:val="center"/>
          </w:tcPr>
          <w:p>
            <w:pPr>
              <w:jc w:val="right"/>
            </w:pPr>
            <w:r>
              <w:rPr>
                <w:rFonts w:asciiTheme="minorEastAsia" w:cs="宋体" w:eastAsiaTheme="minorEastAsia" w:hAnsiTheme="minorEastAsia"/>
                <w:color w:themeColor="text1" w:val="000000"/>
                <w:kern w:val="0"/>
              </w:rPr>
              <w:t>85,344,355.00</w:t>
            </w:r>
          </w:p>
        </w:tc>
        <w:tc>
          <w:tcPr>
            <w:vAlign w:val="center"/>
          </w:tcPr>
          <w:p>
            <w:pPr>
              <w:jc w:val="right"/>
            </w:pPr>
            <w:r>
              <w:rPr>
                <w:rFonts w:asciiTheme="minorEastAsia" w:cs="宋体" w:eastAsiaTheme="minorEastAsia" w:hAnsiTheme="minorEastAsia"/>
                <w:color w:themeColor="text1" w:val="000000"/>
                <w:kern w:val="0"/>
              </w:rPr>
              <w:t>3.68</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000568</w:t>
            </w:r>
          </w:p>
        </w:tc>
        <w:tc>
          <w:tcPr>
            <w:vAlign w:val="center"/>
          </w:tcPr>
          <w:p>
            <w:pPr>
              <w:jc w:val="center"/>
            </w:pPr>
            <w:r>
              <w:rPr>
                <w:rFonts w:asciiTheme="minorEastAsia" w:cs="宋体" w:eastAsiaTheme="minorEastAsia" w:hAnsiTheme="minorEastAsia"/>
                <w:color w:themeColor="text1" w:val="000000"/>
                <w:kern w:val="0"/>
              </w:rPr>
              <w:t>泸州老窖</w:t>
            </w:r>
          </w:p>
        </w:tc>
        <w:tc>
          <w:tcPr>
            <w:vAlign w:val="center"/>
          </w:tcPr>
          <w:p>
            <w:pPr>
              <w:jc w:val="right"/>
            </w:pPr>
            <w:r>
              <w:rPr>
                <w:rFonts w:asciiTheme="minorEastAsia" w:cs="宋体" w:eastAsiaTheme="minorEastAsia" w:hAnsiTheme="minorEastAsia"/>
                <w:color w:themeColor="text1" w:val="000000"/>
                <w:kern w:val="0"/>
              </w:rPr>
              <w:t>352,596</w:t>
            </w:r>
          </w:p>
        </w:tc>
        <w:tc>
          <w:tcPr>
            <w:vAlign w:val="center"/>
          </w:tcPr>
          <w:p>
            <w:pPr>
              <w:jc w:val="right"/>
            </w:pPr>
            <w:r>
              <w:rPr>
                <w:rFonts w:asciiTheme="minorEastAsia" w:cs="宋体" w:eastAsiaTheme="minorEastAsia" w:hAnsiTheme="minorEastAsia"/>
                <w:color w:themeColor="text1" w:val="000000"/>
                <w:kern w:val="0"/>
              </w:rPr>
              <w:t>79,743,111.36</w:t>
            </w:r>
          </w:p>
        </w:tc>
        <w:tc>
          <w:tcPr>
            <w:vAlign w:val="center"/>
          </w:tcPr>
          <w:p>
            <w:pPr>
              <w:jc w:val="right"/>
            </w:pPr>
            <w:r>
              <w:rPr>
                <w:rFonts w:asciiTheme="minorEastAsia" w:cs="宋体" w:eastAsiaTheme="minorEastAsia" w:hAnsiTheme="minorEastAsia"/>
                <w:color w:themeColor="text1" w:val="000000"/>
                <w:kern w:val="0"/>
              </w:rPr>
              <w:t>3.44</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4A7276B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5.9.1 报告期末本基金投资的股指期货持仓和损益明细</w:t>
      </w:r>
      <w:r>
        <w:rPr>
          <w:rFonts w:asciiTheme="minorEastAsia" w:eastAsiaTheme="minorEastAsia" w:hAnsiTheme="minorEastAsia"/>
          <w:b/>
          <w:bCs/>
          <w:color w:themeColor="text1" w:val="000000"/>
          <w:kern w:val="0"/>
          <w:sz w:val="24"/>
          <w:szCs w:val="24"/>
        </w:rPr>
        <w:t/>
      </w:r>
      <w:proofErr w:type="spellStart"/>
      <w:r>
        <w:rPr>
          <w:rFonts w:asciiTheme="minorEastAsia" w:eastAsiaTheme="minorEastAsia" w:hAnsiTheme="minorEastAsia"/>
          <w:b/>
          <w:bCs/>
          <w:color w:themeColor="text1" w:val="000000"/>
          <w:kern w:val="0"/>
          <w:sz w:val="24"/>
          <w:szCs w:val="24"/>
        </w:rPr>
        <w:t/>
      </w:r>
      <w:proofErr w:type="spellEnd"/>
      <w:r>
        <w:rPr>
          <w:rFonts w:asciiTheme="minorEastAsia" w:eastAsiaTheme="minorEastAsia" w:hAnsiTheme="minorEastAsia"/>
          <w:b/>
          <w:bCs/>
          <w:color w:themeColor="text1" w:val="000000"/>
          <w:kern w:val="0"/>
          <w:sz w:val="24"/>
          <w:szCs w:val="24"/>
        </w:rPr>
        <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1B4DA2C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5.9.2 本基金投资股指期货的投资政策</w:t>
      </w:r>
      <w:r>
        <w:rPr>
          <w:rFonts w:asciiTheme="minorEastAsia" w:eastAsiaTheme="minorEastAsia" w:hAnsiTheme="minorEastAsia"/>
          <w:b/>
          <w:bCs/>
          <w:color w:themeColor="text1" w:val="000000"/>
          <w:kern w:val="0"/>
          <w:sz w:val="24"/>
          <w:szCs w:val="24"/>
        </w:rPr>
        <w:t/>
      </w:r>
      <w:proofErr w:type="spellStart"/>
      <w:r>
        <w:rPr>
          <w:rFonts w:asciiTheme="minorEastAsia" w:eastAsiaTheme="minorEastAsia" w:hAnsiTheme="minorEastAsia"/>
          <w:b/>
          <w:bCs/>
          <w:color w:themeColor="text1" w:val="000000"/>
          <w:kern w:val="0"/>
          <w:sz w:val="24"/>
          <w:szCs w:val="24"/>
        </w:rPr>
        <w:t/>
      </w:r>
      <w:proofErr w:type="spellEnd"/>
      <w:r>
        <w:rPr>
          <w:rFonts w:asciiTheme="minorEastAsia" w:eastAsiaTheme="minorEastAsia" w:hAnsiTheme="minorEastAsia"/>
          <w:b/>
          <w:bCs/>
          <w:color w:themeColor="text1" w:val="000000"/>
          <w:kern w:val="0"/>
          <w:sz w:val="24"/>
          <w:szCs w:val="24"/>
        </w:rPr>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14:paraId="0C69601E"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本基金管理人将充分考虑股指期货的收益性、流动性及风险特征，通过资产配置、品种选择，谨慎进行投资，以降低投资组合的整体风险。</w:t>
      </w:r>
    </w:p>
    <w:p w14:paraId="41991380"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777,028.14</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24,523.27</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7,533,225.79</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8,334,777.20</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1,702,185,182.45</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208,520,554.71</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559,076,234.36</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1,351,629,502.80</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中国证监会准予上投摩根卓越制造股票型证券投资基金募集注册的文件；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《上投摩根上投摩根卓越制造股票型证券投资基金基金合同》；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《上投摩根上投摩根卓越制造股票型证券投资基金托管协议》；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二〇二一年一月二十二日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上投摩根卓越制造股票型证券投资基金</w:t>
    </w:r>
    <w:proofErr w:type="spellStart"/>
    <w:proofErr w:type="gramEnd"/>
    <w:r>
      <w:rPr>
        <w:rFonts w:hint="eastAsia"/>
      </w:rPr>
      <w:t/>
    </w:r>
    <w:proofErr w:type="spellEnd"/>
    <w:r>
      <w:rPr>
        <w:rFonts w:hint="eastAsia"/>
      </w:rP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