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摩根安全战略股票型证券投资基金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2023</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报告送出日期：二〇二三年四月二十一日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基金托管人中国银行股份有限公司根据本基金合同规定，于</w:t>
      </w:r>
      <w:r>
        <w:rPr>
          <w:rFonts w:eastAsiaTheme="minorEastAsia"/>
          <w:color w:val="000000" w:themeColor="text1"/>
          <w:szCs w:val="21"/>
        </w:rPr>
        <w:t>2023</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20</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摩根安全战略股票</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001009</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2015</w:t>
            </w:r>
            <w:r w:rsidRPr="00B27A29">
              <w:rPr>
                <w:rFonts w:eastAsiaTheme="minorEastAsia"/>
                <w:color w:val="000000" w:themeColor="text1"/>
                <w:kern w:val="0"/>
                <w:szCs w:val="21"/>
              </w:rPr>
              <w:t>年</w:t>
            </w:r>
            <w:r w:rsidRPr="00B27A29">
              <w:rPr>
                <w:rFonts w:eastAsiaTheme="minorEastAsia"/>
                <w:color w:val="000000" w:themeColor="text1"/>
                <w:kern w:val="0"/>
                <w:szCs w:val="21"/>
              </w:rPr>
              <w:t>2</w:t>
            </w:r>
            <w:r w:rsidRPr="00B27A29">
              <w:rPr>
                <w:rFonts w:eastAsiaTheme="minorEastAsia"/>
                <w:color w:val="000000" w:themeColor="text1"/>
                <w:kern w:val="0"/>
                <w:szCs w:val="21"/>
              </w:rPr>
              <w:t>月</w:t>
            </w:r>
            <w:r w:rsidRPr="00B27A29">
              <w:rPr>
                <w:rFonts w:eastAsiaTheme="minorEastAsia"/>
                <w:color w:val="000000" w:themeColor="text1"/>
                <w:kern w:val="0"/>
                <w:szCs w:val="21"/>
              </w:rPr>
              <w:t>26</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245,313,957.13</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通过系统和深入的基本面研究，重点投资于与安全战略相关行业的上市公司，分享中国经济增长模式转变带来的投资机会，在控制风险的前提下力争实现基金资产的稳定增值。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szCs w:val="21"/>
              </w:rPr>
              <w:t>GDP</w:t>
            </w:r>
            <w:r>
              <w:rPr>
                <w:rFonts w:eastAsiaTheme="minorEastAsia"/>
                <w:color w:val="000000" w:themeColor="text1"/>
                <w:kern w:val="0"/>
                <w:szCs w:val="21"/>
              </w:rPr>
              <w:t>增速、固定资产投资增速、净出口增速、通胀率、货</w:t>
            </w:r>
            <w:r>
              <w:rPr>
                <w:rFonts w:eastAsiaTheme="minorEastAsia"/>
                <w:color w:val="000000" w:themeColor="text1"/>
                <w:kern w:val="0"/>
                <w:szCs w:val="21"/>
              </w:rPr>
              <w:lastRenderedPageBreak/>
              <w:t>币供应、利率等宏观指标的变化趋势，结合股票、债券等各类资产风险收益特征，确定合适的资产配置比例。</w:t>
            </w:r>
          </w:p>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2</w:t>
            </w:r>
            <w:r>
              <w:rPr>
                <w:rFonts w:eastAsiaTheme="minorEastAsia"/>
                <w:color w:val="000000" w:themeColor="text1"/>
                <w:kern w:val="0"/>
                <w:szCs w:val="21"/>
              </w:rPr>
              <w:t>、股票投资策略</w:t>
            </w:r>
          </w:p>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本基金将通过系统和深入的基本面研究，重点投资于与国家安全战略相关行业的上市公司，分享中国经济增长模式转变带来的投资机会。本基金将不低于</w:t>
            </w:r>
            <w:r>
              <w:rPr>
                <w:rFonts w:eastAsiaTheme="minorEastAsia"/>
                <w:color w:val="000000" w:themeColor="text1"/>
                <w:kern w:val="0"/>
                <w:szCs w:val="21"/>
              </w:rPr>
              <w:t>80%</w:t>
            </w:r>
            <w:r>
              <w:rPr>
                <w:rFonts w:eastAsiaTheme="minorEastAsia"/>
                <w:color w:val="000000" w:themeColor="text1"/>
                <w:kern w:val="0"/>
                <w:szCs w:val="21"/>
              </w:rPr>
              <w:t>的非现金基金资产投资于国家安全战略相关行业。</w:t>
            </w:r>
          </w:p>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在行业配置层面，本基金将从行业生命周期、行业景气度、行业竞争格局等多角度，综合评估各个行业的投资价值，对基金资产在行业间分配进行安排。</w:t>
            </w:r>
          </w:p>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在个股选择层面，本基金将主要采用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的方法，在备选行业内部通过定量与定性相结合的分析方法，综合分析上市公司的业绩质量、成长性和估值水平等各方面信息，精选具有良好成长性、估值合理的个股</w:t>
            </w:r>
            <w:r>
              <w:rPr>
                <w:rFonts w:eastAsiaTheme="minorEastAsia"/>
                <w:color w:val="000000" w:themeColor="text1"/>
                <w:kern w:val="0"/>
                <w:szCs w:val="21"/>
              </w:rPr>
              <w:t>。</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、其他投资策略：包括固定收益类投资策略、可转换债券投资策略、中小企业私募债投资策略、股指期货投资策略、资产支持证券投资策略、存托凭证投资策略。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中证</w:t>
            </w:r>
            <w:r w:rsidRPr="00B27A29">
              <w:rPr>
                <w:rFonts w:eastAsiaTheme="minorEastAsia"/>
                <w:color w:val="000000" w:themeColor="text1"/>
                <w:kern w:val="0"/>
                <w:szCs w:val="21"/>
              </w:rPr>
              <w:t>800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中债总指数收益率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836456" w:rsidRDefault="0066178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本基金属于股票型基金产品，预期风险和收益水平高于混合型基金、债券型基金和货币市场基金，属于较高风险收益水平的基金产品。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lastRenderedPageBreak/>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001009</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015172</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240,081,810.64</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5,232,146.49</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-2023</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-15,598,710.19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-352,580.64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-18,666,290.69</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-421,534.32</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-0.0774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-0.0796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311,530,920.53</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6,751,773.27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1.2976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1.2904</w:t>
            </w:r>
          </w:p>
        </w:tc>
      </w:tr>
    </w:tbl>
    <w:p w:rsidR="00836456" w:rsidRDefault="006617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36456">
        <w:tc>
          <w:tcPr>
            <w:tcW w:w="1290" w:type="dxa"/>
            <w:vAlign w:val="center"/>
          </w:tcPr>
          <w:p w:rsidR="00836456" w:rsidRDefault="00661786">
            <w:pPr>
              <w:jc w:val="left"/>
            </w:pPr>
            <w:r>
              <w:rPr>
                <w:rFonts w:eastAsiaTheme="minorEastAsia"/>
                <w:color w:val="000000" w:themeColor="text1"/>
                <w:szCs w:val="21"/>
              </w:rPr>
              <w:t>过去三个月</w:t>
            </w:r>
          </w:p>
        </w:tc>
        <w:tc>
          <w:tcPr>
            <w:tcW w:w="1291" w:type="dxa"/>
            <w:vAlign w:val="center"/>
          </w:tcPr>
          <w:p w:rsidR="00836456" w:rsidRDefault="00661786">
            <w:pPr>
              <w:jc w:val="right"/>
            </w:pPr>
            <w:r>
              <w:rPr>
                <w:rFonts w:eastAsiaTheme="minorEastAsia"/>
                <w:color w:val="000000" w:themeColor="text1"/>
                <w:szCs w:val="21"/>
              </w:rPr>
              <w:t>-5.64%</w:t>
            </w:r>
          </w:p>
        </w:tc>
        <w:tc>
          <w:tcPr>
            <w:tcW w:w="1291" w:type="dxa"/>
            <w:vAlign w:val="center"/>
          </w:tcPr>
          <w:p w:rsidR="00836456" w:rsidRDefault="00661786">
            <w:pPr>
              <w:jc w:val="right"/>
            </w:pPr>
            <w:r>
              <w:rPr>
                <w:rFonts w:eastAsiaTheme="minorEastAsia"/>
                <w:color w:val="000000" w:themeColor="text1"/>
                <w:szCs w:val="21"/>
              </w:rPr>
              <w:t>0.91%</w:t>
            </w:r>
          </w:p>
        </w:tc>
        <w:tc>
          <w:tcPr>
            <w:tcW w:w="1291" w:type="dxa"/>
            <w:vAlign w:val="center"/>
          </w:tcPr>
          <w:p w:rsidR="00836456" w:rsidRDefault="00661786">
            <w:pPr>
              <w:jc w:val="right"/>
            </w:pPr>
            <w:r>
              <w:rPr>
                <w:rFonts w:eastAsiaTheme="minorEastAsia"/>
                <w:color w:val="000000" w:themeColor="text1"/>
                <w:szCs w:val="21"/>
              </w:rPr>
              <w:t>4.66%</w:t>
            </w:r>
          </w:p>
        </w:tc>
        <w:tc>
          <w:tcPr>
            <w:tcW w:w="1291" w:type="dxa"/>
            <w:vAlign w:val="center"/>
          </w:tcPr>
          <w:p w:rsidR="00836456" w:rsidRDefault="00661786">
            <w:pPr>
              <w:jc w:val="right"/>
            </w:pPr>
            <w:r>
              <w:rPr>
                <w:rFonts w:eastAsiaTheme="minorEastAsia"/>
                <w:color w:val="000000" w:themeColor="text1"/>
                <w:szCs w:val="21"/>
              </w:rPr>
              <w:t>0.68%</w:t>
            </w:r>
          </w:p>
        </w:tc>
        <w:tc>
          <w:tcPr>
            <w:tcW w:w="1291" w:type="dxa"/>
            <w:vAlign w:val="center"/>
          </w:tcPr>
          <w:p w:rsidR="00836456" w:rsidRDefault="00661786">
            <w:pPr>
              <w:jc w:val="right"/>
            </w:pPr>
            <w:r>
              <w:rPr>
                <w:rFonts w:eastAsiaTheme="minorEastAsia"/>
                <w:color w:val="000000" w:themeColor="text1"/>
                <w:szCs w:val="21"/>
              </w:rPr>
              <w:t>-10.30%</w:t>
            </w:r>
          </w:p>
        </w:tc>
        <w:tc>
          <w:tcPr>
            <w:tcW w:w="1291" w:type="dxa"/>
            <w:vAlign w:val="center"/>
          </w:tcPr>
          <w:p w:rsidR="00836456" w:rsidRDefault="00661786">
            <w:pPr>
              <w:jc w:val="right"/>
            </w:pPr>
            <w:r>
              <w:rPr>
                <w:rFonts w:eastAsiaTheme="minorEastAsia"/>
                <w:color w:val="000000" w:themeColor="text1"/>
                <w:szCs w:val="21"/>
              </w:rPr>
              <w:t>0.23%</w:t>
            </w:r>
          </w:p>
        </w:tc>
      </w:tr>
      <w:tr w:rsidR="00836456">
        <w:tc>
          <w:tcPr>
            <w:tcW w:w="1290" w:type="dxa"/>
            <w:vAlign w:val="center"/>
          </w:tcPr>
          <w:p w:rsidR="00836456" w:rsidRDefault="00661786">
            <w:pPr>
              <w:jc w:val="left"/>
            </w:pPr>
            <w:r>
              <w:rPr>
                <w:rFonts w:eastAsiaTheme="minorEastAsia"/>
                <w:color w:val="000000" w:themeColor="text1"/>
                <w:szCs w:val="21"/>
              </w:rPr>
              <w:t>过去六个月</w:t>
            </w:r>
          </w:p>
        </w:tc>
        <w:tc>
          <w:tcPr>
            <w:tcW w:w="1291" w:type="dxa"/>
            <w:vAlign w:val="center"/>
          </w:tcPr>
          <w:p w:rsidR="00836456" w:rsidRDefault="00661786">
            <w:pPr>
              <w:jc w:val="right"/>
            </w:pPr>
            <w:r>
              <w:rPr>
                <w:rFonts w:eastAsiaTheme="minorEastAsia"/>
                <w:color w:val="000000" w:themeColor="text1"/>
                <w:szCs w:val="21"/>
              </w:rPr>
              <w:t>-16.45%</w:t>
            </w:r>
          </w:p>
        </w:tc>
        <w:tc>
          <w:tcPr>
            <w:tcW w:w="1291" w:type="dxa"/>
            <w:vAlign w:val="center"/>
          </w:tcPr>
          <w:p w:rsidR="00836456" w:rsidRDefault="00661786">
            <w:pPr>
              <w:jc w:val="right"/>
            </w:pPr>
            <w:r>
              <w:rPr>
                <w:rFonts w:eastAsiaTheme="minorEastAsia"/>
                <w:color w:val="000000" w:themeColor="text1"/>
                <w:szCs w:val="21"/>
              </w:rPr>
              <w:t>1.23%</w:t>
            </w:r>
          </w:p>
        </w:tc>
        <w:tc>
          <w:tcPr>
            <w:tcW w:w="1291" w:type="dxa"/>
            <w:vAlign w:val="center"/>
          </w:tcPr>
          <w:p w:rsidR="00836456" w:rsidRDefault="00661786">
            <w:pPr>
              <w:jc w:val="right"/>
            </w:pPr>
            <w:r>
              <w:rPr>
                <w:rFonts w:eastAsiaTheme="minorEastAsia"/>
                <w:color w:val="000000" w:themeColor="text1"/>
                <w:szCs w:val="21"/>
              </w:rPr>
              <w:t>6.36%</w:t>
            </w:r>
          </w:p>
        </w:tc>
        <w:tc>
          <w:tcPr>
            <w:tcW w:w="1291" w:type="dxa"/>
            <w:vAlign w:val="center"/>
          </w:tcPr>
          <w:p w:rsidR="00836456" w:rsidRDefault="00661786">
            <w:pPr>
              <w:jc w:val="right"/>
            </w:pPr>
            <w:r>
              <w:rPr>
                <w:rFonts w:eastAsiaTheme="minorEastAsia"/>
                <w:color w:val="000000" w:themeColor="text1"/>
                <w:szCs w:val="21"/>
              </w:rPr>
              <w:t>0.86%</w:t>
            </w:r>
          </w:p>
        </w:tc>
        <w:tc>
          <w:tcPr>
            <w:tcW w:w="1291" w:type="dxa"/>
            <w:vAlign w:val="center"/>
          </w:tcPr>
          <w:p w:rsidR="00836456" w:rsidRDefault="00661786">
            <w:pPr>
              <w:jc w:val="right"/>
            </w:pPr>
            <w:r>
              <w:rPr>
                <w:rFonts w:eastAsiaTheme="minorEastAsia"/>
                <w:color w:val="000000" w:themeColor="text1"/>
                <w:szCs w:val="21"/>
              </w:rPr>
              <w:t>-22.81%</w:t>
            </w:r>
          </w:p>
        </w:tc>
        <w:tc>
          <w:tcPr>
            <w:tcW w:w="1291" w:type="dxa"/>
            <w:vAlign w:val="center"/>
          </w:tcPr>
          <w:p w:rsidR="00836456" w:rsidRDefault="00661786">
            <w:pPr>
              <w:jc w:val="right"/>
            </w:pPr>
            <w:r>
              <w:rPr>
                <w:rFonts w:eastAsiaTheme="minorEastAsia"/>
                <w:color w:val="000000" w:themeColor="text1"/>
                <w:szCs w:val="21"/>
              </w:rPr>
              <w:t>0.37%</w:t>
            </w:r>
          </w:p>
        </w:tc>
      </w:tr>
      <w:tr w:rsidR="00836456">
        <w:tc>
          <w:tcPr>
            <w:tcW w:w="1290" w:type="dxa"/>
            <w:vAlign w:val="center"/>
          </w:tcPr>
          <w:p w:rsidR="00836456" w:rsidRDefault="00661786">
            <w:pPr>
              <w:jc w:val="left"/>
            </w:pPr>
            <w:r>
              <w:rPr>
                <w:rFonts w:eastAsiaTheme="minorEastAsia"/>
                <w:color w:val="000000" w:themeColor="text1"/>
                <w:szCs w:val="21"/>
              </w:rPr>
              <w:t>过去一年</w:t>
            </w:r>
          </w:p>
        </w:tc>
        <w:tc>
          <w:tcPr>
            <w:tcW w:w="1291" w:type="dxa"/>
            <w:vAlign w:val="center"/>
          </w:tcPr>
          <w:p w:rsidR="00836456" w:rsidRDefault="00661786">
            <w:pPr>
              <w:jc w:val="right"/>
            </w:pPr>
            <w:r>
              <w:rPr>
                <w:rFonts w:eastAsiaTheme="minorEastAsia"/>
                <w:color w:val="000000" w:themeColor="text1"/>
                <w:szCs w:val="21"/>
              </w:rPr>
              <w:t>-20.25%</w:t>
            </w:r>
          </w:p>
        </w:tc>
        <w:tc>
          <w:tcPr>
            <w:tcW w:w="1291" w:type="dxa"/>
            <w:vAlign w:val="center"/>
          </w:tcPr>
          <w:p w:rsidR="00836456" w:rsidRDefault="00661786">
            <w:pPr>
              <w:jc w:val="right"/>
            </w:pPr>
            <w:r>
              <w:rPr>
                <w:rFonts w:eastAsiaTheme="minorEastAsia"/>
                <w:color w:val="000000" w:themeColor="text1"/>
                <w:szCs w:val="21"/>
              </w:rPr>
              <w:t>1.56%</w:t>
            </w:r>
          </w:p>
        </w:tc>
        <w:tc>
          <w:tcPr>
            <w:tcW w:w="1291" w:type="dxa"/>
            <w:vAlign w:val="center"/>
          </w:tcPr>
          <w:p w:rsidR="00836456" w:rsidRDefault="00661786">
            <w:pPr>
              <w:jc w:val="right"/>
            </w:pPr>
            <w:r>
              <w:rPr>
                <w:rFonts w:eastAsiaTheme="minorEastAsia"/>
                <w:color w:val="000000" w:themeColor="text1"/>
                <w:szCs w:val="21"/>
              </w:rPr>
              <w:t>-2.49%</w:t>
            </w:r>
          </w:p>
        </w:tc>
        <w:tc>
          <w:tcPr>
            <w:tcW w:w="1291" w:type="dxa"/>
            <w:vAlign w:val="center"/>
          </w:tcPr>
          <w:p w:rsidR="00836456" w:rsidRDefault="00661786">
            <w:pPr>
              <w:jc w:val="right"/>
            </w:pPr>
            <w:r>
              <w:rPr>
                <w:rFonts w:eastAsiaTheme="minorEastAsia"/>
                <w:color w:val="000000" w:themeColor="text1"/>
                <w:szCs w:val="21"/>
              </w:rPr>
              <w:t>0.95%</w:t>
            </w:r>
          </w:p>
        </w:tc>
        <w:tc>
          <w:tcPr>
            <w:tcW w:w="1291" w:type="dxa"/>
            <w:vAlign w:val="center"/>
          </w:tcPr>
          <w:p w:rsidR="00836456" w:rsidRDefault="00661786">
            <w:pPr>
              <w:jc w:val="right"/>
            </w:pPr>
            <w:r>
              <w:rPr>
                <w:rFonts w:eastAsiaTheme="minorEastAsia"/>
                <w:color w:val="000000" w:themeColor="text1"/>
                <w:szCs w:val="21"/>
              </w:rPr>
              <w:t>-17.76%</w:t>
            </w:r>
          </w:p>
        </w:tc>
        <w:tc>
          <w:tcPr>
            <w:tcW w:w="1291" w:type="dxa"/>
            <w:vAlign w:val="center"/>
          </w:tcPr>
          <w:p w:rsidR="00836456" w:rsidRDefault="00661786">
            <w:pPr>
              <w:jc w:val="right"/>
            </w:pPr>
            <w:r>
              <w:rPr>
                <w:rFonts w:eastAsiaTheme="minorEastAsia"/>
                <w:color w:val="000000" w:themeColor="text1"/>
                <w:szCs w:val="21"/>
              </w:rPr>
              <w:t>0.61%</w:t>
            </w:r>
          </w:p>
        </w:tc>
      </w:tr>
      <w:tr w:rsidR="00836456">
        <w:tc>
          <w:tcPr>
            <w:tcW w:w="1290" w:type="dxa"/>
            <w:vAlign w:val="center"/>
          </w:tcPr>
          <w:p w:rsidR="00836456" w:rsidRDefault="00661786">
            <w:pPr>
              <w:jc w:val="left"/>
            </w:pPr>
            <w:r>
              <w:rPr>
                <w:rFonts w:eastAsiaTheme="minorEastAsia"/>
                <w:color w:val="000000" w:themeColor="text1"/>
                <w:szCs w:val="21"/>
              </w:rPr>
              <w:t>过去三年</w:t>
            </w:r>
          </w:p>
        </w:tc>
        <w:tc>
          <w:tcPr>
            <w:tcW w:w="1291" w:type="dxa"/>
            <w:vAlign w:val="center"/>
          </w:tcPr>
          <w:p w:rsidR="00836456" w:rsidRDefault="00661786">
            <w:pPr>
              <w:jc w:val="right"/>
            </w:pPr>
            <w:r>
              <w:rPr>
                <w:rFonts w:eastAsiaTheme="minorEastAsia"/>
                <w:color w:val="000000" w:themeColor="text1"/>
                <w:szCs w:val="21"/>
              </w:rPr>
              <w:t>16.57%</w:t>
            </w:r>
          </w:p>
        </w:tc>
        <w:tc>
          <w:tcPr>
            <w:tcW w:w="1291" w:type="dxa"/>
            <w:vAlign w:val="center"/>
          </w:tcPr>
          <w:p w:rsidR="00836456" w:rsidRDefault="00661786">
            <w:pPr>
              <w:jc w:val="right"/>
            </w:pPr>
            <w:r>
              <w:rPr>
                <w:rFonts w:eastAsiaTheme="minorEastAsia"/>
                <w:color w:val="000000" w:themeColor="text1"/>
                <w:szCs w:val="21"/>
              </w:rPr>
              <w:t>1.66%</w:t>
            </w:r>
          </w:p>
        </w:tc>
        <w:tc>
          <w:tcPr>
            <w:tcW w:w="1291" w:type="dxa"/>
            <w:vAlign w:val="center"/>
          </w:tcPr>
          <w:p w:rsidR="00836456" w:rsidRDefault="00661786">
            <w:pPr>
              <w:jc w:val="right"/>
            </w:pPr>
            <w:r>
              <w:rPr>
                <w:rFonts w:eastAsiaTheme="minorEastAsia"/>
                <w:color w:val="000000" w:themeColor="text1"/>
                <w:szCs w:val="21"/>
              </w:rPr>
              <w:t>11.38%</w:t>
            </w:r>
          </w:p>
        </w:tc>
        <w:tc>
          <w:tcPr>
            <w:tcW w:w="1291" w:type="dxa"/>
            <w:vAlign w:val="center"/>
          </w:tcPr>
          <w:p w:rsidR="00836456" w:rsidRDefault="00661786">
            <w:pPr>
              <w:jc w:val="right"/>
            </w:pPr>
            <w:r>
              <w:rPr>
                <w:rFonts w:eastAsiaTheme="minorEastAsia"/>
                <w:color w:val="000000" w:themeColor="text1"/>
                <w:szCs w:val="21"/>
              </w:rPr>
              <w:t>0.99%</w:t>
            </w:r>
          </w:p>
        </w:tc>
        <w:tc>
          <w:tcPr>
            <w:tcW w:w="1291" w:type="dxa"/>
            <w:vAlign w:val="center"/>
          </w:tcPr>
          <w:p w:rsidR="00836456" w:rsidRDefault="00661786">
            <w:pPr>
              <w:jc w:val="right"/>
            </w:pPr>
            <w:r>
              <w:rPr>
                <w:rFonts w:eastAsiaTheme="minorEastAsia"/>
                <w:color w:val="000000" w:themeColor="text1"/>
                <w:szCs w:val="21"/>
              </w:rPr>
              <w:t>5.19%</w:t>
            </w:r>
          </w:p>
        </w:tc>
        <w:tc>
          <w:tcPr>
            <w:tcW w:w="1291" w:type="dxa"/>
            <w:vAlign w:val="center"/>
          </w:tcPr>
          <w:p w:rsidR="00836456" w:rsidRDefault="00661786">
            <w:pPr>
              <w:jc w:val="right"/>
            </w:pPr>
            <w:r>
              <w:rPr>
                <w:rFonts w:eastAsiaTheme="minorEastAsia"/>
                <w:color w:val="000000" w:themeColor="text1"/>
                <w:szCs w:val="21"/>
              </w:rPr>
              <w:t>0.67%</w:t>
            </w:r>
          </w:p>
        </w:tc>
      </w:tr>
      <w:tr w:rsidR="00836456">
        <w:tc>
          <w:tcPr>
            <w:tcW w:w="1290" w:type="dxa"/>
            <w:vAlign w:val="center"/>
          </w:tcPr>
          <w:p w:rsidR="00836456" w:rsidRDefault="00661786">
            <w:pPr>
              <w:jc w:val="left"/>
            </w:pPr>
            <w:r>
              <w:rPr>
                <w:rFonts w:eastAsiaTheme="minorEastAsia"/>
                <w:color w:val="000000" w:themeColor="text1"/>
                <w:szCs w:val="21"/>
              </w:rPr>
              <w:lastRenderedPageBreak/>
              <w:t>过去五年</w:t>
            </w:r>
          </w:p>
        </w:tc>
        <w:tc>
          <w:tcPr>
            <w:tcW w:w="1291" w:type="dxa"/>
            <w:vAlign w:val="center"/>
          </w:tcPr>
          <w:p w:rsidR="00836456" w:rsidRDefault="00661786">
            <w:pPr>
              <w:jc w:val="right"/>
            </w:pPr>
            <w:r>
              <w:rPr>
                <w:rFonts w:eastAsiaTheme="minorEastAsia"/>
                <w:color w:val="000000" w:themeColor="text1"/>
                <w:szCs w:val="21"/>
              </w:rPr>
              <w:t>50.77%</w:t>
            </w:r>
          </w:p>
        </w:tc>
        <w:tc>
          <w:tcPr>
            <w:tcW w:w="1291" w:type="dxa"/>
            <w:vAlign w:val="center"/>
          </w:tcPr>
          <w:p w:rsidR="00836456" w:rsidRDefault="00661786">
            <w:pPr>
              <w:jc w:val="right"/>
            </w:pPr>
            <w:r>
              <w:rPr>
                <w:rFonts w:eastAsiaTheme="minorEastAsia"/>
                <w:color w:val="000000" w:themeColor="text1"/>
                <w:szCs w:val="21"/>
              </w:rPr>
              <w:t>1.65%</w:t>
            </w:r>
          </w:p>
        </w:tc>
        <w:tc>
          <w:tcPr>
            <w:tcW w:w="1291" w:type="dxa"/>
            <w:vAlign w:val="center"/>
          </w:tcPr>
          <w:p w:rsidR="00836456" w:rsidRDefault="00661786">
            <w:pPr>
              <w:jc w:val="right"/>
            </w:pPr>
            <w:r>
              <w:rPr>
                <w:rFonts w:eastAsiaTheme="minorEastAsia"/>
                <w:color w:val="000000" w:themeColor="text1"/>
                <w:szCs w:val="21"/>
              </w:rPr>
              <w:t>4.42%</w:t>
            </w:r>
          </w:p>
        </w:tc>
        <w:tc>
          <w:tcPr>
            <w:tcW w:w="1291" w:type="dxa"/>
            <w:vAlign w:val="center"/>
          </w:tcPr>
          <w:p w:rsidR="00836456" w:rsidRDefault="00661786">
            <w:pPr>
              <w:jc w:val="right"/>
            </w:pPr>
            <w:r>
              <w:rPr>
                <w:rFonts w:eastAsiaTheme="minorEastAsia"/>
                <w:color w:val="000000" w:themeColor="text1"/>
                <w:szCs w:val="21"/>
              </w:rPr>
              <w:t>1.08%</w:t>
            </w:r>
          </w:p>
        </w:tc>
        <w:tc>
          <w:tcPr>
            <w:tcW w:w="1291" w:type="dxa"/>
            <w:vAlign w:val="center"/>
          </w:tcPr>
          <w:p w:rsidR="00836456" w:rsidRDefault="00661786">
            <w:pPr>
              <w:jc w:val="right"/>
            </w:pPr>
            <w:r>
              <w:rPr>
                <w:rFonts w:eastAsiaTheme="minorEastAsia"/>
                <w:color w:val="000000" w:themeColor="text1"/>
                <w:szCs w:val="21"/>
              </w:rPr>
              <w:t>46.35%</w:t>
            </w:r>
          </w:p>
        </w:tc>
        <w:tc>
          <w:tcPr>
            <w:tcW w:w="1291" w:type="dxa"/>
            <w:vAlign w:val="center"/>
          </w:tcPr>
          <w:p w:rsidR="00836456" w:rsidRDefault="00661786">
            <w:pPr>
              <w:jc w:val="right"/>
            </w:pPr>
            <w:r>
              <w:rPr>
                <w:rFonts w:eastAsiaTheme="minorEastAsia"/>
                <w:color w:val="000000" w:themeColor="text1"/>
                <w:szCs w:val="21"/>
              </w:rPr>
              <w:t>0.57%</w:t>
            </w:r>
          </w:p>
        </w:tc>
      </w:tr>
      <w:tr w:rsidR="00836456">
        <w:tc>
          <w:tcPr>
            <w:tcW w:w="1290" w:type="dxa"/>
            <w:vAlign w:val="center"/>
          </w:tcPr>
          <w:p w:rsidR="00836456" w:rsidRDefault="00661786">
            <w:pPr>
              <w:jc w:val="left"/>
            </w:pPr>
            <w:r>
              <w:rPr>
                <w:rFonts w:eastAsiaTheme="minorEastAsia"/>
                <w:color w:val="000000" w:themeColor="text1"/>
                <w:szCs w:val="21"/>
              </w:rPr>
              <w:t>自基金合同生效起至今</w:t>
            </w:r>
          </w:p>
        </w:tc>
        <w:tc>
          <w:tcPr>
            <w:tcW w:w="1291" w:type="dxa"/>
            <w:vAlign w:val="center"/>
          </w:tcPr>
          <w:p w:rsidR="00836456" w:rsidRDefault="00661786">
            <w:pPr>
              <w:jc w:val="right"/>
            </w:pPr>
            <w:r>
              <w:rPr>
                <w:rFonts w:eastAsiaTheme="minorEastAsia"/>
                <w:color w:val="000000" w:themeColor="text1"/>
                <w:szCs w:val="21"/>
              </w:rPr>
              <w:t>47.00%</w:t>
            </w:r>
          </w:p>
        </w:tc>
        <w:tc>
          <w:tcPr>
            <w:tcW w:w="1291" w:type="dxa"/>
            <w:vAlign w:val="center"/>
          </w:tcPr>
          <w:p w:rsidR="00836456" w:rsidRDefault="00661786">
            <w:pPr>
              <w:jc w:val="right"/>
            </w:pPr>
            <w:r>
              <w:rPr>
                <w:rFonts w:eastAsiaTheme="minorEastAsia"/>
                <w:color w:val="000000" w:themeColor="text1"/>
                <w:szCs w:val="21"/>
              </w:rPr>
              <w:t>1.77%</w:t>
            </w:r>
          </w:p>
        </w:tc>
        <w:tc>
          <w:tcPr>
            <w:tcW w:w="1291" w:type="dxa"/>
            <w:vAlign w:val="center"/>
          </w:tcPr>
          <w:p w:rsidR="00836456" w:rsidRDefault="00661786">
            <w:pPr>
              <w:jc w:val="right"/>
            </w:pPr>
            <w:r>
              <w:rPr>
                <w:rFonts w:eastAsiaTheme="minorEastAsia"/>
                <w:color w:val="000000" w:themeColor="text1"/>
                <w:szCs w:val="21"/>
              </w:rPr>
              <w:t>12.58%</w:t>
            </w:r>
          </w:p>
        </w:tc>
        <w:tc>
          <w:tcPr>
            <w:tcW w:w="1291" w:type="dxa"/>
            <w:vAlign w:val="center"/>
          </w:tcPr>
          <w:p w:rsidR="00836456" w:rsidRDefault="00661786">
            <w:pPr>
              <w:jc w:val="right"/>
            </w:pPr>
            <w:r>
              <w:rPr>
                <w:rFonts w:eastAsiaTheme="minorEastAsia"/>
                <w:color w:val="000000" w:themeColor="text1"/>
                <w:szCs w:val="21"/>
              </w:rPr>
              <w:t>1.23%</w:t>
            </w:r>
          </w:p>
        </w:tc>
        <w:tc>
          <w:tcPr>
            <w:tcW w:w="1291" w:type="dxa"/>
            <w:vAlign w:val="center"/>
          </w:tcPr>
          <w:p w:rsidR="00836456" w:rsidRDefault="00661786">
            <w:pPr>
              <w:jc w:val="right"/>
            </w:pPr>
            <w:r>
              <w:rPr>
                <w:rFonts w:eastAsiaTheme="minorEastAsia"/>
                <w:color w:val="000000" w:themeColor="text1"/>
                <w:szCs w:val="21"/>
              </w:rPr>
              <w:t>34.42%</w:t>
            </w:r>
          </w:p>
        </w:tc>
        <w:tc>
          <w:tcPr>
            <w:tcW w:w="1291" w:type="dxa"/>
            <w:vAlign w:val="center"/>
          </w:tcPr>
          <w:p w:rsidR="00836456" w:rsidRDefault="00661786">
            <w:pPr>
              <w:jc w:val="right"/>
            </w:pPr>
            <w:r>
              <w:rPr>
                <w:rFonts w:eastAsiaTheme="minorEastAsia"/>
                <w:color w:val="000000" w:themeColor="text1"/>
                <w:szCs w:val="21"/>
              </w:rPr>
              <w:t>0.54%</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t>2</w:t>
      </w:r>
      <w:r w:rsidRPr="00B27A29">
        <w:rPr>
          <w:rFonts w:eastAsiaTheme="minorEastAsia"/>
          <w:b/>
          <w:color w:val="000000" w:themeColor="text1"/>
          <w:szCs w:val="21"/>
        </w:rPr>
        <w:t>、</w:t>
      </w:r>
      <w:r w:rsidRPr="00B27A29">
        <w:rPr>
          <w:rFonts w:eastAsiaTheme="minorEastAsia"/>
          <w:b/>
          <w:color w:val="000000" w:themeColor="text1"/>
          <w:kern w:val="0"/>
          <w:szCs w:val="21"/>
        </w:rPr>
        <w:t>摩根安全战略股票</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836456">
        <w:tc>
          <w:tcPr>
            <w:tcW w:w="1290" w:type="dxa"/>
            <w:vAlign w:val="center"/>
          </w:tcPr>
          <w:p w:rsidR="00836456" w:rsidRDefault="00661786">
            <w:pPr>
              <w:jc w:val="left"/>
            </w:pPr>
            <w:r>
              <w:rPr>
                <w:rFonts w:eastAsiaTheme="minorEastAsia"/>
                <w:color w:val="000000" w:themeColor="text1"/>
                <w:szCs w:val="21"/>
              </w:rPr>
              <w:t>过去三个月</w:t>
            </w:r>
          </w:p>
        </w:tc>
        <w:tc>
          <w:tcPr>
            <w:tcW w:w="1291" w:type="dxa"/>
            <w:vAlign w:val="center"/>
          </w:tcPr>
          <w:p w:rsidR="00836456" w:rsidRDefault="00661786">
            <w:pPr>
              <w:jc w:val="right"/>
            </w:pPr>
            <w:r>
              <w:rPr>
                <w:rFonts w:eastAsiaTheme="minorEastAsia"/>
                <w:color w:val="000000" w:themeColor="text1"/>
                <w:szCs w:val="21"/>
              </w:rPr>
              <w:t>-5.76%</w:t>
            </w:r>
          </w:p>
        </w:tc>
        <w:tc>
          <w:tcPr>
            <w:tcW w:w="1291" w:type="dxa"/>
            <w:vAlign w:val="center"/>
          </w:tcPr>
          <w:p w:rsidR="00836456" w:rsidRDefault="00661786">
            <w:pPr>
              <w:jc w:val="right"/>
            </w:pPr>
            <w:r>
              <w:rPr>
                <w:rFonts w:eastAsiaTheme="minorEastAsia"/>
                <w:color w:val="000000" w:themeColor="text1"/>
                <w:szCs w:val="21"/>
              </w:rPr>
              <w:t>0.91%</w:t>
            </w:r>
          </w:p>
        </w:tc>
        <w:tc>
          <w:tcPr>
            <w:tcW w:w="1291" w:type="dxa"/>
            <w:vAlign w:val="center"/>
          </w:tcPr>
          <w:p w:rsidR="00836456" w:rsidRDefault="00661786">
            <w:pPr>
              <w:jc w:val="right"/>
            </w:pPr>
            <w:r>
              <w:rPr>
                <w:rFonts w:eastAsiaTheme="minorEastAsia"/>
                <w:color w:val="000000" w:themeColor="text1"/>
                <w:szCs w:val="21"/>
              </w:rPr>
              <w:t>4.66%</w:t>
            </w:r>
          </w:p>
        </w:tc>
        <w:tc>
          <w:tcPr>
            <w:tcW w:w="1291" w:type="dxa"/>
            <w:vAlign w:val="center"/>
          </w:tcPr>
          <w:p w:rsidR="00836456" w:rsidRDefault="00661786">
            <w:pPr>
              <w:jc w:val="right"/>
            </w:pPr>
            <w:r>
              <w:rPr>
                <w:rFonts w:eastAsiaTheme="minorEastAsia"/>
                <w:color w:val="000000" w:themeColor="text1"/>
                <w:szCs w:val="21"/>
              </w:rPr>
              <w:t>0.68%</w:t>
            </w:r>
          </w:p>
        </w:tc>
        <w:tc>
          <w:tcPr>
            <w:tcW w:w="1291" w:type="dxa"/>
            <w:vAlign w:val="center"/>
          </w:tcPr>
          <w:p w:rsidR="00836456" w:rsidRDefault="00661786">
            <w:pPr>
              <w:jc w:val="right"/>
            </w:pPr>
            <w:r>
              <w:rPr>
                <w:rFonts w:eastAsiaTheme="minorEastAsia"/>
                <w:color w:val="000000" w:themeColor="text1"/>
                <w:szCs w:val="21"/>
              </w:rPr>
              <w:t>-10.42%</w:t>
            </w:r>
          </w:p>
        </w:tc>
        <w:tc>
          <w:tcPr>
            <w:tcW w:w="1291" w:type="dxa"/>
            <w:vAlign w:val="center"/>
          </w:tcPr>
          <w:p w:rsidR="00836456" w:rsidRDefault="00661786">
            <w:pPr>
              <w:jc w:val="right"/>
            </w:pPr>
            <w:r>
              <w:rPr>
                <w:rFonts w:eastAsiaTheme="minorEastAsia"/>
                <w:color w:val="000000" w:themeColor="text1"/>
                <w:szCs w:val="21"/>
              </w:rPr>
              <w:t>0.23%</w:t>
            </w:r>
          </w:p>
        </w:tc>
      </w:tr>
      <w:tr w:rsidR="00836456">
        <w:tc>
          <w:tcPr>
            <w:tcW w:w="1290" w:type="dxa"/>
            <w:vAlign w:val="center"/>
          </w:tcPr>
          <w:p w:rsidR="00836456" w:rsidRDefault="00661786">
            <w:pPr>
              <w:jc w:val="left"/>
            </w:pPr>
            <w:r>
              <w:rPr>
                <w:rFonts w:eastAsiaTheme="minorEastAsia"/>
                <w:color w:val="000000" w:themeColor="text1"/>
                <w:szCs w:val="21"/>
              </w:rPr>
              <w:t>过去六个月</w:t>
            </w:r>
          </w:p>
        </w:tc>
        <w:tc>
          <w:tcPr>
            <w:tcW w:w="1291" w:type="dxa"/>
            <w:vAlign w:val="center"/>
          </w:tcPr>
          <w:p w:rsidR="00836456" w:rsidRDefault="00661786">
            <w:pPr>
              <w:jc w:val="right"/>
            </w:pPr>
            <w:r>
              <w:rPr>
                <w:rFonts w:eastAsiaTheme="minorEastAsia"/>
                <w:color w:val="000000" w:themeColor="text1"/>
                <w:szCs w:val="21"/>
              </w:rPr>
              <w:t>-16.66%</w:t>
            </w:r>
          </w:p>
        </w:tc>
        <w:tc>
          <w:tcPr>
            <w:tcW w:w="1291" w:type="dxa"/>
            <w:vAlign w:val="center"/>
          </w:tcPr>
          <w:p w:rsidR="00836456" w:rsidRDefault="00661786">
            <w:pPr>
              <w:jc w:val="right"/>
            </w:pPr>
            <w:r>
              <w:rPr>
                <w:rFonts w:eastAsiaTheme="minorEastAsia"/>
                <w:color w:val="000000" w:themeColor="text1"/>
                <w:szCs w:val="21"/>
              </w:rPr>
              <w:t>1.23%</w:t>
            </w:r>
          </w:p>
        </w:tc>
        <w:tc>
          <w:tcPr>
            <w:tcW w:w="1291" w:type="dxa"/>
            <w:vAlign w:val="center"/>
          </w:tcPr>
          <w:p w:rsidR="00836456" w:rsidRDefault="00661786">
            <w:pPr>
              <w:jc w:val="right"/>
            </w:pPr>
            <w:r>
              <w:rPr>
                <w:rFonts w:eastAsiaTheme="minorEastAsia"/>
                <w:color w:val="000000" w:themeColor="text1"/>
                <w:szCs w:val="21"/>
              </w:rPr>
              <w:t>6.36%</w:t>
            </w:r>
          </w:p>
        </w:tc>
        <w:tc>
          <w:tcPr>
            <w:tcW w:w="1291" w:type="dxa"/>
            <w:vAlign w:val="center"/>
          </w:tcPr>
          <w:p w:rsidR="00836456" w:rsidRDefault="00661786">
            <w:pPr>
              <w:jc w:val="right"/>
            </w:pPr>
            <w:r>
              <w:rPr>
                <w:rFonts w:eastAsiaTheme="minorEastAsia"/>
                <w:color w:val="000000" w:themeColor="text1"/>
                <w:szCs w:val="21"/>
              </w:rPr>
              <w:t>0.86%</w:t>
            </w:r>
          </w:p>
        </w:tc>
        <w:tc>
          <w:tcPr>
            <w:tcW w:w="1291" w:type="dxa"/>
            <w:vAlign w:val="center"/>
          </w:tcPr>
          <w:p w:rsidR="00836456" w:rsidRDefault="00661786">
            <w:pPr>
              <w:jc w:val="right"/>
            </w:pPr>
            <w:r>
              <w:rPr>
                <w:rFonts w:eastAsiaTheme="minorEastAsia"/>
                <w:color w:val="000000" w:themeColor="text1"/>
                <w:szCs w:val="21"/>
              </w:rPr>
              <w:t>-23.02%</w:t>
            </w:r>
          </w:p>
        </w:tc>
        <w:tc>
          <w:tcPr>
            <w:tcW w:w="1291" w:type="dxa"/>
            <w:vAlign w:val="center"/>
          </w:tcPr>
          <w:p w:rsidR="00836456" w:rsidRDefault="00661786">
            <w:pPr>
              <w:jc w:val="right"/>
            </w:pPr>
            <w:r>
              <w:rPr>
                <w:rFonts w:eastAsiaTheme="minorEastAsia"/>
                <w:color w:val="000000" w:themeColor="text1"/>
                <w:szCs w:val="21"/>
              </w:rPr>
              <w:t>0.37%</w:t>
            </w:r>
          </w:p>
        </w:tc>
      </w:tr>
      <w:tr w:rsidR="00836456">
        <w:tc>
          <w:tcPr>
            <w:tcW w:w="1290" w:type="dxa"/>
            <w:vAlign w:val="center"/>
          </w:tcPr>
          <w:p w:rsidR="00836456" w:rsidRDefault="00661786">
            <w:pPr>
              <w:jc w:val="left"/>
            </w:pPr>
            <w:r>
              <w:rPr>
                <w:rFonts w:eastAsiaTheme="minorEastAsia"/>
                <w:color w:val="000000" w:themeColor="text1"/>
                <w:szCs w:val="21"/>
              </w:rPr>
              <w:t>过去一年</w:t>
            </w:r>
          </w:p>
        </w:tc>
        <w:tc>
          <w:tcPr>
            <w:tcW w:w="1291" w:type="dxa"/>
            <w:vAlign w:val="center"/>
          </w:tcPr>
          <w:p w:rsidR="00836456" w:rsidRDefault="00661786">
            <w:pPr>
              <w:jc w:val="right"/>
            </w:pPr>
            <w:r>
              <w:rPr>
                <w:rFonts w:eastAsiaTheme="minorEastAsia"/>
                <w:color w:val="000000" w:themeColor="text1"/>
                <w:szCs w:val="21"/>
              </w:rPr>
              <w:t>-20.65%</w:t>
            </w:r>
          </w:p>
        </w:tc>
        <w:tc>
          <w:tcPr>
            <w:tcW w:w="1291" w:type="dxa"/>
            <w:vAlign w:val="center"/>
          </w:tcPr>
          <w:p w:rsidR="00836456" w:rsidRDefault="00661786">
            <w:pPr>
              <w:jc w:val="right"/>
            </w:pPr>
            <w:r>
              <w:rPr>
                <w:rFonts w:eastAsiaTheme="minorEastAsia"/>
                <w:color w:val="000000" w:themeColor="text1"/>
                <w:szCs w:val="21"/>
              </w:rPr>
              <w:t>1.56%</w:t>
            </w:r>
          </w:p>
        </w:tc>
        <w:tc>
          <w:tcPr>
            <w:tcW w:w="1291" w:type="dxa"/>
            <w:vAlign w:val="center"/>
          </w:tcPr>
          <w:p w:rsidR="00836456" w:rsidRDefault="00661786">
            <w:pPr>
              <w:jc w:val="right"/>
            </w:pPr>
            <w:r>
              <w:rPr>
                <w:rFonts w:eastAsiaTheme="minorEastAsia"/>
                <w:color w:val="000000" w:themeColor="text1"/>
                <w:szCs w:val="21"/>
              </w:rPr>
              <w:t>-2.49%</w:t>
            </w:r>
          </w:p>
        </w:tc>
        <w:tc>
          <w:tcPr>
            <w:tcW w:w="1291" w:type="dxa"/>
            <w:vAlign w:val="center"/>
          </w:tcPr>
          <w:p w:rsidR="00836456" w:rsidRDefault="00661786">
            <w:pPr>
              <w:jc w:val="right"/>
            </w:pPr>
            <w:r>
              <w:rPr>
                <w:rFonts w:eastAsiaTheme="minorEastAsia"/>
                <w:color w:val="000000" w:themeColor="text1"/>
                <w:szCs w:val="21"/>
              </w:rPr>
              <w:t>0.95%</w:t>
            </w:r>
          </w:p>
        </w:tc>
        <w:tc>
          <w:tcPr>
            <w:tcW w:w="1291" w:type="dxa"/>
            <w:vAlign w:val="center"/>
          </w:tcPr>
          <w:p w:rsidR="00836456" w:rsidRDefault="00661786">
            <w:pPr>
              <w:jc w:val="right"/>
            </w:pPr>
            <w:r>
              <w:rPr>
                <w:rFonts w:eastAsiaTheme="minorEastAsia"/>
                <w:color w:val="000000" w:themeColor="text1"/>
                <w:szCs w:val="21"/>
              </w:rPr>
              <w:t>-18.16%</w:t>
            </w:r>
          </w:p>
        </w:tc>
        <w:tc>
          <w:tcPr>
            <w:tcW w:w="1291" w:type="dxa"/>
            <w:vAlign w:val="center"/>
          </w:tcPr>
          <w:p w:rsidR="00836456" w:rsidRDefault="00661786">
            <w:pPr>
              <w:jc w:val="right"/>
            </w:pPr>
            <w:r>
              <w:rPr>
                <w:rFonts w:eastAsiaTheme="minorEastAsia"/>
                <w:color w:val="000000" w:themeColor="text1"/>
                <w:szCs w:val="21"/>
              </w:rPr>
              <w:t>0.61%</w:t>
            </w:r>
          </w:p>
        </w:tc>
      </w:tr>
      <w:tr w:rsidR="00836456">
        <w:tc>
          <w:tcPr>
            <w:tcW w:w="1290" w:type="dxa"/>
            <w:vAlign w:val="center"/>
          </w:tcPr>
          <w:p w:rsidR="00836456" w:rsidRDefault="00661786">
            <w:pPr>
              <w:jc w:val="left"/>
            </w:pPr>
            <w:r>
              <w:rPr>
                <w:rFonts w:eastAsiaTheme="minorEastAsia"/>
                <w:color w:val="000000" w:themeColor="text1"/>
                <w:szCs w:val="21"/>
              </w:rPr>
              <w:t>过去三年</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r>
      <w:tr w:rsidR="00836456">
        <w:tc>
          <w:tcPr>
            <w:tcW w:w="1290" w:type="dxa"/>
            <w:vAlign w:val="center"/>
          </w:tcPr>
          <w:p w:rsidR="00836456" w:rsidRDefault="00661786">
            <w:pPr>
              <w:jc w:val="left"/>
            </w:pPr>
            <w:r>
              <w:rPr>
                <w:rFonts w:eastAsiaTheme="minorEastAsia"/>
                <w:color w:val="000000" w:themeColor="text1"/>
                <w:szCs w:val="21"/>
              </w:rPr>
              <w:t>过去五年</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c>
          <w:tcPr>
            <w:tcW w:w="1291" w:type="dxa"/>
            <w:vAlign w:val="center"/>
          </w:tcPr>
          <w:p w:rsidR="00836456" w:rsidRDefault="00661786">
            <w:pPr>
              <w:jc w:val="right"/>
            </w:pPr>
            <w:r>
              <w:rPr>
                <w:rFonts w:eastAsiaTheme="minorEastAsia"/>
                <w:color w:val="000000" w:themeColor="text1"/>
                <w:szCs w:val="21"/>
              </w:rPr>
              <w:t>-</w:t>
            </w:r>
          </w:p>
        </w:tc>
      </w:tr>
      <w:tr w:rsidR="00836456">
        <w:tc>
          <w:tcPr>
            <w:tcW w:w="1290" w:type="dxa"/>
            <w:vAlign w:val="center"/>
          </w:tcPr>
          <w:p w:rsidR="00836456" w:rsidRDefault="00661786">
            <w:pPr>
              <w:jc w:val="left"/>
            </w:pPr>
            <w:r>
              <w:rPr>
                <w:rFonts w:eastAsiaTheme="minorEastAsia"/>
                <w:color w:val="000000" w:themeColor="text1"/>
                <w:szCs w:val="21"/>
              </w:rPr>
              <w:t>自基金合同生效起至今</w:t>
            </w:r>
          </w:p>
        </w:tc>
        <w:tc>
          <w:tcPr>
            <w:tcW w:w="1291" w:type="dxa"/>
            <w:vAlign w:val="center"/>
          </w:tcPr>
          <w:p w:rsidR="00836456" w:rsidRDefault="00661786">
            <w:pPr>
              <w:jc w:val="right"/>
            </w:pPr>
            <w:r>
              <w:rPr>
                <w:rFonts w:eastAsiaTheme="minorEastAsia"/>
                <w:color w:val="000000" w:themeColor="text1"/>
                <w:szCs w:val="21"/>
              </w:rPr>
              <w:t>-23.91%</w:t>
            </w:r>
          </w:p>
        </w:tc>
        <w:tc>
          <w:tcPr>
            <w:tcW w:w="1291" w:type="dxa"/>
            <w:vAlign w:val="center"/>
          </w:tcPr>
          <w:p w:rsidR="00836456" w:rsidRDefault="00661786">
            <w:pPr>
              <w:jc w:val="right"/>
            </w:pPr>
            <w:r>
              <w:rPr>
                <w:rFonts w:eastAsiaTheme="minorEastAsia"/>
                <w:color w:val="000000" w:themeColor="text1"/>
                <w:szCs w:val="21"/>
              </w:rPr>
              <w:t>1.57%</w:t>
            </w:r>
          </w:p>
        </w:tc>
        <w:tc>
          <w:tcPr>
            <w:tcW w:w="1291" w:type="dxa"/>
            <w:vAlign w:val="center"/>
          </w:tcPr>
          <w:p w:rsidR="00836456" w:rsidRDefault="00661786">
            <w:pPr>
              <w:jc w:val="right"/>
            </w:pPr>
            <w:r>
              <w:rPr>
                <w:rFonts w:eastAsiaTheme="minorEastAsia"/>
                <w:color w:val="000000" w:themeColor="text1"/>
                <w:szCs w:val="21"/>
              </w:rPr>
              <w:t>-8.67%</w:t>
            </w:r>
          </w:p>
        </w:tc>
        <w:tc>
          <w:tcPr>
            <w:tcW w:w="1291" w:type="dxa"/>
            <w:vAlign w:val="center"/>
          </w:tcPr>
          <w:p w:rsidR="00836456" w:rsidRDefault="00661786">
            <w:pPr>
              <w:jc w:val="right"/>
            </w:pPr>
            <w:r>
              <w:rPr>
                <w:rFonts w:eastAsiaTheme="minorEastAsia"/>
                <w:color w:val="000000" w:themeColor="text1"/>
                <w:szCs w:val="21"/>
              </w:rPr>
              <w:t>1.03%</w:t>
            </w:r>
          </w:p>
        </w:tc>
        <w:tc>
          <w:tcPr>
            <w:tcW w:w="1291" w:type="dxa"/>
            <w:vAlign w:val="center"/>
          </w:tcPr>
          <w:p w:rsidR="00836456" w:rsidRDefault="00661786">
            <w:pPr>
              <w:jc w:val="right"/>
            </w:pPr>
            <w:r>
              <w:rPr>
                <w:rFonts w:eastAsiaTheme="minorEastAsia"/>
                <w:color w:val="000000" w:themeColor="text1"/>
                <w:szCs w:val="21"/>
              </w:rPr>
              <w:t>-15.24%</w:t>
            </w:r>
          </w:p>
        </w:tc>
        <w:tc>
          <w:tcPr>
            <w:tcW w:w="1291" w:type="dxa"/>
            <w:vAlign w:val="center"/>
          </w:tcPr>
          <w:p w:rsidR="00836456" w:rsidRDefault="00661786">
            <w:pPr>
              <w:jc w:val="right"/>
            </w:pPr>
            <w:r>
              <w:rPr>
                <w:rFonts w:eastAsiaTheme="minorEastAsia"/>
                <w:color w:val="000000" w:themeColor="text1"/>
                <w:szCs w:val="21"/>
              </w:rPr>
              <w:t>0.54%</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摩根安全战略股票型证券投资基金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(2015</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2</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26</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2023</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．摩根安全战略股票</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26</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．摩根安全战略股票</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 xml:space="preserve"> 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22</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 xml:space="preserve"> 6 </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836456">
        <w:tc>
          <w:tcPr>
            <w:tcW w:w="952" w:type="dxa"/>
            <w:vAlign w:val="center"/>
          </w:tcPr>
          <w:p w:rsidR="00836456" w:rsidRDefault="00661786">
            <w:pPr>
              <w:jc w:val="center"/>
            </w:pPr>
            <w:r>
              <w:rPr>
                <w:rFonts w:eastAsiaTheme="minorEastAsia"/>
                <w:color w:val="000000" w:themeColor="text1"/>
                <w:szCs w:val="21"/>
              </w:rPr>
              <w:t>陈思郁</w:t>
            </w:r>
          </w:p>
        </w:tc>
        <w:tc>
          <w:tcPr>
            <w:tcW w:w="930" w:type="dxa"/>
            <w:vAlign w:val="center"/>
          </w:tcPr>
          <w:p w:rsidR="00836456" w:rsidRDefault="00661786">
            <w:pPr>
              <w:jc w:val="center"/>
            </w:pPr>
            <w:r>
              <w:rPr>
                <w:rFonts w:eastAsiaTheme="minorEastAsia"/>
                <w:color w:val="000000" w:themeColor="text1"/>
                <w:szCs w:val="21"/>
              </w:rPr>
              <w:t>本基金基金经理</w:t>
            </w:r>
          </w:p>
        </w:tc>
        <w:tc>
          <w:tcPr>
            <w:tcW w:w="1210" w:type="dxa"/>
            <w:vAlign w:val="center"/>
          </w:tcPr>
          <w:p w:rsidR="00836456" w:rsidRDefault="00661786">
            <w:pPr>
              <w:jc w:val="center"/>
            </w:pPr>
            <w:r>
              <w:rPr>
                <w:rFonts w:eastAsiaTheme="minorEastAsia"/>
                <w:color w:val="000000" w:themeColor="text1"/>
                <w:szCs w:val="21"/>
              </w:rPr>
              <w:t>2016-10-21</w:t>
            </w:r>
          </w:p>
        </w:tc>
        <w:tc>
          <w:tcPr>
            <w:tcW w:w="1309" w:type="dxa"/>
            <w:vAlign w:val="center"/>
          </w:tcPr>
          <w:p w:rsidR="00836456" w:rsidRDefault="00661786">
            <w:pPr>
              <w:jc w:val="center"/>
            </w:pPr>
            <w:r>
              <w:rPr>
                <w:rFonts w:eastAsiaTheme="minorEastAsia"/>
                <w:color w:val="000000" w:themeColor="text1"/>
                <w:szCs w:val="21"/>
              </w:rPr>
              <w:t>-</w:t>
            </w:r>
          </w:p>
        </w:tc>
        <w:tc>
          <w:tcPr>
            <w:tcW w:w="1254" w:type="dxa"/>
            <w:vAlign w:val="center"/>
          </w:tcPr>
          <w:p w:rsidR="00836456" w:rsidRDefault="00661786">
            <w:pPr>
              <w:jc w:val="center"/>
            </w:pPr>
            <w:r>
              <w:rPr>
                <w:rFonts w:eastAsiaTheme="minorEastAsia"/>
                <w:color w:val="000000" w:themeColor="text1"/>
                <w:szCs w:val="21"/>
              </w:rPr>
              <w:t>16</w:t>
            </w:r>
            <w:r>
              <w:rPr>
                <w:rFonts w:eastAsiaTheme="minorEastAsia"/>
                <w:color w:val="000000" w:themeColor="text1"/>
                <w:szCs w:val="21"/>
              </w:rPr>
              <w:t>年</w:t>
            </w:r>
          </w:p>
        </w:tc>
        <w:tc>
          <w:tcPr>
            <w:tcW w:w="3276" w:type="dxa"/>
            <w:vAlign w:val="center"/>
          </w:tcPr>
          <w:p w:rsidR="00836456" w:rsidRDefault="00661786">
            <w:r>
              <w:rPr>
                <w:rFonts w:eastAsiaTheme="minorEastAsia"/>
                <w:color w:val="000000" w:themeColor="text1"/>
                <w:szCs w:val="21"/>
              </w:rPr>
              <w:t>陈思郁女士曾任国泰君安研究所研究员。</w:t>
            </w:r>
            <w:r>
              <w:rPr>
                <w:rFonts w:eastAsiaTheme="minorEastAsia"/>
                <w:color w:val="000000" w:themeColor="text1"/>
                <w:szCs w:val="21"/>
              </w:rPr>
              <w:t>2009</w:t>
            </w:r>
            <w:r>
              <w:rPr>
                <w:rFonts w:eastAsiaTheme="minorEastAsia"/>
                <w:color w:val="000000" w:themeColor="text1"/>
                <w:szCs w:val="21"/>
              </w:rPr>
              <w:t>年</w:t>
            </w:r>
            <w:r>
              <w:rPr>
                <w:rFonts w:eastAsiaTheme="minorEastAsia"/>
                <w:color w:val="000000" w:themeColor="text1"/>
                <w:szCs w:val="21"/>
              </w:rPr>
              <w:t>9</w:t>
            </w:r>
            <w:r>
              <w:rPr>
                <w:rFonts w:eastAsiaTheme="minorEastAsia"/>
                <w:color w:val="000000" w:themeColor="text1"/>
                <w:szCs w:val="21"/>
              </w:rPr>
              <w:t>月加入摩根基金管理（中国）有限公司（原上投摩根基金管理有限公司），历任行业专家、基金经理助理、基金经理，现任高级基金经理。</w:t>
            </w:r>
          </w:p>
        </w:tc>
      </w:tr>
    </w:tbl>
    <w:p w:rsidR="00836456" w:rsidRDefault="0066178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2.</w:t>
      </w:r>
      <w:r w:rsidRPr="00B27A29">
        <w:rPr>
          <w:rFonts w:eastAsiaTheme="minorEastAsia"/>
          <w:color w:val="000000" w:themeColor="text1"/>
          <w:szCs w:val="21"/>
        </w:rPr>
        <w:t>证券从业的含义遵从行业协会《证券业从业人员资格管理办法》的相关规定。</w:t>
      </w:r>
    </w:p>
    <w:p w:rsidR="005C671B" w:rsidRPr="00B27A29" w:rsidRDefault="005C671B" w:rsidP="005C671B">
      <w:pPr>
        <w:autoSpaceDE w:val="0"/>
        <w:autoSpaceDN w:val="0"/>
        <w:adjustRightInd w:val="0"/>
        <w:spacing w:line="360" w:lineRule="auto"/>
        <w:jc w:val="left"/>
        <w:rPr>
          <w:rFonts w:eastAsia="Times New Roman"/>
          <w:b/>
          <w:color w:val="000000"/>
          <w:kern w:val="0"/>
          <w:sz w:val="24"/>
          <w:szCs w:val="21"/>
        </w:rPr>
      </w:pPr>
      <w:bookmarkStart w:id="1" w:name="_Hlk44921484"/>
      <w:r w:rsidRPr="00B27A29">
        <w:rPr>
          <w:b/>
          <w:color w:val="000000"/>
          <w:kern w:val="0"/>
          <w:sz w:val="24"/>
        </w:rPr>
        <w:t>4</w:t>
      </w:r>
      <w:r w:rsidRPr="00B27A29">
        <w:rPr>
          <w:rFonts w:eastAsia="Times New Roman"/>
          <w:b/>
          <w:color w:val="000000"/>
          <w:kern w:val="0"/>
          <w:sz w:val="24"/>
        </w:rPr>
        <w:t>.</w:t>
      </w:r>
      <w:r w:rsidRPr="00B27A29">
        <w:rPr>
          <w:b/>
          <w:color w:val="000000"/>
          <w:kern w:val="0"/>
          <w:sz w:val="24"/>
        </w:rPr>
        <w:t xml:space="preserve">1.1 </w:t>
      </w:r>
      <w:r w:rsidRPr="00B27A29">
        <w:rPr>
          <w:b/>
          <w:color w:val="000000"/>
          <w:kern w:val="0"/>
          <w:sz w:val="24"/>
        </w:rPr>
        <w:t>期末兼任私募资产管理计划投资经理的基金经理同时管理的产品情况</w:t>
      </w:r>
      <w:bookmarkEnd w:id="1"/>
    </w:p>
    <w:tbl>
      <w:tblPr>
        <w:tblW w:w="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0"/>
        <w:gridCol w:w="2305"/>
        <w:gridCol w:w="2595"/>
        <w:gridCol w:w="1835"/>
        <w:gridCol w:w="1371"/>
      </w:tblGrid>
      <w:tr w:rsidR="005C671B" w:rsidRPr="00B27A29" w:rsidTr="005C671B">
        <w:tc>
          <w:tcPr>
            <w:tcW w:w="959"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姓名</w:t>
            </w:r>
          </w:p>
        </w:tc>
        <w:tc>
          <w:tcPr>
            <w:tcW w:w="2410"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产品类型</w:t>
            </w:r>
          </w:p>
        </w:tc>
        <w:tc>
          <w:tcPr>
            <w:tcW w:w="269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产品数量（只）</w:t>
            </w:r>
          </w:p>
        </w:tc>
        <w:tc>
          <w:tcPr>
            <w:tcW w:w="1843"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color w:val="000000"/>
                <w:szCs w:val="21"/>
              </w:rPr>
            </w:pPr>
            <w:r w:rsidRPr="00B27A29">
              <w:rPr>
                <w:color w:val="000000"/>
                <w:szCs w:val="21"/>
              </w:rPr>
              <w:t>资产净值</w:t>
            </w:r>
            <w:r w:rsidRPr="00B27A29">
              <w:rPr>
                <w:color w:val="000000"/>
                <w:szCs w:val="21"/>
              </w:rPr>
              <w:t>(</w:t>
            </w:r>
            <w:r w:rsidRPr="00B27A29">
              <w:rPr>
                <w:color w:val="000000"/>
                <w:szCs w:val="21"/>
              </w:rPr>
              <w:t>元</w:t>
            </w: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spacing w:line="288" w:lineRule="auto"/>
              <w:jc w:val="left"/>
              <w:rPr>
                <w:rFonts w:eastAsia="Times New Roman"/>
                <w:color w:val="000000"/>
                <w:szCs w:val="21"/>
              </w:rPr>
            </w:pPr>
            <w:r w:rsidRPr="00B27A29">
              <w:rPr>
                <w:color w:val="000000"/>
                <w:szCs w:val="21"/>
              </w:rPr>
              <w:t>任职时间</w:t>
            </w:r>
          </w:p>
        </w:tc>
      </w:tr>
      <w:tr w:rsidR="005C671B" w:rsidRPr="00B27A29" w:rsidTr="005C671B">
        <w:tc>
          <w:tcPr>
            <w:tcW w:w="959" w:type="dxa"/>
            <w:vMerge w:val="restart"/>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陈思郁</w:t>
            </w: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公募基金</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4</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3,297,514,025.49</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2015-08-04</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私募资产管理计划</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1</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23,052,678.96</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2022-08-26</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其他组合</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c>
          <w:tcPr>
            <w:tcW w:w="1381"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w:t>
            </w:r>
          </w:p>
        </w:tc>
      </w:tr>
      <w:tr w:rsidR="005C671B" w:rsidRPr="00B27A29" w:rsidTr="005C671B">
        <w:tc>
          <w:tcPr>
            <w:tcW w:w="9286" w:type="dxa"/>
            <w:vMerge/>
            <w:tcBorders>
              <w:top w:val="single" w:sz="4" w:space="0" w:color="auto"/>
              <w:left w:val="single" w:sz="4" w:space="0" w:color="auto"/>
              <w:bottom w:val="single" w:sz="4" w:space="0" w:color="auto"/>
              <w:right w:val="single" w:sz="4" w:space="0" w:color="auto"/>
            </w:tcBorders>
            <w:vAlign w:val="center"/>
            <w:hideMark/>
          </w:tcPr>
          <w:p w:rsidR="005C671B" w:rsidRPr="00B27A29" w:rsidRDefault="005C671B">
            <w:pPr>
              <w:widowControl/>
              <w:jc w:val="left"/>
              <w:rPr>
                <w:color w:val="000000"/>
                <w:szCs w:val="21"/>
              </w:rPr>
            </w:pPr>
          </w:p>
        </w:tc>
        <w:tc>
          <w:tcPr>
            <w:tcW w:w="2410"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rFonts w:eastAsia="Times New Roman"/>
                <w:color w:val="000000"/>
                <w:szCs w:val="21"/>
              </w:rPr>
            </w:pPr>
            <w:r w:rsidRPr="00B27A29">
              <w:rPr>
                <w:color w:val="000000"/>
                <w:szCs w:val="21"/>
              </w:rPr>
              <w:t>合计</w:t>
            </w:r>
          </w:p>
        </w:tc>
        <w:tc>
          <w:tcPr>
            <w:tcW w:w="269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5</w:t>
            </w:r>
          </w:p>
        </w:tc>
        <w:tc>
          <w:tcPr>
            <w:tcW w:w="1843" w:type="dxa"/>
            <w:tcBorders>
              <w:top w:val="single" w:sz="4" w:space="0" w:color="auto"/>
              <w:left w:val="single" w:sz="4" w:space="0" w:color="auto"/>
              <w:bottom w:val="single" w:sz="4" w:space="0" w:color="auto"/>
              <w:right w:val="single" w:sz="4" w:space="0" w:color="auto"/>
            </w:tcBorders>
            <w:hideMark/>
          </w:tcPr>
          <w:p w:rsidR="005C671B" w:rsidRPr="00B27A29" w:rsidRDefault="005C671B">
            <w:pPr>
              <w:spacing w:line="288" w:lineRule="auto"/>
              <w:jc w:val="left"/>
              <w:rPr>
                <w:color w:val="000000"/>
                <w:szCs w:val="21"/>
              </w:rPr>
            </w:pPr>
            <w:r w:rsidRPr="00B27A29">
              <w:rPr>
                <w:color w:val="000000"/>
                <w:szCs w:val="21"/>
              </w:rPr>
              <w:t>3,320,566,704.45</w:t>
            </w:r>
          </w:p>
        </w:tc>
        <w:tc>
          <w:tcPr>
            <w:tcW w:w="1381" w:type="dxa"/>
            <w:tcBorders>
              <w:top w:val="single" w:sz="4" w:space="0" w:color="auto"/>
              <w:left w:val="single" w:sz="4" w:space="0" w:color="auto"/>
              <w:bottom w:val="single" w:sz="4" w:space="0" w:color="auto"/>
              <w:right w:val="single" w:sz="4" w:space="0" w:color="auto"/>
            </w:tcBorders>
          </w:tcPr>
          <w:p w:rsidR="005C671B" w:rsidRPr="00B27A29" w:rsidRDefault="005C671B">
            <w:pPr>
              <w:spacing w:line="288" w:lineRule="auto"/>
              <w:jc w:val="left"/>
              <w:rPr>
                <w:color w:val="000000"/>
                <w:szCs w:val="21"/>
              </w:rPr>
            </w:pP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w:t>
      </w:r>
      <w:r>
        <w:rPr>
          <w:rFonts w:eastAsiaTheme="minorEastAsia"/>
          <w:color w:val="000000" w:themeColor="text1"/>
          <w:szCs w:val="21"/>
        </w:rPr>
        <w:t>易等活动，通过系统和人工相结合的方式进行交易执行和监控分析，以确保本公司管理的不同投资组合在授权、研究分析、投资决策、交易执行、业绩评估等投资管理活动相关的环节均得到公平对待。</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w:t>
      </w:r>
      <w:r>
        <w:rPr>
          <w:rFonts w:eastAsiaTheme="minorEastAsia"/>
          <w:color w:val="000000" w:themeColor="text1"/>
          <w:szCs w:val="21"/>
        </w:rPr>
        <w:t>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进入</w:t>
      </w:r>
      <w:r>
        <w:rPr>
          <w:rFonts w:eastAsiaTheme="minorEastAsia"/>
          <w:color w:val="000000" w:themeColor="text1"/>
          <w:szCs w:val="21"/>
        </w:rPr>
        <w:t>2023</w:t>
      </w:r>
      <w:r>
        <w:rPr>
          <w:rFonts w:eastAsiaTheme="minorEastAsia"/>
          <w:color w:val="000000" w:themeColor="text1"/>
          <w:szCs w:val="21"/>
        </w:rPr>
        <w:t>年一季度，市场</w:t>
      </w:r>
      <w:r>
        <w:rPr>
          <w:rFonts w:eastAsiaTheme="minorEastAsia"/>
          <w:color w:val="000000" w:themeColor="text1"/>
          <w:szCs w:val="21"/>
        </w:rPr>
        <w:t>略有好转，社融持续高增，同时出现了难得的结构改善，企业端融资有所恢复，尽管还处于较低水平，体现出经济参与者信心略有修复，或者产业链有补库需求。</w:t>
      </w:r>
      <w:r>
        <w:rPr>
          <w:rFonts w:eastAsiaTheme="minorEastAsia"/>
          <w:color w:val="000000" w:themeColor="text1"/>
          <w:szCs w:val="21"/>
        </w:rPr>
        <w:t>GDP</w:t>
      </w:r>
      <w:r>
        <w:rPr>
          <w:rFonts w:eastAsiaTheme="minorEastAsia"/>
          <w:color w:val="000000" w:themeColor="text1"/>
          <w:szCs w:val="21"/>
        </w:rPr>
        <w:t>增速有所提升，疫情放开后第三产业有序回复，新房销售回暖，第二产业回补库存。整体的经济环境温和修复，给资本市场提供了较好的环境。但目前市场整体略显凌乱，板块轮动较快，上涨持续性较弱，轮换过的主题有</w:t>
      </w:r>
      <w:r>
        <w:rPr>
          <w:rFonts w:eastAsiaTheme="minorEastAsia"/>
          <w:color w:val="000000" w:themeColor="text1"/>
          <w:szCs w:val="21"/>
        </w:rPr>
        <w:t>“</w:t>
      </w:r>
      <w:r>
        <w:rPr>
          <w:rFonts w:eastAsiaTheme="minorEastAsia"/>
          <w:color w:val="000000" w:themeColor="text1"/>
          <w:szCs w:val="21"/>
        </w:rPr>
        <w:t>中特估</w:t>
      </w:r>
      <w:r>
        <w:rPr>
          <w:rFonts w:eastAsiaTheme="minorEastAsia"/>
          <w:color w:val="000000" w:themeColor="text1"/>
          <w:szCs w:val="21"/>
        </w:rPr>
        <w:t>”</w:t>
      </w:r>
      <w:r>
        <w:rPr>
          <w:rFonts w:eastAsiaTheme="minorEastAsia"/>
          <w:color w:val="000000" w:themeColor="text1"/>
          <w:szCs w:val="21"/>
        </w:rPr>
        <w:t>、一带一路、中药、钙钛矿等，但由于持续性较弱，赚钱并不容易。因此整体基金表现欠佳。</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经济稳步修复，尽管目前处于较弱的水平，但随着去年二季度直至年底的低基数，以及积极财政政策的发力，稳信心方针逐步生效，经济的修复速度有望加快；其次，不管美联储后续还会加息几次，今年大概率就是本轮加息周期结束年，国外流动性拐点有望出现；同时，三产业的修复和消费的韧性有望提振经济，提供就业岗位，熨平经济波动。因此对于后市我们依然比较乐观。另外，虽然当前经济弱复苏，很多人对于未来的好转内心存疑，导致市场乍暖还寒，实则难以赚钱，但出于对后续经济的看好、大家信心的恢复，因此我们对市场比较乐观。在安全战略的投资大框架下，我们会重点关注景气度较高的标的，如军工、信创等行业。另外，养殖产业链在猪瘟加剧的背景下有望加速去化。</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:-5.64%</w:t>
      </w:r>
      <w:r>
        <w:rPr>
          <w:rFonts w:eastAsiaTheme="minorEastAsia"/>
          <w:color w:val="000000" w:themeColor="text1"/>
          <w:szCs w:val="21"/>
        </w:rPr>
        <w:t>，同期业绩比较基准收益率为</w:t>
      </w:r>
      <w:r>
        <w:rPr>
          <w:rFonts w:eastAsiaTheme="minorEastAsia"/>
          <w:color w:val="000000" w:themeColor="text1"/>
          <w:szCs w:val="21"/>
        </w:rPr>
        <w:t>:4.66%</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:-5.76%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:4.66%</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269,760,078.24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81.87</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269,760,078.24</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81.87</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59,459,780.83</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18.05</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268,967.27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329,488,826.34</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9,321,309.00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2.93</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1,882,314.58</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0.59</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160,889,687.89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50.55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29,239,381.60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9.19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6,846,438.96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2.15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5,115,823.30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1.61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22,924,640.21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26,360,634.00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8.28</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6,499,448.70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680,400.00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0.21</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269,760,078.24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84.75</w:t>
            </w:r>
          </w:p>
        </w:tc>
      </w:tr>
    </w:tbl>
    <w:p w:rsidR="00B27A29" w:rsidRPr="00B27A29" w:rsidRDefault="00B27A29" w:rsidP="00B27A29">
      <w:pPr>
        <w:spacing w:line="360" w:lineRule="auto"/>
        <w:rPr>
          <w:rFonts w:eastAsiaTheme="minorEastAsia"/>
          <w:szCs w:val="21"/>
        </w:rPr>
      </w:pPr>
      <w:bookmarkStart w:id="2"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期末按公允价值占基金资产净值比例大小排序的股票投资明细</w:t>
      </w:r>
      <w:r w:rsidRPr="00B27A29">
        <w:rPr>
          <w:rFonts w:asciiTheme="minorEastAsia" w:eastAsiaTheme="minorEastAsia" w:hAnsiTheme="minorEastAsia" w:hint="eastAsia"/>
          <w:b/>
          <w:bCs/>
          <w:kern w:val="0"/>
          <w:szCs w:val="21"/>
        </w:rPr>
        <w:cr/>
      </w:r>
      <w:r w:rsidRPr="00B27A29">
        <w:rPr>
          <w:rFonts w:eastAsiaTheme="minorEastAsia"/>
          <w:b/>
          <w:bCs/>
          <w:kern w:val="0"/>
          <w:szCs w:val="21"/>
        </w:rPr>
        <w:t>5.3.1</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836456">
        <w:tc>
          <w:tcPr>
            <w:tcW w:w="817" w:type="dxa"/>
            <w:vAlign w:val="center"/>
          </w:tcPr>
          <w:p w:rsidR="00836456" w:rsidRDefault="00661786">
            <w:pPr>
              <w:jc w:val="center"/>
            </w:pPr>
            <w:r>
              <w:rPr>
                <w:rFonts w:eastAsiaTheme="minorEastAsia"/>
                <w:kern w:val="0"/>
                <w:szCs w:val="21"/>
              </w:rPr>
              <w:t>1</w:t>
            </w:r>
          </w:p>
        </w:tc>
        <w:tc>
          <w:tcPr>
            <w:tcW w:w="1276" w:type="dxa"/>
            <w:vAlign w:val="center"/>
          </w:tcPr>
          <w:p w:rsidR="00836456" w:rsidRDefault="00661786">
            <w:pPr>
              <w:jc w:val="center"/>
            </w:pPr>
            <w:r>
              <w:rPr>
                <w:rFonts w:eastAsiaTheme="minorEastAsia"/>
                <w:kern w:val="0"/>
                <w:szCs w:val="21"/>
              </w:rPr>
              <w:t>600900</w:t>
            </w:r>
          </w:p>
        </w:tc>
        <w:tc>
          <w:tcPr>
            <w:tcW w:w="1701" w:type="dxa"/>
            <w:vAlign w:val="center"/>
          </w:tcPr>
          <w:p w:rsidR="00836456" w:rsidRDefault="00661786">
            <w:pPr>
              <w:jc w:val="center"/>
            </w:pPr>
            <w:r>
              <w:rPr>
                <w:rFonts w:eastAsiaTheme="minorEastAsia"/>
                <w:kern w:val="0"/>
                <w:szCs w:val="21"/>
              </w:rPr>
              <w:t>长江电力</w:t>
            </w:r>
          </w:p>
        </w:tc>
        <w:tc>
          <w:tcPr>
            <w:tcW w:w="1276" w:type="dxa"/>
            <w:vAlign w:val="center"/>
          </w:tcPr>
          <w:p w:rsidR="00836456" w:rsidRDefault="00661786">
            <w:pPr>
              <w:jc w:val="right"/>
            </w:pPr>
            <w:r>
              <w:rPr>
                <w:rFonts w:eastAsiaTheme="minorEastAsia"/>
                <w:kern w:val="0"/>
                <w:szCs w:val="21"/>
              </w:rPr>
              <w:t>908,800</w:t>
            </w:r>
          </w:p>
        </w:tc>
        <w:tc>
          <w:tcPr>
            <w:tcW w:w="1842" w:type="dxa"/>
            <w:vAlign w:val="center"/>
          </w:tcPr>
          <w:p w:rsidR="00836456" w:rsidRDefault="00661786">
            <w:pPr>
              <w:jc w:val="right"/>
            </w:pPr>
            <w:r>
              <w:rPr>
                <w:rFonts w:eastAsiaTheme="minorEastAsia"/>
                <w:kern w:val="0"/>
                <w:szCs w:val="21"/>
              </w:rPr>
              <w:t>19,312,000.00</w:t>
            </w:r>
          </w:p>
        </w:tc>
        <w:tc>
          <w:tcPr>
            <w:tcW w:w="1616" w:type="dxa"/>
            <w:vAlign w:val="center"/>
          </w:tcPr>
          <w:p w:rsidR="00836456" w:rsidRDefault="00661786">
            <w:pPr>
              <w:jc w:val="right"/>
            </w:pPr>
            <w:r>
              <w:rPr>
                <w:rFonts w:eastAsiaTheme="minorEastAsia"/>
                <w:kern w:val="0"/>
                <w:szCs w:val="21"/>
              </w:rPr>
              <w:t>6.07</w:t>
            </w:r>
          </w:p>
        </w:tc>
      </w:tr>
      <w:tr w:rsidR="00836456">
        <w:tc>
          <w:tcPr>
            <w:tcW w:w="817" w:type="dxa"/>
            <w:vAlign w:val="center"/>
          </w:tcPr>
          <w:p w:rsidR="00836456" w:rsidRDefault="00661786">
            <w:pPr>
              <w:jc w:val="center"/>
            </w:pPr>
            <w:r>
              <w:rPr>
                <w:rFonts w:eastAsiaTheme="minorEastAsia"/>
                <w:kern w:val="0"/>
                <w:szCs w:val="21"/>
              </w:rPr>
              <w:t>2</w:t>
            </w:r>
          </w:p>
        </w:tc>
        <w:tc>
          <w:tcPr>
            <w:tcW w:w="1276" w:type="dxa"/>
            <w:vAlign w:val="center"/>
          </w:tcPr>
          <w:p w:rsidR="00836456" w:rsidRDefault="00661786">
            <w:pPr>
              <w:jc w:val="center"/>
            </w:pPr>
            <w:r>
              <w:rPr>
                <w:rFonts w:eastAsiaTheme="minorEastAsia"/>
                <w:kern w:val="0"/>
                <w:szCs w:val="21"/>
              </w:rPr>
              <w:t>603338</w:t>
            </w:r>
          </w:p>
        </w:tc>
        <w:tc>
          <w:tcPr>
            <w:tcW w:w="1701" w:type="dxa"/>
            <w:vAlign w:val="center"/>
          </w:tcPr>
          <w:p w:rsidR="00836456" w:rsidRDefault="00661786">
            <w:pPr>
              <w:jc w:val="center"/>
            </w:pPr>
            <w:r>
              <w:rPr>
                <w:rFonts w:eastAsiaTheme="minorEastAsia"/>
                <w:kern w:val="0"/>
                <w:szCs w:val="21"/>
              </w:rPr>
              <w:t>浙江鼎力</w:t>
            </w:r>
          </w:p>
        </w:tc>
        <w:tc>
          <w:tcPr>
            <w:tcW w:w="1276" w:type="dxa"/>
            <w:vAlign w:val="center"/>
          </w:tcPr>
          <w:p w:rsidR="00836456" w:rsidRDefault="00661786">
            <w:pPr>
              <w:jc w:val="right"/>
            </w:pPr>
            <w:r>
              <w:rPr>
                <w:rFonts w:eastAsiaTheme="minorEastAsia"/>
                <w:kern w:val="0"/>
                <w:szCs w:val="21"/>
              </w:rPr>
              <w:t>252,768</w:t>
            </w:r>
          </w:p>
        </w:tc>
        <w:tc>
          <w:tcPr>
            <w:tcW w:w="1842" w:type="dxa"/>
            <w:vAlign w:val="center"/>
          </w:tcPr>
          <w:p w:rsidR="00836456" w:rsidRDefault="00661786">
            <w:pPr>
              <w:jc w:val="right"/>
            </w:pPr>
            <w:r>
              <w:rPr>
                <w:rFonts w:eastAsiaTheme="minorEastAsia"/>
                <w:kern w:val="0"/>
                <w:szCs w:val="21"/>
              </w:rPr>
              <w:t>13,849,158.72</w:t>
            </w:r>
          </w:p>
        </w:tc>
        <w:tc>
          <w:tcPr>
            <w:tcW w:w="1616" w:type="dxa"/>
            <w:vAlign w:val="center"/>
          </w:tcPr>
          <w:p w:rsidR="00836456" w:rsidRDefault="00661786">
            <w:pPr>
              <w:jc w:val="right"/>
            </w:pPr>
            <w:r>
              <w:rPr>
                <w:rFonts w:eastAsiaTheme="minorEastAsia"/>
                <w:kern w:val="0"/>
                <w:szCs w:val="21"/>
              </w:rPr>
              <w:t>4.35</w:t>
            </w:r>
          </w:p>
        </w:tc>
      </w:tr>
      <w:tr w:rsidR="00836456">
        <w:tc>
          <w:tcPr>
            <w:tcW w:w="817" w:type="dxa"/>
            <w:vAlign w:val="center"/>
          </w:tcPr>
          <w:p w:rsidR="00836456" w:rsidRDefault="00661786">
            <w:pPr>
              <w:jc w:val="center"/>
            </w:pPr>
            <w:r>
              <w:rPr>
                <w:rFonts w:eastAsiaTheme="minorEastAsia"/>
                <w:kern w:val="0"/>
                <w:szCs w:val="21"/>
              </w:rPr>
              <w:t>3</w:t>
            </w:r>
          </w:p>
        </w:tc>
        <w:tc>
          <w:tcPr>
            <w:tcW w:w="1276" w:type="dxa"/>
            <w:vAlign w:val="center"/>
          </w:tcPr>
          <w:p w:rsidR="00836456" w:rsidRDefault="00661786">
            <w:pPr>
              <w:jc w:val="center"/>
            </w:pPr>
            <w:r>
              <w:rPr>
                <w:rFonts w:eastAsiaTheme="minorEastAsia"/>
                <w:kern w:val="0"/>
                <w:szCs w:val="21"/>
              </w:rPr>
              <w:t>002129</w:t>
            </w:r>
          </w:p>
        </w:tc>
        <w:tc>
          <w:tcPr>
            <w:tcW w:w="1701" w:type="dxa"/>
            <w:vAlign w:val="center"/>
          </w:tcPr>
          <w:p w:rsidR="00836456" w:rsidRDefault="00661786">
            <w:pPr>
              <w:jc w:val="center"/>
            </w:pPr>
            <w:r>
              <w:rPr>
                <w:rFonts w:eastAsiaTheme="minorEastAsia"/>
                <w:kern w:val="0"/>
                <w:szCs w:val="21"/>
              </w:rPr>
              <w:t>TCL</w:t>
            </w:r>
            <w:r>
              <w:rPr>
                <w:rFonts w:eastAsiaTheme="minorEastAsia"/>
                <w:kern w:val="0"/>
                <w:szCs w:val="21"/>
              </w:rPr>
              <w:t>中环</w:t>
            </w:r>
          </w:p>
        </w:tc>
        <w:tc>
          <w:tcPr>
            <w:tcW w:w="1276" w:type="dxa"/>
            <w:vAlign w:val="center"/>
          </w:tcPr>
          <w:p w:rsidR="00836456" w:rsidRDefault="00661786">
            <w:pPr>
              <w:jc w:val="right"/>
            </w:pPr>
            <w:r>
              <w:rPr>
                <w:rFonts w:eastAsiaTheme="minorEastAsia"/>
                <w:kern w:val="0"/>
                <w:szCs w:val="21"/>
              </w:rPr>
              <w:t>213,800</w:t>
            </w:r>
          </w:p>
        </w:tc>
        <w:tc>
          <w:tcPr>
            <w:tcW w:w="1842" w:type="dxa"/>
            <w:vAlign w:val="center"/>
          </w:tcPr>
          <w:p w:rsidR="00836456" w:rsidRDefault="00661786">
            <w:pPr>
              <w:jc w:val="right"/>
            </w:pPr>
            <w:r>
              <w:rPr>
                <w:rFonts w:eastAsiaTheme="minorEastAsia"/>
                <w:kern w:val="0"/>
                <w:szCs w:val="21"/>
              </w:rPr>
              <w:t>10,360,748.00</w:t>
            </w:r>
          </w:p>
        </w:tc>
        <w:tc>
          <w:tcPr>
            <w:tcW w:w="1616" w:type="dxa"/>
            <w:vAlign w:val="center"/>
          </w:tcPr>
          <w:p w:rsidR="00836456" w:rsidRDefault="00661786">
            <w:pPr>
              <w:jc w:val="right"/>
            </w:pPr>
            <w:r>
              <w:rPr>
                <w:rFonts w:eastAsiaTheme="minorEastAsia"/>
                <w:kern w:val="0"/>
                <w:szCs w:val="21"/>
              </w:rPr>
              <w:t>3.26</w:t>
            </w:r>
          </w:p>
        </w:tc>
      </w:tr>
      <w:tr w:rsidR="00836456">
        <w:tc>
          <w:tcPr>
            <w:tcW w:w="817" w:type="dxa"/>
            <w:vAlign w:val="center"/>
          </w:tcPr>
          <w:p w:rsidR="00836456" w:rsidRDefault="00661786">
            <w:pPr>
              <w:jc w:val="center"/>
            </w:pPr>
            <w:r>
              <w:rPr>
                <w:rFonts w:eastAsiaTheme="minorEastAsia"/>
                <w:kern w:val="0"/>
                <w:szCs w:val="21"/>
              </w:rPr>
              <w:t>4</w:t>
            </w:r>
          </w:p>
        </w:tc>
        <w:tc>
          <w:tcPr>
            <w:tcW w:w="1276" w:type="dxa"/>
            <w:vAlign w:val="center"/>
          </w:tcPr>
          <w:p w:rsidR="00836456" w:rsidRDefault="00661786">
            <w:pPr>
              <w:jc w:val="center"/>
            </w:pPr>
            <w:r>
              <w:rPr>
                <w:rFonts w:eastAsiaTheme="minorEastAsia"/>
                <w:kern w:val="0"/>
                <w:szCs w:val="21"/>
              </w:rPr>
              <w:t>600461</w:t>
            </w:r>
          </w:p>
        </w:tc>
        <w:tc>
          <w:tcPr>
            <w:tcW w:w="1701" w:type="dxa"/>
            <w:vAlign w:val="center"/>
          </w:tcPr>
          <w:p w:rsidR="00836456" w:rsidRDefault="00661786">
            <w:pPr>
              <w:jc w:val="center"/>
            </w:pPr>
            <w:r>
              <w:rPr>
                <w:rFonts w:eastAsiaTheme="minorEastAsia"/>
                <w:kern w:val="0"/>
                <w:szCs w:val="21"/>
              </w:rPr>
              <w:t>洪城环境</w:t>
            </w:r>
          </w:p>
        </w:tc>
        <w:tc>
          <w:tcPr>
            <w:tcW w:w="1276" w:type="dxa"/>
            <w:vAlign w:val="center"/>
          </w:tcPr>
          <w:p w:rsidR="00836456" w:rsidRDefault="00661786">
            <w:pPr>
              <w:jc w:val="right"/>
            </w:pPr>
            <w:r>
              <w:rPr>
                <w:rFonts w:eastAsiaTheme="minorEastAsia"/>
                <w:kern w:val="0"/>
                <w:szCs w:val="21"/>
              </w:rPr>
              <w:t>1,379,800</w:t>
            </w:r>
          </w:p>
        </w:tc>
        <w:tc>
          <w:tcPr>
            <w:tcW w:w="1842" w:type="dxa"/>
            <w:vAlign w:val="center"/>
          </w:tcPr>
          <w:p w:rsidR="00836456" w:rsidRDefault="00661786">
            <w:pPr>
              <w:jc w:val="right"/>
            </w:pPr>
            <w:r>
              <w:rPr>
                <w:rFonts w:eastAsiaTheme="minorEastAsia"/>
                <w:kern w:val="0"/>
                <w:szCs w:val="21"/>
              </w:rPr>
              <w:t>9,920,762.00</w:t>
            </w:r>
          </w:p>
        </w:tc>
        <w:tc>
          <w:tcPr>
            <w:tcW w:w="1616" w:type="dxa"/>
            <w:vAlign w:val="center"/>
          </w:tcPr>
          <w:p w:rsidR="00836456" w:rsidRDefault="00661786">
            <w:pPr>
              <w:jc w:val="right"/>
            </w:pPr>
            <w:r>
              <w:rPr>
                <w:rFonts w:eastAsiaTheme="minorEastAsia"/>
                <w:kern w:val="0"/>
                <w:szCs w:val="21"/>
              </w:rPr>
              <w:t>3.12</w:t>
            </w:r>
          </w:p>
        </w:tc>
      </w:tr>
      <w:tr w:rsidR="00836456">
        <w:tc>
          <w:tcPr>
            <w:tcW w:w="817" w:type="dxa"/>
            <w:vAlign w:val="center"/>
          </w:tcPr>
          <w:p w:rsidR="00836456" w:rsidRDefault="00661786">
            <w:pPr>
              <w:jc w:val="center"/>
            </w:pPr>
            <w:r>
              <w:rPr>
                <w:rFonts w:eastAsiaTheme="minorEastAsia"/>
                <w:kern w:val="0"/>
                <w:szCs w:val="21"/>
              </w:rPr>
              <w:t>5</w:t>
            </w:r>
          </w:p>
        </w:tc>
        <w:tc>
          <w:tcPr>
            <w:tcW w:w="1276" w:type="dxa"/>
            <w:vAlign w:val="center"/>
          </w:tcPr>
          <w:p w:rsidR="00836456" w:rsidRDefault="00661786">
            <w:pPr>
              <w:jc w:val="center"/>
            </w:pPr>
            <w:r>
              <w:rPr>
                <w:rFonts w:eastAsiaTheme="minorEastAsia"/>
                <w:kern w:val="0"/>
                <w:szCs w:val="21"/>
              </w:rPr>
              <w:t>001269</w:t>
            </w:r>
          </w:p>
        </w:tc>
        <w:tc>
          <w:tcPr>
            <w:tcW w:w="1701" w:type="dxa"/>
            <w:vAlign w:val="center"/>
          </w:tcPr>
          <w:p w:rsidR="00836456" w:rsidRDefault="00661786">
            <w:pPr>
              <w:jc w:val="center"/>
            </w:pPr>
            <w:r>
              <w:rPr>
                <w:rFonts w:eastAsiaTheme="minorEastAsia"/>
                <w:kern w:val="0"/>
                <w:szCs w:val="21"/>
              </w:rPr>
              <w:t>欧晶科技</w:t>
            </w:r>
          </w:p>
        </w:tc>
        <w:tc>
          <w:tcPr>
            <w:tcW w:w="1276" w:type="dxa"/>
            <w:vAlign w:val="center"/>
          </w:tcPr>
          <w:p w:rsidR="00836456" w:rsidRDefault="00661786">
            <w:pPr>
              <w:jc w:val="right"/>
            </w:pPr>
            <w:r>
              <w:rPr>
                <w:rFonts w:eastAsiaTheme="minorEastAsia"/>
                <w:kern w:val="0"/>
                <w:szCs w:val="21"/>
              </w:rPr>
              <w:t>78,300</w:t>
            </w:r>
          </w:p>
        </w:tc>
        <w:tc>
          <w:tcPr>
            <w:tcW w:w="1842" w:type="dxa"/>
            <w:vAlign w:val="center"/>
          </w:tcPr>
          <w:p w:rsidR="00836456" w:rsidRDefault="00661786">
            <w:pPr>
              <w:jc w:val="right"/>
            </w:pPr>
            <w:r>
              <w:rPr>
                <w:rFonts w:eastAsiaTheme="minorEastAsia"/>
                <w:kern w:val="0"/>
                <w:szCs w:val="21"/>
              </w:rPr>
              <w:t>9,732,690.00</w:t>
            </w:r>
          </w:p>
        </w:tc>
        <w:tc>
          <w:tcPr>
            <w:tcW w:w="1616" w:type="dxa"/>
            <w:vAlign w:val="center"/>
          </w:tcPr>
          <w:p w:rsidR="00836456" w:rsidRDefault="00661786">
            <w:pPr>
              <w:jc w:val="right"/>
            </w:pPr>
            <w:r>
              <w:rPr>
                <w:rFonts w:eastAsiaTheme="minorEastAsia"/>
                <w:kern w:val="0"/>
                <w:szCs w:val="21"/>
              </w:rPr>
              <w:t>3.06</w:t>
            </w:r>
          </w:p>
        </w:tc>
      </w:tr>
      <w:tr w:rsidR="00836456">
        <w:tc>
          <w:tcPr>
            <w:tcW w:w="817" w:type="dxa"/>
            <w:vAlign w:val="center"/>
          </w:tcPr>
          <w:p w:rsidR="00836456" w:rsidRDefault="00661786">
            <w:pPr>
              <w:jc w:val="center"/>
            </w:pPr>
            <w:r>
              <w:rPr>
                <w:rFonts w:eastAsiaTheme="minorEastAsia"/>
                <w:kern w:val="0"/>
                <w:szCs w:val="21"/>
              </w:rPr>
              <w:t>6</w:t>
            </w:r>
          </w:p>
        </w:tc>
        <w:tc>
          <w:tcPr>
            <w:tcW w:w="1276" w:type="dxa"/>
            <w:vAlign w:val="center"/>
          </w:tcPr>
          <w:p w:rsidR="00836456" w:rsidRDefault="00661786">
            <w:pPr>
              <w:jc w:val="center"/>
            </w:pPr>
            <w:r>
              <w:rPr>
                <w:rFonts w:eastAsiaTheme="minorEastAsia"/>
                <w:kern w:val="0"/>
                <w:szCs w:val="21"/>
              </w:rPr>
              <w:t>688066</w:t>
            </w:r>
          </w:p>
        </w:tc>
        <w:tc>
          <w:tcPr>
            <w:tcW w:w="1701" w:type="dxa"/>
            <w:vAlign w:val="center"/>
          </w:tcPr>
          <w:p w:rsidR="00836456" w:rsidRDefault="00661786">
            <w:pPr>
              <w:jc w:val="center"/>
            </w:pPr>
            <w:r>
              <w:rPr>
                <w:rFonts w:eastAsiaTheme="minorEastAsia"/>
                <w:kern w:val="0"/>
                <w:szCs w:val="21"/>
              </w:rPr>
              <w:t>航天宏图</w:t>
            </w:r>
          </w:p>
        </w:tc>
        <w:tc>
          <w:tcPr>
            <w:tcW w:w="1276" w:type="dxa"/>
            <w:vAlign w:val="center"/>
          </w:tcPr>
          <w:p w:rsidR="00836456" w:rsidRDefault="00661786">
            <w:pPr>
              <w:jc w:val="right"/>
            </w:pPr>
            <w:r>
              <w:rPr>
                <w:rFonts w:eastAsiaTheme="minorEastAsia"/>
                <w:kern w:val="0"/>
                <w:szCs w:val="21"/>
              </w:rPr>
              <w:t>98,185</w:t>
            </w:r>
          </w:p>
        </w:tc>
        <w:tc>
          <w:tcPr>
            <w:tcW w:w="1842" w:type="dxa"/>
            <w:vAlign w:val="center"/>
          </w:tcPr>
          <w:p w:rsidR="00836456" w:rsidRDefault="00661786">
            <w:pPr>
              <w:jc w:val="right"/>
            </w:pPr>
            <w:r>
              <w:rPr>
                <w:rFonts w:eastAsiaTheme="minorEastAsia"/>
                <w:kern w:val="0"/>
                <w:szCs w:val="21"/>
              </w:rPr>
              <w:t>9,352,121.25</w:t>
            </w:r>
          </w:p>
        </w:tc>
        <w:tc>
          <w:tcPr>
            <w:tcW w:w="1616" w:type="dxa"/>
            <w:vAlign w:val="center"/>
          </w:tcPr>
          <w:p w:rsidR="00836456" w:rsidRDefault="00661786">
            <w:pPr>
              <w:jc w:val="right"/>
            </w:pPr>
            <w:r>
              <w:rPr>
                <w:rFonts w:eastAsiaTheme="minorEastAsia"/>
                <w:kern w:val="0"/>
                <w:szCs w:val="21"/>
              </w:rPr>
              <w:t>2.94</w:t>
            </w:r>
          </w:p>
        </w:tc>
      </w:tr>
      <w:tr w:rsidR="00836456">
        <w:tc>
          <w:tcPr>
            <w:tcW w:w="817" w:type="dxa"/>
            <w:vAlign w:val="center"/>
          </w:tcPr>
          <w:p w:rsidR="00836456" w:rsidRDefault="00661786">
            <w:pPr>
              <w:jc w:val="center"/>
            </w:pPr>
            <w:r>
              <w:rPr>
                <w:rFonts w:eastAsiaTheme="minorEastAsia"/>
                <w:kern w:val="0"/>
                <w:szCs w:val="21"/>
              </w:rPr>
              <w:t>7</w:t>
            </w:r>
          </w:p>
        </w:tc>
        <w:tc>
          <w:tcPr>
            <w:tcW w:w="1276" w:type="dxa"/>
            <w:vAlign w:val="center"/>
          </w:tcPr>
          <w:p w:rsidR="00836456" w:rsidRDefault="00661786">
            <w:pPr>
              <w:jc w:val="center"/>
            </w:pPr>
            <w:r>
              <w:rPr>
                <w:rFonts w:eastAsiaTheme="minorEastAsia"/>
                <w:kern w:val="0"/>
                <w:szCs w:val="21"/>
              </w:rPr>
              <w:t>688297</w:t>
            </w:r>
          </w:p>
        </w:tc>
        <w:tc>
          <w:tcPr>
            <w:tcW w:w="1701" w:type="dxa"/>
            <w:vAlign w:val="center"/>
          </w:tcPr>
          <w:p w:rsidR="00836456" w:rsidRDefault="00661786">
            <w:pPr>
              <w:jc w:val="center"/>
            </w:pPr>
            <w:r>
              <w:rPr>
                <w:rFonts w:eastAsiaTheme="minorEastAsia"/>
                <w:kern w:val="0"/>
                <w:szCs w:val="21"/>
              </w:rPr>
              <w:t>中无人机</w:t>
            </w:r>
          </w:p>
        </w:tc>
        <w:tc>
          <w:tcPr>
            <w:tcW w:w="1276" w:type="dxa"/>
            <w:vAlign w:val="center"/>
          </w:tcPr>
          <w:p w:rsidR="00836456" w:rsidRDefault="00661786">
            <w:pPr>
              <w:jc w:val="right"/>
            </w:pPr>
            <w:r>
              <w:rPr>
                <w:rFonts w:eastAsiaTheme="minorEastAsia"/>
                <w:kern w:val="0"/>
                <w:szCs w:val="21"/>
              </w:rPr>
              <w:t>150,727</w:t>
            </w:r>
          </w:p>
        </w:tc>
        <w:tc>
          <w:tcPr>
            <w:tcW w:w="1842" w:type="dxa"/>
            <w:vAlign w:val="center"/>
          </w:tcPr>
          <w:p w:rsidR="00836456" w:rsidRDefault="00661786">
            <w:pPr>
              <w:jc w:val="right"/>
            </w:pPr>
            <w:r>
              <w:rPr>
                <w:rFonts w:eastAsiaTheme="minorEastAsia"/>
                <w:kern w:val="0"/>
                <w:szCs w:val="21"/>
              </w:rPr>
              <w:t>8,544,713.63</w:t>
            </w:r>
          </w:p>
        </w:tc>
        <w:tc>
          <w:tcPr>
            <w:tcW w:w="1616" w:type="dxa"/>
            <w:vAlign w:val="center"/>
          </w:tcPr>
          <w:p w:rsidR="00836456" w:rsidRDefault="00661786">
            <w:pPr>
              <w:jc w:val="right"/>
            </w:pPr>
            <w:r>
              <w:rPr>
                <w:rFonts w:eastAsiaTheme="minorEastAsia"/>
                <w:kern w:val="0"/>
                <w:szCs w:val="21"/>
              </w:rPr>
              <w:t>2.68</w:t>
            </w:r>
          </w:p>
        </w:tc>
      </w:tr>
      <w:tr w:rsidR="00836456">
        <w:tc>
          <w:tcPr>
            <w:tcW w:w="817" w:type="dxa"/>
            <w:vAlign w:val="center"/>
          </w:tcPr>
          <w:p w:rsidR="00836456" w:rsidRDefault="00661786">
            <w:pPr>
              <w:jc w:val="center"/>
            </w:pPr>
            <w:r>
              <w:rPr>
                <w:rFonts w:eastAsiaTheme="minorEastAsia"/>
                <w:kern w:val="0"/>
                <w:szCs w:val="21"/>
              </w:rPr>
              <w:t>8</w:t>
            </w:r>
          </w:p>
        </w:tc>
        <w:tc>
          <w:tcPr>
            <w:tcW w:w="1276" w:type="dxa"/>
            <w:vAlign w:val="center"/>
          </w:tcPr>
          <w:p w:rsidR="00836456" w:rsidRDefault="00661786">
            <w:pPr>
              <w:jc w:val="center"/>
            </w:pPr>
            <w:r>
              <w:rPr>
                <w:rFonts w:eastAsiaTheme="minorEastAsia"/>
                <w:kern w:val="0"/>
                <w:szCs w:val="21"/>
              </w:rPr>
              <w:t>001270</w:t>
            </w:r>
          </w:p>
        </w:tc>
        <w:tc>
          <w:tcPr>
            <w:tcW w:w="1701" w:type="dxa"/>
            <w:vAlign w:val="center"/>
          </w:tcPr>
          <w:p w:rsidR="00836456" w:rsidRDefault="00661786">
            <w:pPr>
              <w:jc w:val="center"/>
            </w:pPr>
            <w:r>
              <w:rPr>
                <w:rFonts w:eastAsiaTheme="minorEastAsia"/>
                <w:kern w:val="0"/>
                <w:szCs w:val="21"/>
              </w:rPr>
              <w:t>铖昌科技</w:t>
            </w:r>
          </w:p>
        </w:tc>
        <w:tc>
          <w:tcPr>
            <w:tcW w:w="1276" w:type="dxa"/>
            <w:vAlign w:val="center"/>
          </w:tcPr>
          <w:p w:rsidR="00836456" w:rsidRDefault="00661786">
            <w:pPr>
              <w:jc w:val="right"/>
            </w:pPr>
            <w:r>
              <w:rPr>
                <w:rFonts w:eastAsiaTheme="minorEastAsia"/>
                <w:kern w:val="0"/>
                <w:szCs w:val="21"/>
              </w:rPr>
              <w:t>68,160</w:t>
            </w:r>
          </w:p>
        </w:tc>
        <w:tc>
          <w:tcPr>
            <w:tcW w:w="1842" w:type="dxa"/>
            <w:vAlign w:val="center"/>
          </w:tcPr>
          <w:p w:rsidR="00836456" w:rsidRDefault="00661786">
            <w:pPr>
              <w:jc w:val="right"/>
            </w:pPr>
            <w:r>
              <w:rPr>
                <w:rFonts w:eastAsiaTheme="minorEastAsia"/>
                <w:kern w:val="0"/>
                <w:szCs w:val="21"/>
              </w:rPr>
              <w:t>7,847,942.40</w:t>
            </w:r>
          </w:p>
        </w:tc>
        <w:tc>
          <w:tcPr>
            <w:tcW w:w="1616" w:type="dxa"/>
            <w:vAlign w:val="center"/>
          </w:tcPr>
          <w:p w:rsidR="00836456" w:rsidRDefault="00661786">
            <w:pPr>
              <w:jc w:val="right"/>
            </w:pPr>
            <w:r>
              <w:rPr>
                <w:rFonts w:eastAsiaTheme="minorEastAsia"/>
                <w:kern w:val="0"/>
                <w:szCs w:val="21"/>
              </w:rPr>
              <w:t>2.47</w:t>
            </w:r>
          </w:p>
        </w:tc>
      </w:tr>
      <w:tr w:rsidR="00836456">
        <w:tc>
          <w:tcPr>
            <w:tcW w:w="817" w:type="dxa"/>
            <w:vAlign w:val="center"/>
          </w:tcPr>
          <w:p w:rsidR="00836456" w:rsidRDefault="00661786">
            <w:pPr>
              <w:jc w:val="center"/>
            </w:pPr>
            <w:r>
              <w:rPr>
                <w:rFonts w:eastAsiaTheme="minorEastAsia"/>
                <w:kern w:val="0"/>
                <w:szCs w:val="21"/>
              </w:rPr>
              <w:t>9</w:t>
            </w:r>
          </w:p>
        </w:tc>
        <w:tc>
          <w:tcPr>
            <w:tcW w:w="1276" w:type="dxa"/>
            <w:vAlign w:val="center"/>
          </w:tcPr>
          <w:p w:rsidR="00836456" w:rsidRDefault="00661786">
            <w:pPr>
              <w:jc w:val="center"/>
            </w:pPr>
            <w:r>
              <w:rPr>
                <w:rFonts w:eastAsiaTheme="minorEastAsia"/>
                <w:kern w:val="0"/>
                <w:szCs w:val="21"/>
              </w:rPr>
              <w:t>600481</w:t>
            </w:r>
          </w:p>
        </w:tc>
        <w:tc>
          <w:tcPr>
            <w:tcW w:w="1701" w:type="dxa"/>
            <w:vAlign w:val="center"/>
          </w:tcPr>
          <w:p w:rsidR="00836456" w:rsidRDefault="00661786">
            <w:pPr>
              <w:jc w:val="center"/>
            </w:pPr>
            <w:r>
              <w:rPr>
                <w:rFonts w:eastAsiaTheme="minorEastAsia"/>
                <w:kern w:val="0"/>
                <w:szCs w:val="21"/>
              </w:rPr>
              <w:t>双良节能</w:t>
            </w:r>
          </w:p>
        </w:tc>
        <w:tc>
          <w:tcPr>
            <w:tcW w:w="1276" w:type="dxa"/>
            <w:vAlign w:val="center"/>
          </w:tcPr>
          <w:p w:rsidR="00836456" w:rsidRDefault="00661786">
            <w:pPr>
              <w:jc w:val="right"/>
            </w:pPr>
            <w:r>
              <w:rPr>
                <w:rFonts w:eastAsiaTheme="minorEastAsia"/>
                <w:kern w:val="0"/>
                <w:szCs w:val="21"/>
              </w:rPr>
              <w:t>490,900</w:t>
            </w:r>
          </w:p>
        </w:tc>
        <w:tc>
          <w:tcPr>
            <w:tcW w:w="1842" w:type="dxa"/>
            <w:vAlign w:val="center"/>
          </w:tcPr>
          <w:p w:rsidR="00836456" w:rsidRDefault="00661786">
            <w:pPr>
              <w:jc w:val="right"/>
            </w:pPr>
            <w:r>
              <w:rPr>
                <w:rFonts w:eastAsiaTheme="minorEastAsia"/>
                <w:kern w:val="0"/>
                <w:szCs w:val="21"/>
              </w:rPr>
              <w:t>7,702,221.00</w:t>
            </w:r>
          </w:p>
        </w:tc>
        <w:tc>
          <w:tcPr>
            <w:tcW w:w="1616" w:type="dxa"/>
            <w:vAlign w:val="center"/>
          </w:tcPr>
          <w:p w:rsidR="00836456" w:rsidRDefault="00661786">
            <w:pPr>
              <w:jc w:val="right"/>
            </w:pPr>
            <w:r>
              <w:rPr>
                <w:rFonts w:eastAsiaTheme="minorEastAsia"/>
                <w:kern w:val="0"/>
                <w:szCs w:val="21"/>
              </w:rPr>
              <w:t>2.42</w:t>
            </w:r>
          </w:p>
        </w:tc>
      </w:tr>
      <w:tr w:rsidR="00836456">
        <w:tc>
          <w:tcPr>
            <w:tcW w:w="817" w:type="dxa"/>
            <w:vAlign w:val="center"/>
          </w:tcPr>
          <w:p w:rsidR="00836456" w:rsidRDefault="00661786">
            <w:pPr>
              <w:jc w:val="center"/>
            </w:pPr>
            <w:r>
              <w:rPr>
                <w:rFonts w:eastAsiaTheme="minorEastAsia"/>
                <w:kern w:val="0"/>
                <w:szCs w:val="21"/>
              </w:rPr>
              <w:t>10</w:t>
            </w:r>
          </w:p>
        </w:tc>
        <w:tc>
          <w:tcPr>
            <w:tcW w:w="1276" w:type="dxa"/>
            <w:vAlign w:val="center"/>
          </w:tcPr>
          <w:p w:rsidR="00836456" w:rsidRDefault="00661786">
            <w:pPr>
              <w:jc w:val="center"/>
            </w:pPr>
            <w:r>
              <w:rPr>
                <w:rFonts w:eastAsiaTheme="minorEastAsia"/>
                <w:kern w:val="0"/>
                <w:szCs w:val="21"/>
              </w:rPr>
              <w:t>300693</w:t>
            </w:r>
          </w:p>
        </w:tc>
        <w:tc>
          <w:tcPr>
            <w:tcW w:w="1701" w:type="dxa"/>
            <w:vAlign w:val="center"/>
          </w:tcPr>
          <w:p w:rsidR="00836456" w:rsidRDefault="00661786">
            <w:pPr>
              <w:jc w:val="center"/>
            </w:pPr>
            <w:r>
              <w:rPr>
                <w:rFonts w:eastAsiaTheme="minorEastAsia"/>
                <w:kern w:val="0"/>
                <w:szCs w:val="21"/>
              </w:rPr>
              <w:t>盛弘股份</w:t>
            </w:r>
          </w:p>
        </w:tc>
        <w:tc>
          <w:tcPr>
            <w:tcW w:w="1276" w:type="dxa"/>
            <w:vAlign w:val="center"/>
          </w:tcPr>
          <w:p w:rsidR="00836456" w:rsidRDefault="00661786">
            <w:pPr>
              <w:jc w:val="right"/>
            </w:pPr>
            <w:r>
              <w:rPr>
                <w:rFonts w:eastAsiaTheme="minorEastAsia"/>
                <w:kern w:val="0"/>
                <w:szCs w:val="21"/>
              </w:rPr>
              <w:t>129,538</w:t>
            </w:r>
          </w:p>
        </w:tc>
        <w:tc>
          <w:tcPr>
            <w:tcW w:w="1842" w:type="dxa"/>
            <w:vAlign w:val="center"/>
          </w:tcPr>
          <w:p w:rsidR="00836456" w:rsidRDefault="00661786">
            <w:pPr>
              <w:jc w:val="right"/>
            </w:pPr>
            <w:r>
              <w:rPr>
                <w:rFonts w:eastAsiaTheme="minorEastAsia"/>
                <w:kern w:val="0"/>
                <w:szCs w:val="21"/>
              </w:rPr>
              <w:t>7,655,695.80</w:t>
            </w:r>
          </w:p>
        </w:tc>
        <w:tc>
          <w:tcPr>
            <w:tcW w:w="1616" w:type="dxa"/>
            <w:vAlign w:val="center"/>
          </w:tcPr>
          <w:p w:rsidR="00836456" w:rsidRDefault="00661786">
            <w:pPr>
              <w:jc w:val="right"/>
            </w:pPr>
            <w:r>
              <w:rPr>
                <w:rFonts w:eastAsiaTheme="minorEastAsia"/>
                <w:kern w:val="0"/>
                <w:szCs w:val="21"/>
              </w:rPr>
              <w:t>2.41</w:t>
            </w:r>
          </w:p>
        </w:tc>
      </w:tr>
    </w:tbl>
    <w:bookmarkEnd w:id="2"/>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102,775.76</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166,191.51</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268,967.27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lastRenderedPageBreak/>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摩根安全战略股票</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241,569,083.06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5,282,126.27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4,374,471.36</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365,009.27</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5,861,743.78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414,989.05</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240,081,810.64</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5,232,146.49</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w:t>
      </w:r>
      <w:r>
        <w:rPr>
          <w:rFonts w:eastAsiaTheme="minorEastAsia"/>
          <w:color w:val="000000" w:themeColor="text1"/>
          <w:szCs w:val="21"/>
        </w:rPr>
        <w:t>中国证监会批准本基金募集的文件</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w:t>
      </w:r>
      <w:r>
        <w:rPr>
          <w:rFonts w:eastAsiaTheme="minorEastAsia"/>
          <w:color w:val="000000" w:themeColor="text1"/>
          <w:szCs w:val="21"/>
        </w:rPr>
        <w:t>摩根安全战略股票型证券投资基金基金合同</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w:t>
      </w:r>
      <w:r>
        <w:rPr>
          <w:rFonts w:eastAsiaTheme="minorEastAsia"/>
          <w:color w:val="000000" w:themeColor="text1"/>
          <w:szCs w:val="21"/>
        </w:rPr>
        <w:t>摩根安全战略股票型证券投资基金托管协议</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w:t>
      </w:r>
      <w:r>
        <w:rPr>
          <w:rFonts w:eastAsiaTheme="minorEastAsia"/>
          <w:color w:val="000000" w:themeColor="text1"/>
          <w:szCs w:val="21"/>
        </w:rPr>
        <w:t>法律意见书</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w:t>
      </w:r>
      <w:r>
        <w:rPr>
          <w:rFonts w:eastAsiaTheme="minorEastAsia"/>
          <w:color w:val="000000" w:themeColor="text1"/>
          <w:szCs w:val="21"/>
        </w:rPr>
        <w:t>基金管理人业务资格批件、营业执照</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w:t>
      </w:r>
      <w:r>
        <w:rPr>
          <w:rFonts w:eastAsiaTheme="minorEastAsia"/>
          <w:color w:val="000000" w:themeColor="text1"/>
          <w:szCs w:val="21"/>
        </w:rPr>
        <w:t>基金托管人业务资格批件、营业执照</w:t>
      </w:r>
    </w:p>
    <w:p w:rsidR="00836456" w:rsidRDefault="00661786">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w:t>
      </w:r>
      <w:r w:rsidRPr="00B27A29">
        <w:rPr>
          <w:rFonts w:eastAsiaTheme="minorEastAsia"/>
          <w:color w:val="000000" w:themeColor="text1"/>
          <w:szCs w:val="21"/>
        </w:rPr>
        <w:t>八</w:t>
      </w:r>
      <w:r w:rsidRPr="00B27A29">
        <w:rPr>
          <w:rFonts w:eastAsiaTheme="minorEastAsia"/>
          <w:color w:val="000000" w:themeColor="text1"/>
          <w:szCs w:val="21"/>
        </w:rPr>
        <w:t>)</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基金管理人或基金托管人住所。</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二〇二三年四月二十一日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7B" w:rsidRDefault="00ED407B">
      <w:r>
        <w:separator/>
      </w:r>
    </w:p>
  </w:endnote>
  <w:endnote w:type="continuationSeparator" w:id="0">
    <w:p w:rsidR="00ED407B" w:rsidRDefault="00ED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661786">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661786">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661786">
      <w:rPr>
        <w:rStyle w:val="af6"/>
        <w:noProof/>
      </w:rPr>
      <w:t>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7B" w:rsidRDefault="00ED407B">
      <w:r>
        <w:separator/>
      </w:r>
    </w:p>
  </w:footnote>
  <w:footnote w:type="continuationSeparator" w:id="0">
    <w:p w:rsidR="00ED407B" w:rsidRDefault="00ED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摩根安全战略股票型证券投资基金</w:t>
    </w:r>
    <w:r>
      <w:t>2023</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1786"/>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456"/>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86D9A6-1069-4CF7-88A4-050E103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22</TotalTime>
  <Pages>13</Pages>
  <Words>1119</Words>
  <Characters>6383</Characters>
  <Application>Microsoft Office Word</Application>
  <DocSecurity>0</DocSecurity>
  <Lines>53</Lines>
  <Paragraphs>14</Paragraphs>
  <ScaleCrop>false</ScaleCrop>
  <Company>TRT. Ltd. Co.</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Wang,Xiaodi@FA</cp:lastModifiedBy>
  <cp:revision>219</cp:revision>
  <cp:lastPrinted>2007-07-19T00:46:00Z</cp:lastPrinted>
  <dcterms:created xsi:type="dcterms:W3CDTF">2013-06-21T06:56:00Z</dcterms:created>
  <dcterms:modified xsi:type="dcterms:W3CDTF">2023-04-20T06:26:00Z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