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上投摩根安全战略股票型证券投资基金</w:t>
      </w:r>
    </w:p>
    <w:p w:rsidR="005E6DF3" w:rsidRPr="00B27A29" w:rsidRDefault="005C671B">
      <w:pPr>
        <w:spacing w:line="360" w:lineRule="auto"/>
        <w:jc w:val="center"/>
        <w:rPr>
          <w:rFonts w:eastAsiaTheme="minorEastAsia"/>
          <w:b/>
          <w:color w:val="000000" w:themeColor="text1"/>
          <w:sz w:val="36"/>
          <w:szCs w:val="36"/>
        </w:rPr>
      </w:pPr>
      <w:bookmarkStart w:id="0" w:name="_GoBack"/>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bookmarkEnd w:id="0"/>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上投摩根安全战略股票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001009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284,376,756.06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通过系统和深入的基本面研究，重点投资于与安全战略相关行业的上市公司，分享中国经济增长模式转变带来的投资机会，在控制风险的前提下力争实现基金资产的稳定增值。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B7B65" w:rsidRDefault="00E96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B7B65" w:rsidRDefault="00E96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w:t>
            </w:r>
            <w:r>
              <w:rPr>
                <w:rFonts w:eastAsiaTheme="minorEastAsia"/>
                <w:color w:val="000000" w:themeColor="text1"/>
                <w:kern w:val="0"/>
                <w:szCs w:val="21"/>
              </w:rPr>
              <w:lastRenderedPageBreak/>
              <w:t>币供应、利率等宏观指标的变化趋势，结合股票、债券等各类资产风险收益特征，确定合适的资产配置比例。</w:t>
            </w:r>
          </w:p>
          <w:p w:rsidR="008B7B65" w:rsidRDefault="00E96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B7B65" w:rsidRDefault="00E96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的非现金基金资产投资于国家安全战略相关行业。</w:t>
            </w:r>
          </w:p>
          <w:p w:rsidR="008B7B65" w:rsidRDefault="00E96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8B7B65" w:rsidRDefault="00E96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B7B65" w:rsidRDefault="00E96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001009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284,351,677.43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25,078.63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-104,002,125.08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-731.72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-108,733,229.13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-308.65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93B18">
            <w:pPr>
              <w:adjustRightInd w:val="0"/>
              <w:spacing w:before="29" w:line="360" w:lineRule="auto"/>
              <w:ind w:left="17"/>
              <w:jc w:val="right"/>
              <w:rPr>
                <w:rFonts w:eastAsiaTheme="minorEastAsia"/>
                <w:color w:val="000000" w:themeColor="text1"/>
                <w:szCs w:val="21"/>
              </w:rPr>
            </w:pPr>
            <w:r w:rsidRPr="00593B18">
              <w:rPr>
                <w:rFonts w:eastAsiaTheme="minorEastAsia"/>
                <w:color w:val="000000" w:themeColor="text1"/>
                <w:szCs w:val="21"/>
              </w:rPr>
              <w:t>-0.3484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-0.0343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462,664,721.06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40,783.27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1.6262</w:t>
            </w:r>
          </w:p>
        </w:tc>
      </w:tr>
    </w:tbl>
    <w:p w:rsidR="008B7B65" w:rsidRDefault="00E963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B7B65" w:rsidRDefault="00E963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22</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上投摩根安全战略股票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B7B65">
        <w:tc>
          <w:tcPr>
            <w:tcW w:w="1290" w:type="dxa"/>
            <w:vAlign w:val="center"/>
          </w:tcPr>
          <w:p w:rsidR="008B7B65" w:rsidRDefault="00E96305">
            <w:pPr>
              <w:jc w:val="left"/>
            </w:pPr>
            <w:r>
              <w:rPr>
                <w:rFonts w:eastAsiaTheme="minorEastAsia"/>
                <w:color w:val="000000" w:themeColor="text1"/>
                <w:szCs w:val="21"/>
              </w:rPr>
              <w:t>过去三个月</w:t>
            </w:r>
          </w:p>
        </w:tc>
        <w:tc>
          <w:tcPr>
            <w:tcW w:w="1291" w:type="dxa"/>
            <w:vAlign w:val="center"/>
          </w:tcPr>
          <w:p w:rsidR="008B7B65" w:rsidRDefault="00E96305">
            <w:pPr>
              <w:jc w:val="right"/>
            </w:pPr>
            <w:r>
              <w:rPr>
                <w:rFonts w:eastAsiaTheme="minorEastAsia"/>
                <w:color w:val="000000" w:themeColor="text1"/>
                <w:szCs w:val="21"/>
              </w:rPr>
              <w:t>-17.16%</w:t>
            </w:r>
          </w:p>
        </w:tc>
        <w:tc>
          <w:tcPr>
            <w:tcW w:w="1291" w:type="dxa"/>
            <w:vAlign w:val="center"/>
          </w:tcPr>
          <w:p w:rsidR="008B7B65" w:rsidRDefault="00E96305">
            <w:pPr>
              <w:jc w:val="right"/>
            </w:pPr>
            <w:r>
              <w:rPr>
                <w:rFonts w:eastAsiaTheme="minorEastAsia"/>
                <w:color w:val="000000" w:themeColor="text1"/>
                <w:szCs w:val="21"/>
              </w:rPr>
              <w:t>1.51%</w:t>
            </w:r>
          </w:p>
        </w:tc>
        <w:tc>
          <w:tcPr>
            <w:tcW w:w="1291" w:type="dxa"/>
            <w:vAlign w:val="center"/>
          </w:tcPr>
          <w:p w:rsidR="008B7B65" w:rsidRDefault="00E96305">
            <w:pPr>
              <w:jc w:val="right"/>
            </w:pPr>
            <w:r>
              <w:rPr>
                <w:rFonts w:eastAsiaTheme="minorEastAsia"/>
                <w:color w:val="000000" w:themeColor="text1"/>
                <w:szCs w:val="21"/>
              </w:rPr>
              <w:t>-12.30%</w:t>
            </w:r>
          </w:p>
        </w:tc>
        <w:tc>
          <w:tcPr>
            <w:tcW w:w="1291" w:type="dxa"/>
            <w:vAlign w:val="center"/>
          </w:tcPr>
          <w:p w:rsidR="008B7B65" w:rsidRDefault="00E96305">
            <w:pPr>
              <w:jc w:val="right"/>
            </w:pPr>
            <w:r>
              <w:rPr>
                <w:rFonts w:eastAsiaTheme="minorEastAsia"/>
                <w:color w:val="000000" w:themeColor="text1"/>
                <w:szCs w:val="21"/>
              </w:rPr>
              <w:t>1.23%</w:t>
            </w:r>
          </w:p>
        </w:tc>
        <w:tc>
          <w:tcPr>
            <w:tcW w:w="1291" w:type="dxa"/>
            <w:vAlign w:val="center"/>
          </w:tcPr>
          <w:p w:rsidR="008B7B65" w:rsidRDefault="00E96305">
            <w:pPr>
              <w:jc w:val="right"/>
            </w:pPr>
            <w:r>
              <w:rPr>
                <w:rFonts w:eastAsiaTheme="minorEastAsia"/>
                <w:color w:val="000000" w:themeColor="text1"/>
                <w:szCs w:val="21"/>
              </w:rPr>
              <w:t>-4.86%</w:t>
            </w:r>
          </w:p>
        </w:tc>
        <w:tc>
          <w:tcPr>
            <w:tcW w:w="1291" w:type="dxa"/>
            <w:vAlign w:val="center"/>
          </w:tcPr>
          <w:p w:rsidR="008B7B65" w:rsidRDefault="00E96305">
            <w:pPr>
              <w:jc w:val="right"/>
            </w:pPr>
            <w:r>
              <w:rPr>
                <w:rFonts w:eastAsiaTheme="minorEastAsia"/>
                <w:color w:val="000000" w:themeColor="text1"/>
                <w:szCs w:val="21"/>
              </w:rPr>
              <w:t>0.28%</w:t>
            </w:r>
          </w:p>
        </w:tc>
      </w:tr>
      <w:tr w:rsidR="008B7B65">
        <w:tc>
          <w:tcPr>
            <w:tcW w:w="1290" w:type="dxa"/>
            <w:vAlign w:val="center"/>
          </w:tcPr>
          <w:p w:rsidR="008B7B65" w:rsidRDefault="00E96305">
            <w:pPr>
              <w:jc w:val="left"/>
            </w:pPr>
            <w:r>
              <w:rPr>
                <w:rFonts w:eastAsiaTheme="minorEastAsia"/>
                <w:color w:val="000000" w:themeColor="text1"/>
                <w:szCs w:val="21"/>
              </w:rPr>
              <w:lastRenderedPageBreak/>
              <w:t>过去六个月</w:t>
            </w:r>
          </w:p>
        </w:tc>
        <w:tc>
          <w:tcPr>
            <w:tcW w:w="1291" w:type="dxa"/>
            <w:vAlign w:val="center"/>
          </w:tcPr>
          <w:p w:rsidR="008B7B65" w:rsidRDefault="00E96305">
            <w:pPr>
              <w:jc w:val="right"/>
            </w:pPr>
            <w:r>
              <w:rPr>
                <w:rFonts w:eastAsiaTheme="minorEastAsia"/>
                <w:color w:val="000000" w:themeColor="text1"/>
                <w:szCs w:val="21"/>
              </w:rPr>
              <w:t>-26.06%</w:t>
            </w:r>
          </w:p>
        </w:tc>
        <w:tc>
          <w:tcPr>
            <w:tcW w:w="1291" w:type="dxa"/>
            <w:vAlign w:val="center"/>
          </w:tcPr>
          <w:p w:rsidR="008B7B65" w:rsidRDefault="00E96305">
            <w:pPr>
              <w:jc w:val="right"/>
            </w:pPr>
            <w:r>
              <w:rPr>
                <w:rFonts w:eastAsiaTheme="minorEastAsia"/>
                <w:color w:val="000000" w:themeColor="text1"/>
                <w:szCs w:val="21"/>
              </w:rPr>
              <w:t>1.36%</w:t>
            </w:r>
          </w:p>
        </w:tc>
        <w:tc>
          <w:tcPr>
            <w:tcW w:w="1291" w:type="dxa"/>
            <w:vAlign w:val="center"/>
          </w:tcPr>
          <w:p w:rsidR="008B7B65" w:rsidRDefault="00E96305">
            <w:pPr>
              <w:jc w:val="right"/>
            </w:pPr>
            <w:r>
              <w:rPr>
                <w:rFonts w:eastAsiaTheme="minorEastAsia"/>
                <w:color w:val="000000" w:themeColor="text1"/>
                <w:szCs w:val="21"/>
              </w:rPr>
              <w:t>-10.72%</w:t>
            </w:r>
          </w:p>
        </w:tc>
        <w:tc>
          <w:tcPr>
            <w:tcW w:w="1291" w:type="dxa"/>
            <w:vAlign w:val="center"/>
          </w:tcPr>
          <w:p w:rsidR="008B7B65" w:rsidRDefault="00E96305">
            <w:pPr>
              <w:jc w:val="right"/>
            </w:pPr>
            <w:r>
              <w:rPr>
                <w:rFonts w:eastAsiaTheme="minorEastAsia"/>
                <w:color w:val="000000" w:themeColor="text1"/>
                <w:szCs w:val="21"/>
              </w:rPr>
              <w:t>0.97%</w:t>
            </w:r>
          </w:p>
        </w:tc>
        <w:tc>
          <w:tcPr>
            <w:tcW w:w="1291" w:type="dxa"/>
            <w:vAlign w:val="center"/>
          </w:tcPr>
          <w:p w:rsidR="008B7B65" w:rsidRDefault="00E96305">
            <w:pPr>
              <w:jc w:val="right"/>
            </w:pPr>
            <w:r>
              <w:rPr>
                <w:rFonts w:eastAsiaTheme="minorEastAsia"/>
                <w:color w:val="000000" w:themeColor="text1"/>
                <w:szCs w:val="21"/>
              </w:rPr>
              <w:t>-15.34%</w:t>
            </w:r>
          </w:p>
        </w:tc>
        <w:tc>
          <w:tcPr>
            <w:tcW w:w="1291" w:type="dxa"/>
            <w:vAlign w:val="center"/>
          </w:tcPr>
          <w:p w:rsidR="008B7B65" w:rsidRDefault="00E96305">
            <w:pPr>
              <w:jc w:val="right"/>
            </w:pPr>
            <w:r>
              <w:rPr>
                <w:rFonts w:eastAsiaTheme="minorEastAsia"/>
                <w:color w:val="000000" w:themeColor="text1"/>
                <w:szCs w:val="21"/>
              </w:rPr>
              <w:t>0.39%</w:t>
            </w:r>
          </w:p>
        </w:tc>
      </w:tr>
      <w:tr w:rsidR="008B7B65">
        <w:tc>
          <w:tcPr>
            <w:tcW w:w="1290" w:type="dxa"/>
            <w:vAlign w:val="center"/>
          </w:tcPr>
          <w:p w:rsidR="008B7B65" w:rsidRDefault="00E96305">
            <w:pPr>
              <w:jc w:val="left"/>
            </w:pPr>
            <w:r>
              <w:rPr>
                <w:rFonts w:eastAsiaTheme="minorEastAsia"/>
                <w:color w:val="000000" w:themeColor="text1"/>
                <w:szCs w:val="21"/>
              </w:rPr>
              <w:t>过去一年</w:t>
            </w:r>
          </w:p>
        </w:tc>
        <w:tc>
          <w:tcPr>
            <w:tcW w:w="1291" w:type="dxa"/>
            <w:vAlign w:val="center"/>
          </w:tcPr>
          <w:p w:rsidR="008B7B65" w:rsidRDefault="00E96305">
            <w:pPr>
              <w:jc w:val="right"/>
            </w:pPr>
            <w:r>
              <w:rPr>
                <w:rFonts w:eastAsiaTheme="minorEastAsia"/>
                <w:color w:val="000000" w:themeColor="text1"/>
                <w:szCs w:val="21"/>
              </w:rPr>
              <w:t>-10.24%</w:t>
            </w:r>
          </w:p>
        </w:tc>
        <w:tc>
          <w:tcPr>
            <w:tcW w:w="1291" w:type="dxa"/>
            <w:vAlign w:val="center"/>
          </w:tcPr>
          <w:p w:rsidR="008B7B65" w:rsidRDefault="00E96305">
            <w:pPr>
              <w:jc w:val="right"/>
            </w:pPr>
            <w:r>
              <w:rPr>
                <w:rFonts w:eastAsiaTheme="minorEastAsia"/>
                <w:color w:val="000000" w:themeColor="text1"/>
                <w:szCs w:val="21"/>
              </w:rPr>
              <w:t>1.69%</w:t>
            </w:r>
          </w:p>
        </w:tc>
        <w:tc>
          <w:tcPr>
            <w:tcW w:w="1291" w:type="dxa"/>
            <w:vAlign w:val="center"/>
          </w:tcPr>
          <w:p w:rsidR="008B7B65" w:rsidRDefault="00E96305">
            <w:pPr>
              <w:jc w:val="right"/>
            </w:pPr>
            <w:r>
              <w:rPr>
                <w:rFonts w:eastAsiaTheme="minorEastAsia"/>
                <w:color w:val="000000" w:themeColor="text1"/>
                <w:szCs w:val="21"/>
              </w:rPr>
              <w:t>-10.37%</w:t>
            </w:r>
          </w:p>
        </w:tc>
        <w:tc>
          <w:tcPr>
            <w:tcW w:w="1291" w:type="dxa"/>
            <w:vAlign w:val="center"/>
          </w:tcPr>
          <w:p w:rsidR="008B7B65" w:rsidRDefault="00E96305">
            <w:pPr>
              <w:jc w:val="right"/>
            </w:pPr>
            <w:r>
              <w:rPr>
                <w:rFonts w:eastAsiaTheme="minorEastAsia"/>
                <w:color w:val="000000" w:themeColor="text1"/>
                <w:szCs w:val="21"/>
              </w:rPr>
              <w:t>0.91%</w:t>
            </w:r>
          </w:p>
        </w:tc>
        <w:tc>
          <w:tcPr>
            <w:tcW w:w="1291" w:type="dxa"/>
            <w:vAlign w:val="center"/>
          </w:tcPr>
          <w:p w:rsidR="008B7B65" w:rsidRDefault="00E96305">
            <w:pPr>
              <w:jc w:val="right"/>
            </w:pPr>
            <w:r>
              <w:rPr>
                <w:rFonts w:eastAsiaTheme="minorEastAsia"/>
                <w:color w:val="000000" w:themeColor="text1"/>
                <w:szCs w:val="21"/>
              </w:rPr>
              <w:t>0.13%</w:t>
            </w:r>
          </w:p>
        </w:tc>
        <w:tc>
          <w:tcPr>
            <w:tcW w:w="1291" w:type="dxa"/>
            <w:vAlign w:val="center"/>
          </w:tcPr>
          <w:p w:rsidR="008B7B65" w:rsidRDefault="00E96305">
            <w:pPr>
              <w:jc w:val="right"/>
            </w:pPr>
            <w:r>
              <w:rPr>
                <w:rFonts w:eastAsiaTheme="minorEastAsia"/>
                <w:color w:val="000000" w:themeColor="text1"/>
                <w:szCs w:val="21"/>
              </w:rPr>
              <w:t>0.78%</w:t>
            </w:r>
          </w:p>
        </w:tc>
      </w:tr>
      <w:tr w:rsidR="008B7B65">
        <w:tc>
          <w:tcPr>
            <w:tcW w:w="1290" w:type="dxa"/>
            <w:vAlign w:val="center"/>
          </w:tcPr>
          <w:p w:rsidR="008B7B65" w:rsidRDefault="00E96305">
            <w:pPr>
              <w:jc w:val="left"/>
            </w:pPr>
            <w:r>
              <w:rPr>
                <w:rFonts w:eastAsiaTheme="minorEastAsia"/>
                <w:color w:val="000000" w:themeColor="text1"/>
                <w:szCs w:val="21"/>
              </w:rPr>
              <w:t>过去三年</w:t>
            </w:r>
          </w:p>
        </w:tc>
        <w:tc>
          <w:tcPr>
            <w:tcW w:w="1291" w:type="dxa"/>
            <w:vAlign w:val="center"/>
          </w:tcPr>
          <w:p w:rsidR="008B7B65" w:rsidRDefault="00E96305">
            <w:pPr>
              <w:jc w:val="right"/>
            </w:pPr>
            <w:r>
              <w:rPr>
                <w:rFonts w:eastAsiaTheme="minorEastAsia"/>
                <w:color w:val="000000" w:themeColor="text1"/>
                <w:szCs w:val="21"/>
              </w:rPr>
              <w:t>100.35%</w:t>
            </w:r>
          </w:p>
        </w:tc>
        <w:tc>
          <w:tcPr>
            <w:tcW w:w="1291" w:type="dxa"/>
            <w:vAlign w:val="center"/>
          </w:tcPr>
          <w:p w:rsidR="008B7B65" w:rsidRDefault="00E96305">
            <w:pPr>
              <w:jc w:val="right"/>
            </w:pPr>
            <w:r>
              <w:rPr>
                <w:rFonts w:eastAsiaTheme="minorEastAsia"/>
                <w:color w:val="000000" w:themeColor="text1"/>
                <w:szCs w:val="21"/>
              </w:rPr>
              <w:t>1.69%</w:t>
            </w:r>
          </w:p>
        </w:tc>
        <w:tc>
          <w:tcPr>
            <w:tcW w:w="1291" w:type="dxa"/>
            <w:vAlign w:val="center"/>
          </w:tcPr>
          <w:p w:rsidR="008B7B65" w:rsidRDefault="00E96305">
            <w:pPr>
              <w:jc w:val="right"/>
            </w:pPr>
            <w:r>
              <w:rPr>
                <w:rFonts w:eastAsiaTheme="minorEastAsia"/>
                <w:color w:val="000000" w:themeColor="text1"/>
                <w:szCs w:val="21"/>
              </w:rPr>
              <w:t>9.03%</w:t>
            </w:r>
          </w:p>
        </w:tc>
        <w:tc>
          <w:tcPr>
            <w:tcW w:w="1291" w:type="dxa"/>
            <w:vAlign w:val="center"/>
          </w:tcPr>
          <w:p w:rsidR="008B7B65" w:rsidRDefault="00E96305">
            <w:pPr>
              <w:jc w:val="right"/>
            </w:pPr>
            <w:r>
              <w:rPr>
                <w:rFonts w:eastAsiaTheme="minorEastAsia"/>
                <w:color w:val="000000" w:themeColor="text1"/>
                <w:szCs w:val="21"/>
              </w:rPr>
              <w:t>1.07%</w:t>
            </w:r>
          </w:p>
        </w:tc>
        <w:tc>
          <w:tcPr>
            <w:tcW w:w="1291" w:type="dxa"/>
            <w:vAlign w:val="center"/>
          </w:tcPr>
          <w:p w:rsidR="008B7B65" w:rsidRDefault="00E96305">
            <w:pPr>
              <w:jc w:val="right"/>
            </w:pPr>
            <w:r>
              <w:rPr>
                <w:rFonts w:eastAsiaTheme="minorEastAsia"/>
                <w:color w:val="000000" w:themeColor="text1"/>
                <w:szCs w:val="21"/>
              </w:rPr>
              <w:t>91.32%</w:t>
            </w:r>
          </w:p>
        </w:tc>
        <w:tc>
          <w:tcPr>
            <w:tcW w:w="1291" w:type="dxa"/>
            <w:vAlign w:val="center"/>
          </w:tcPr>
          <w:p w:rsidR="008B7B65" w:rsidRDefault="00E96305">
            <w:pPr>
              <w:jc w:val="right"/>
            </w:pPr>
            <w:r>
              <w:rPr>
                <w:rFonts w:eastAsiaTheme="minorEastAsia"/>
                <w:color w:val="000000" w:themeColor="text1"/>
                <w:szCs w:val="21"/>
              </w:rPr>
              <w:t>0.62%</w:t>
            </w:r>
          </w:p>
        </w:tc>
      </w:tr>
      <w:tr w:rsidR="008B7B65">
        <w:tc>
          <w:tcPr>
            <w:tcW w:w="1290" w:type="dxa"/>
            <w:vAlign w:val="center"/>
          </w:tcPr>
          <w:p w:rsidR="008B7B65" w:rsidRDefault="00E96305">
            <w:pPr>
              <w:jc w:val="left"/>
            </w:pPr>
            <w:r>
              <w:rPr>
                <w:rFonts w:eastAsiaTheme="minorEastAsia"/>
                <w:color w:val="000000" w:themeColor="text1"/>
                <w:szCs w:val="21"/>
              </w:rPr>
              <w:t>过去五年</w:t>
            </w:r>
          </w:p>
        </w:tc>
        <w:tc>
          <w:tcPr>
            <w:tcW w:w="1291" w:type="dxa"/>
            <w:vAlign w:val="center"/>
          </w:tcPr>
          <w:p w:rsidR="008B7B65" w:rsidRDefault="00E96305">
            <w:pPr>
              <w:jc w:val="right"/>
            </w:pPr>
            <w:r>
              <w:rPr>
                <w:rFonts w:eastAsiaTheme="minorEastAsia"/>
                <w:color w:val="000000" w:themeColor="text1"/>
                <w:szCs w:val="21"/>
              </w:rPr>
              <w:t>95.05%</w:t>
            </w:r>
          </w:p>
        </w:tc>
        <w:tc>
          <w:tcPr>
            <w:tcW w:w="1291" w:type="dxa"/>
            <w:vAlign w:val="center"/>
          </w:tcPr>
          <w:p w:rsidR="008B7B65" w:rsidRDefault="00E96305">
            <w:pPr>
              <w:jc w:val="right"/>
            </w:pPr>
            <w:r>
              <w:rPr>
                <w:rFonts w:eastAsiaTheme="minorEastAsia"/>
                <w:color w:val="000000" w:themeColor="text1"/>
                <w:szCs w:val="21"/>
              </w:rPr>
              <w:t>1.58%</w:t>
            </w:r>
          </w:p>
        </w:tc>
        <w:tc>
          <w:tcPr>
            <w:tcW w:w="1291" w:type="dxa"/>
            <w:vAlign w:val="center"/>
          </w:tcPr>
          <w:p w:rsidR="008B7B65" w:rsidRDefault="00E96305">
            <w:pPr>
              <w:jc w:val="right"/>
            </w:pPr>
            <w:r>
              <w:rPr>
                <w:rFonts w:eastAsiaTheme="minorEastAsia"/>
                <w:color w:val="000000" w:themeColor="text1"/>
                <w:szCs w:val="21"/>
              </w:rPr>
              <w:t>13.80%</w:t>
            </w:r>
          </w:p>
        </w:tc>
        <w:tc>
          <w:tcPr>
            <w:tcW w:w="1291" w:type="dxa"/>
            <w:vAlign w:val="center"/>
          </w:tcPr>
          <w:p w:rsidR="008B7B65" w:rsidRDefault="00E96305">
            <w:pPr>
              <w:jc w:val="right"/>
            </w:pPr>
            <w:r>
              <w:rPr>
                <w:rFonts w:eastAsiaTheme="minorEastAsia"/>
                <w:color w:val="000000" w:themeColor="text1"/>
                <w:szCs w:val="21"/>
              </w:rPr>
              <w:t>1.04%</w:t>
            </w:r>
          </w:p>
        </w:tc>
        <w:tc>
          <w:tcPr>
            <w:tcW w:w="1291" w:type="dxa"/>
            <w:vAlign w:val="center"/>
          </w:tcPr>
          <w:p w:rsidR="008B7B65" w:rsidRDefault="00E96305">
            <w:pPr>
              <w:jc w:val="right"/>
            </w:pPr>
            <w:r>
              <w:rPr>
                <w:rFonts w:eastAsiaTheme="minorEastAsia"/>
                <w:color w:val="000000" w:themeColor="text1"/>
                <w:szCs w:val="21"/>
              </w:rPr>
              <w:t>81.25%</w:t>
            </w:r>
          </w:p>
        </w:tc>
        <w:tc>
          <w:tcPr>
            <w:tcW w:w="1291" w:type="dxa"/>
            <w:vAlign w:val="center"/>
          </w:tcPr>
          <w:p w:rsidR="008B7B65" w:rsidRDefault="00E96305">
            <w:pPr>
              <w:jc w:val="right"/>
            </w:pPr>
            <w:r>
              <w:rPr>
                <w:rFonts w:eastAsiaTheme="minorEastAsia"/>
                <w:color w:val="000000" w:themeColor="text1"/>
                <w:szCs w:val="21"/>
              </w:rPr>
              <w:t>0.54%</w:t>
            </w:r>
          </w:p>
        </w:tc>
      </w:tr>
      <w:tr w:rsidR="008B7B65">
        <w:tc>
          <w:tcPr>
            <w:tcW w:w="1290" w:type="dxa"/>
            <w:vAlign w:val="center"/>
          </w:tcPr>
          <w:p w:rsidR="008B7B65" w:rsidRDefault="00E96305">
            <w:pPr>
              <w:jc w:val="left"/>
            </w:pPr>
            <w:r>
              <w:rPr>
                <w:rFonts w:eastAsiaTheme="minorEastAsia"/>
                <w:color w:val="000000" w:themeColor="text1"/>
                <w:szCs w:val="21"/>
              </w:rPr>
              <w:t>自基金合同生效起至今</w:t>
            </w:r>
          </w:p>
        </w:tc>
        <w:tc>
          <w:tcPr>
            <w:tcW w:w="1291" w:type="dxa"/>
            <w:vAlign w:val="center"/>
          </w:tcPr>
          <w:p w:rsidR="008B7B65" w:rsidRDefault="00E96305">
            <w:pPr>
              <w:jc w:val="right"/>
            </w:pPr>
            <w:r>
              <w:rPr>
                <w:rFonts w:eastAsiaTheme="minorEastAsia"/>
                <w:color w:val="000000" w:themeColor="text1"/>
                <w:szCs w:val="21"/>
              </w:rPr>
              <w:t>84.32%</w:t>
            </w:r>
          </w:p>
        </w:tc>
        <w:tc>
          <w:tcPr>
            <w:tcW w:w="1291" w:type="dxa"/>
            <w:vAlign w:val="center"/>
          </w:tcPr>
          <w:p w:rsidR="008B7B65" w:rsidRDefault="00E96305">
            <w:pPr>
              <w:jc w:val="right"/>
            </w:pPr>
            <w:r>
              <w:rPr>
                <w:rFonts w:eastAsiaTheme="minorEastAsia"/>
                <w:color w:val="000000" w:themeColor="text1"/>
                <w:szCs w:val="21"/>
              </w:rPr>
              <w:t>1.79%</w:t>
            </w:r>
          </w:p>
        </w:tc>
        <w:tc>
          <w:tcPr>
            <w:tcW w:w="1291" w:type="dxa"/>
            <w:vAlign w:val="center"/>
          </w:tcPr>
          <w:p w:rsidR="008B7B65" w:rsidRDefault="00E96305">
            <w:pPr>
              <w:jc w:val="right"/>
            </w:pPr>
            <w:r>
              <w:rPr>
                <w:rFonts w:eastAsiaTheme="minorEastAsia"/>
                <w:color w:val="000000" w:themeColor="text1"/>
                <w:szCs w:val="21"/>
              </w:rPr>
              <w:t>15.51%</w:t>
            </w:r>
          </w:p>
        </w:tc>
        <w:tc>
          <w:tcPr>
            <w:tcW w:w="1291" w:type="dxa"/>
            <w:vAlign w:val="center"/>
          </w:tcPr>
          <w:p w:rsidR="008B7B65" w:rsidRDefault="00E96305">
            <w:pPr>
              <w:jc w:val="right"/>
            </w:pPr>
            <w:r>
              <w:rPr>
                <w:rFonts w:eastAsiaTheme="minorEastAsia"/>
                <w:color w:val="000000" w:themeColor="text1"/>
                <w:szCs w:val="21"/>
              </w:rPr>
              <w:t>1.26%</w:t>
            </w:r>
          </w:p>
        </w:tc>
        <w:tc>
          <w:tcPr>
            <w:tcW w:w="1291" w:type="dxa"/>
            <w:vAlign w:val="center"/>
          </w:tcPr>
          <w:p w:rsidR="008B7B65" w:rsidRDefault="00E96305">
            <w:pPr>
              <w:jc w:val="right"/>
            </w:pPr>
            <w:r>
              <w:rPr>
                <w:rFonts w:eastAsiaTheme="minorEastAsia"/>
                <w:color w:val="000000" w:themeColor="text1"/>
                <w:szCs w:val="21"/>
              </w:rPr>
              <w:t>68.81%</w:t>
            </w:r>
          </w:p>
        </w:tc>
        <w:tc>
          <w:tcPr>
            <w:tcW w:w="1291" w:type="dxa"/>
            <w:vAlign w:val="center"/>
          </w:tcPr>
          <w:p w:rsidR="008B7B65" w:rsidRDefault="00E96305">
            <w:pPr>
              <w:jc w:val="right"/>
            </w:pPr>
            <w:r>
              <w:rPr>
                <w:rFonts w:eastAsiaTheme="minorEastAsia"/>
                <w:color w:val="000000" w:themeColor="text1"/>
                <w:szCs w:val="21"/>
              </w:rPr>
              <w:t>0.53%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上投摩根安全战略股票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B7B65">
        <w:tc>
          <w:tcPr>
            <w:tcW w:w="1290" w:type="dxa"/>
            <w:vAlign w:val="center"/>
          </w:tcPr>
          <w:p w:rsidR="008B7B65" w:rsidRDefault="00E96305">
            <w:pPr>
              <w:jc w:val="left"/>
            </w:pPr>
            <w:r>
              <w:rPr>
                <w:rFonts w:eastAsiaTheme="minorEastAsia"/>
                <w:color w:val="000000" w:themeColor="text1"/>
                <w:szCs w:val="21"/>
              </w:rPr>
              <w:t>过去三个月</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r>
      <w:tr w:rsidR="008B7B65">
        <w:tc>
          <w:tcPr>
            <w:tcW w:w="1290" w:type="dxa"/>
            <w:vAlign w:val="center"/>
          </w:tcPr>
          <w:p w:rsidR="008B7B65" w:rsidRDefault="00E96305">
            <w:pPr>
              <w:jc w:val="left"/>
            </w:pPr>
            <w:r>
              <w:rPr>
                <w:rFonts w:eastAsiaTheme="minorEastAsia"/>
                <w:color w:val="000000" w:themeColor="text1"/>
                <w:szCs w:val="21"/>
              </w:rPr>
              <w:t>过去六个月</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r>
      <w:tr w:rsidR="008B7B65">
        <w:tc>
          <w:tcPr>
            <w:tcW w:w="1290" w:type="dxa"/>
            <w:vAlign w:val="center"/>
          </w:tcPr>
          <w:p w:rsidR="008B7B65" w:rsidRDefault="00E96305">
            <w:pPr>
              <w:jc w:val="left"/>
            </w:pPr>
            <w:r>
              <w:rPr>
                <w:rFonts w:eastAsiaTheme="minorEastAsia"/>
                <w:color w:val="000000" w:themeColor="text1"/>
                <w:szCs w:val="21"/>
              </w:rPr>
              <w:t>过去一年</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r>
      <w:tr w:rsidR="008B7B65">
        <w:tc>
          <w:tcPr>
            <w:tcW w:w="1290" w:type="dxa"/>
            <w:vAlign w:val="center"/>
          </w:tcPr>
          <w:p w:rsidR="008B7B65" w:rsidRDefault="00E96305">
            <w:pPr>
              <w:jc w:val="left"/>
            </w:pPr>
            <w:r>
              <w:rPr>
                <w:rFonts w:eastAsiaTheme="minorEastAsia"/>
                <w:color w:val="000000" w:themeColor="text1"/>
                <w:szCs w:val="21"/>
              </w:rPr>
              <w:t>过去三年</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r>
      <w:tr w:rsidR="008B7B65">
        <w:tc>
          <w:tcPr>
            <w:tcW w:w="1290" w:type="dxa"/>
            <w:vAlign w:val="center"/>
          </w:tcPr>
          <w:p w:rsidR="008B7B65" w:rsidRDefault="00E96305">
            <w:pPr>
              <w:jc w:val="left"/>
            </w:pPr>
            <w:r>
              <w:rPr>
                <w:rFonts w:eastAsiaTheme="minorEastAsia"/>
                <w:color w:val="000000" w:themeColor="text1"/>
                <w:szCs w:val="21"/>
              </w:rPr>
              <w:t>过去五年</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c>
          <w:tcPr>
            <w:tcW w:w="1291" w:type="dxa"/>
            <w:vAlign w:val="center"/>
          </w:tcPr>
          <w:p w:rsidR="008B7B65" w:rsidRDefault="00E96305">
            <w:pPr>
              <w:jc w:val="right"/>
            </w:pPr>
            <w:r>
              <w:rPr>
                <w:rFonts w:eastAsiaTheme="minorEastAsia"/>
                <w:color w:val="000000" w:themeColor="text1"/>
                <w:szCs w:val="21"/>
              </w:rPr>
              <w:t>-</w:t>
            </w:r>
          </w:p>
        </w:tc>
      </w:tr>
      <w:tr w:rsidR="008B7B65">
        <w:tc>
          <w:tcPr>
            <w:tcW w:w="1290" w:type="dxa"/>
            <w:vAlign w:val="center"/>
          </w:tcPr>
          <w:p w:rsidR="008B7B65" w:rsidRDefault="00E96305">
            <w:pPr>
              <w:jc w:val="left"/>
            </w:pPr>
            <w:r>
              <w:rPr>
                <w:rFonts w:eastAsiaTheme="minorEastAsia"/>
                <w:color w:val="000000" w:themeColor="text1"/>
                <w:szCs w:val="21"/>
              </w:rPr>
              <w:t>自基金合同生效起至今</w:t>
            </w:r>
          </w:p>
        </w:tc>
        <w:tc>
          <w:tcPr>
            <w:tcW w:w="1291" w:type="dxa"/>
            <w:vAlign w:val="center"/>
          </w:tcPr>
          <w:p w:rsidR="008B7B65" w:rsidRDefault="00E96305">
            <w:pPr>
              <w:jc w:val="right"/>
            </w:pPr>
            <w:r>
              <w:rPr>
                <w:rFonts w:eastAsiaTheme="minorEastAsia"/>
                <w:color w:val="000000" w:themeColor="text1"/>
                <w:szCs w:val="21"/>
              </w:rPr>
              <w:t>-4.11%</w:t>
            </w:r>
          </w:p>
        </w:tc>
        <w:tc>
          <w:tcPr>
            <w:tcW w:w="1291" w:type="dxa"/>
            <w:vAlign w:val="center"/>
          </w:tcPr>
          <w:p w:rsidR="008B7B65" w:rsidRDefault="00E96305">
            <w:pPr>
              <w:jc w:val="right"/>
            </w:pPr>
            <w:r>
              <w:rPr>
                <w:rFonts w:eastAsiaTheme="minorEastAsia"/>
                <w:color w:val="000000" w:themeColor="text1"/>
                <w:szCs w:val="21"/>
              </w:rPr>
              <w:t>1.67%</w:t>
            </w:r>
          </w:p>
        </w:tc>
        <w:tc>
          <w:tcPr>
            <w:tcW w:w="1291" w:type="dxa"/>
            <w:vAlign w:val="center"/>
          </w:tcPr>
          <w:p w:rsidR="008B7B65" w:rsidRDefault="00E96305">
            <w:pPr>
              <w:jc w:val="right"/>
            </w:pPr>
            <w:r>
              <w:rPr>
                <w:rFonts w:eastAsiaTheme="minorEastAsia"/>
                <w:color w:val="000000" w:themeColor="text1"/>
                <w:szCs w:val="21"/>
              </w:rPr>
              <w:t>-6.37%</w:t>
            </w:r>
          </w:p>
        </w:tc>
        <w:tc>
          <w:tcPr>
            <w:tcW w:w="1291" w:type="dxa"/>
            <w:vAlign w:val="center"/>
          </w:tcPr>
          <w:p w:rsidR="008B7B65" w:rsidRDefault="00E96305">
            <w:pPr>
              <w:jc w:val="right"/>
            </w:pPr>
            <w:r>
              <w:rPr>
                <w:rFonts w:eastAsiaTheme="minorEastAsia"/>
                <w:color w:val="000000" w:themeColor="text1"/>
                <w:szCs w:val="21"/>
              </w:rPr>
              <w:t>1.57%</w:t>
            </w:r>
          </w:p>
        </w:tc>
        <w:tc>
          <w:tcPr>
            <w:tcW w:w="1291" w:type="dxa"/>
            <w:vAlign w:val="center"/>
          </w:tcPr>
          <w:p w:rsidR="008B7B65" w:rsidRDefault="00E96305">
            <w:pPr>
              <w:jc w:val="right"/>
            </w:pPr>
            <w:r>
              <w:rPr>
                <w:rFonts w:eastAsiaTheme="minorEastAsia"/>
                <w:color w:val="000000" w:themeColor="text1"/>
                <w:szCs w:val="21"/>
              </w:rPr>
              <w:t>2.26%</w:t>
            </w:r>
          </w:p>
        </w:tc>
        <w:tc>
          <w:tcPr>
            <w:tcW w:w="1291" w:type="dxa"/>
            <w:vAlign w:val="center"/>
          </w:tcPr>
          <w:p w:rsidR="008B7B65" w:rsidRDefault="00E96305">
            <w:pPr>
              <w:jc w:val="right"/>
            </w:pPr>
            <w:r>
              <w:rPr>
                <w:rFonts w:eastAsiaTheme="minorEastAsia"/>
                <w:color w:val="000000" w:themeColor="text1"/>
                <w:szCs w:val="21"/>
              </w:rPr>
              <w:t>0.10%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上投摩根安全战略股票型证券投资基金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．上投摩根安全战略股票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．上投摩根安全战略股票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sidR="00EF160D">
        <w:rPr>
          <w:rFonts w:eastAsiaTheme="minorEastAsia" w:hint="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B7B65">
        <w:tc>
          <w:tcPr>
            <w:tcW w:w="952" w:type="dxa"/>
            <w:vAlign w:val="center"/>
          </w:tcPr>
          <w:p w:rsidR="008B7B65" w:rsidRDefault="00E96305">
            <w:pPr>
              <w:jc w:val="center"/>
            </w:pPr>
            <w:r>
              <w:rPr>
                <w:rFonts w:eastAsiaTheme="minorEastAsia"/>
                <w:color w:val="000000" w:themeColor="text1"/>
                <w:szCs w:val="21"/>
              </w:rPr>
              <w:t>陈思郁</w:t>
            </w:r>
          </w:p>
        </w:tc>
        <w:tc>
          <w:tcPr>
            <w:tcW w:w="930" w:type="dxa"/>
            <w:vAlign w:val="center"/>
          </w:tcPr>
          <w:p w:rsidR="008B7B65" w:rsidRDefault="00E96305">
            <w:pPr>
              <w:jc w:val="center"/>
            </w:pPr>
            <w:r>
              <w:rPr>
                <w:rFonts w:eastAsiaTheme="minorEastAsia"/>
                <w:color w:val="000000" w:themeColor="text1"/>
                <w:szCs w:val="21"/>
              </w:rPr>
              <w:t>本基金基金经理</w:t>
            </w:r>
          </w:p>
        </w:tc>
        <w:tc>
          <w:tcPr>
            <w:tcW w:w="1210" w:type="dxa"/>
            <w:vAlign w:val="center"/>
          </w:tcPr>
          <w:p w:rsidR="008B7B65" w:rsidRDefault="00E96305">
            <w:pPr>
              <w:jc w:val="center"/>
            </w:pPr>
            <w:r>
              <w:rPr>
                <w:rFonts w:eastAsiaTheme="minorEastAsia"/>
                <w:color w:val="000000" w:themeColor="text1"/>
                <w:szCs w:val="21"/>
              </w:rPr>
              <w:t>2016-10-21</w:t>
            </w:r>
          </w:p>
        </w:tc>
        <w:tc>
          <w:tcPr>
            <w:tcW w:w="1309" w:type="dxa"/>
            <w:vAlign w:val="center"/>
          </w:tcPr>
          <w:p w:rsidR="008B7B65" w:rsidRDefault="00E96305">
            <w:pPr>
              <w:jc w:val="center"/>
            </w:pPr>
            <w:r>
              <w:rPr>
                <w:rFonts w:eastAsiaTheme="minorEastAsia"/>
                <w:color w:val="000000" w:themeColor="text1"/>
                <w:szCs w:val="21"/>
              </w:rPr>
              <w:t>-</w:t>
            </w:r>
          </w:p>
        </w:tc>
        <w:tc>
          <w:tcPr>
            <w:tcW w:w="1254" w:type="dxa"/>
            <w:vAlign w:val="center"/>
          </w:tcPr>
          <w:p w:rsidR="008B7B65" w:rsidRDefault="00E96305">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8B7B65" w:rsidRDefault="00E96305">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w:t>
            </w:r>
          </w:p>
        </w:tc>
      </w:tr>
    </w:tbl>
    <w:p w:rsidR="008B7B65" w:rsidRDefault="00E963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全战略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今年以来，市场延续了去年四季度的颓势，依然非常疲弱，赛道股均出现了较大调整，基本面出问题的个股高点回撤</w:t>
      </w:r>
      <w:r>
        <w:rPr>
          <w:rFonts w:eastAsiaTheme="minorEastAsia"/>
          <w:color w:val="000000" w:themeColor="text1"/>
          <w:szCs w:val="21"/>
        </w:rPr>
        <w:t>50%</w:t>
      </w:r>
      <w:r>
        <w:rPr>
          <w:rFonts w:eastAsiaTheme="minorEastAsia"/>
          <w:color w:val="000000" w:themeColor="text1"/>
          <w:szCs w:val="21"/>
        </w:rPr>
        <w:t>甚至更多，基本面没有出问题的个股也出现了杀估值的情况，成长型的基金回撤幅度均比较大。市场如此羸弱的原因，一方面，经济本身处于向下的大周期当中，压力较大，稳增长政策目前落地的并不多；另一方面黑天鹅事件频出，俄乌战争让本已经有回落趋势的大宗商品价格向上急剧抬升，</w:t>
      </w:r>
      <w:r>
        <w:rPr>
          <w:rFonts w:eastAsiaTheme="minorEastAsia"/>
          <w:color w:val="000000" w:themeColor="text1"/>
          <w:szCs w:val="21"/>
        </w:rPr>
        <w:t>PPI</w:t>
      </w:r>
      <w:r>
        <w:rPr>
          <w:rFonts w:eastAsiaTheme="minorEastAsia"/>
          <w:color w:val="000000" w:themeColor="text1"/>
          <w:szCs w:val="21"/>
        </w:rPr>
        <w:t>提升至近年的高位，市场对于滞涨的担心提升到了较高水平，同时国内疫情此起彼伏，给上市公司经营带来了较大的扰乱，进而影响公司业绩，马上到来的财报季，可能存在较多公司业绩下修的情况，也给投资增加了难度。</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从去年下半年来就降低了仓位，保守应对，但由于拿的均是景气度较高的赛道股，依然有所回撤。但较低的仓位还是给基金提供了一定的保护。同时对于市场上轮动较快的热点，也并没有过多参与，比如元宇宙、绿电等，避免了损失。</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展望未来，我们并不悲观，主要原因有二：其一，本轮回撤，幅度已经较大，从历史复盘看，超过此次调整的只有</w:t>
      </w:r>
      <w:r>
        <w:rPr>
          <w:rFonts w:eastAsiaTheme="minorEastAsia"/>
          <w:color w:val="000000" w:themeColor="text1"/>
          <w:szCs w:val="21"/>
        </w:rPr>
        <w:t>2015</w:t>
      </w:r>
      <w:r>
        <w:rPr>
          <w:rFonts w:eastAsiaTheme="minorEastAsia"/>
          <w:color w:val="000000" w:themeColor="text1"/>
          <w:szCs w:val="21"/>
        </w:rPr>
        <w:t>年和</w:t>
      </w:r>
      <w:r>
        <w:rPr>
          <w:rFonts w:eastAsiaTheme="minorEastAsia"/>
          <w:color w:val="000000" w:themeColor="text1"/>
          <w:szCs w:val="21"/>
        </w:rPr>
        <w:t>2008</w:t>
      </w:r>
      <w:r>
        <w:rPr>
          <w:rFonts w:eastAsiaTheme="minorEastAsia"/>
          <w:color w:val="000000" w:themeColor="text1"/>
          <w:szCs w:val="21"/>
        </w:rPr>
        <w:t>年次贷危机了，同时调整的时间也有半年，至少可以期待一个像样的反弹；其二，市场的情绪已经接近冰点，大家都开始杀入稳增长板块，稳增长板块更多的是处于避险和资金博弈（因为目前稳增长政策都还没有落地，刚刚开完两会，现在更重要的任务是控制疫情，因此这些稳增长的标的业绩可能是没有增量的），市场一旦有一个未经验证的传言就会给一个行业的短期表现带来巨大影响，这些迹象都是底部的特征。因此在目前的时候我们并不悲观，加上本基金仓位偏低，因此更多的是要思考何时加仓，以及加仓什么标的的时候。</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熊市做反弹并不容易，因此本基金会逐步缓慢的加仓，方向依然是结合马上要披露的一季报，买入短期业绩好，甚至有望超预期，中长期逻辑通顺，天花板高的板块和标的。依然看好新能源汽车、军工、医药等。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现在我们处于一个经济面和情绪面的低点，经历了战争和疫情，但我们相信这些迟早会过去，稳增长政策一定会出台，经济底部并不遥远。回顾历史，我们都经历过大幅回调、熔断、次贷危机、欧债危机，当时我们都很难过，大环境不好、情绪低迷，净值暴跌，但后面我们都走出来了，净值也不断的创新高，同样，现在我们是不容易，很难过，但一切都是周期，我们现在或就是周期的底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本报告期上投摩根安全战略股票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:-17.16%</w:t>
      </w:r>
      <w:r>
        <w:rPr>
          <w:rFonts w:eastAsiaTheme="minorEastAsia"/>
          <w:color w:val="000000" w:themeColor="text1"/>
          <w:szCs w:val="21"/>
        </w:rPr>
        <w:t>，同期业绩比较基准收益率为</w:t>
      </w:r>
      <w:r>
        <w:rPr>
          <w:rFonts w:eastAsiaTheme="minorEastAsia"/>
          <w:color w:val="000000" w:themeColor="text1"/>
          <w:szCs w:val="21"/>
        </w:rPr>
        <w:t>:-12.30%</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本报告期上投摩根安全战略股票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:-4.11%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:-6.37%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386,209,871.18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386,209,871.18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68,366,951.29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11,364,258.35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465,941,080.82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247,334,435.16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53.45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10,439,614.67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29,823.90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41,502,811.46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68,633,329.19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18,240,698.50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5,014.10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386,209,871.18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83.47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B7B65">
        <w:tc>
          <w:tcPr>
            <w:tcW w:w="817" w:type="dxa"/>
            <w:vAlign w:val="center"/>
          </w:tcPr>
          <w:p w:rsidR="008B7B65" w:rsidRDefault="00E96305">
            <w:pPr>
              <w:jc w:val="center"/>
            </w:pPr>
            <w:r>
              <w:rPr>
                <w:rFonts w:eastAsiaTheme="minorEastAsia"/>
                <w:kern w:val="0"/>
                <w:szCs w:val="21"/>
              </w:rPr>
              <w:t>1</w:t>
            </w:r>
          </w:p>
        </w:tc>
        <w:tc>
          <w:tcPr>
            <w:tcW w:w="1276" w:type="dxa"/>
            <w:vAlign w:val="center"/>
          </w:tcPr>
          <w:p w:rsidR="008B7B65" w:rsidRDefault="00E96305">
            <w:pPr>
              <w:jc w:val="center"/>
            </w:pPr>
            <w:r>
              <w:rPr>
                <w:rFonts w:eastAsiaTheme="minorEastAsia"/>
                <w:kern w:val="0"/>
                <w:szCs w:val="21"/>
              </w:rPr>
              <w:t>600519</w:t>
            </w:r>
          </w:p>
        </w:tc>
        <w:tc>
          <w:tcPr>
            <w:tcW w:w="1701" w:type="dxa"/>
            <w:vAlign w:val="center"/>
          </w:tcPr>
          <w:p w:rsidR="008B7B65" w:rsidRDefault="00E96305">
            <w:pPr>
              <w:jc w:val="center"/>
            </w:pPr>
            <w:r>
              <w:rPr>
                <w:rFonts w:eastAsiaTheme="minorEastAsia"/>
                <w:kern w:val="0"/>
                <w:szCs w:val="21"/>
              </w:rPr>
              <w:t>贵州茅台</w:t>
            </w:r>
          </w:p>
        </w:tc>
        <w:tc>
          <w:tcPr>
            <w:tcW w:w="1276" w:type="dxa"/>
            <w:vAlign w:val="center"/>
          </w:tcPr>
          <w:p w:rsidR="008B7B65" w:rsidRDefault="00E96305">
            <w:pPr>
              <w:jc w:val="right"/>
            </w:pPr>
            <w:r>
              <w:rPr>
                <w:rFonts w:eastAsiaTheme="minorEastAsia"/>
                <w:kern w:val="0"/>
                <w:szCs w:val="21"/>
              </w:rPr>
              <w:t>14,270</w:t>
            </w:r>
          </w:p>
        </w:tc>
        <w:tc>
          <w:tcPr>
            <w:tcW w:w="1842" w:type="dxa"/>
            <w:vAlign w:val="center"/>
          </w:tcPr>
          <w:p w:rsidR="008B7B65" w:rsidRDefault="00E96305">
            <w:pPr>
              <w:jc w:val="right"/>
            </w:pPr>
            <w:r>
              <w:rPr>
                <w:rFonts w:eastAsiaTheme="minorEastAsia"/>
                <w:kern w:val="0"/>
                <w:szCs w:val="21"/>
              </w:rPr>
              <w:t>24,530,130.00</w:t>
            </w:r>
          </w:p>
        </w:tc>
        <w:tc>
          <w:tcPr>
            <w:tcW w:w="1616" w:type="dxa"/>
            <w:vAlign w:val="center"/>
          </w:tcPr>
          <w:p w:rsidR="008B7B65" w:rsidRDefault="00E96305">
            <w:pPr>
              <w:jc w:val="right"/>
            </w:pPr>
            <w:r>
              <w:rPr>
                <w:rFonts w:eastAsiaTheme="minorEastAsia"/>
                <w:kern w:val="0"/>
                <w:szCs w:val="21"/>
              </w:rPr>
              <w:t>5.30</w:t>
            </w:r>
          </w:p>
        </w:tc>
      </w:tr>
      <w:tr w:rsidR="008B7B65">
        <w:tc>
          <w:tcPr>
            <w:tcW w:w="817" w:type="dxa"/>
            <w:vAlign w:val="center"/>
          </w:tcPr>
          <w:p w:rsidR="008B7B65" w:rsidRDefault="00E96305">
            <w:pPr>
              <w:jc w:val="center"/>
            </w:pPr>
            <w:r>
              <w:rPr>
                <w:rFonts w:eastAsiaTheme="minorEastAsia"/>
                <w:kern w:val="0"/>
                <w:szCs w:val="21"/>
              </w:rPr>
              <w:t>2</w:t>
            </w:r>
          </w:p>
        </w:tc>
        <w:tc>
          <w:tcPr>
            <w:tcW w:w="1276" w:type="dxa"/>
            <w:vAlign w:val="center"/>
          </w:tcPr>
          <w:p w:rsidR="008B7B65" w:rsidRDefault="00E96305">
            <w:pPr>
              <w:jc w:val="center"/>
            </w:pPr>
            <w:r>
              <w:rPr>
                <w:rFonts w:eastAsiaTheme="minorEastAsia"/>
                <w:kern w:val="0"/>
                <w:szCs w:val="21"/>
              </w:rPr>
              <w:t>300750</w:t>
            </w:r>
          </w:p>
        </w:tc>
        <w:tc>
          <w:tcPr>
            <w:tcW w:w="1701" w:type="dxa"/>
            <w:vAlign w:val="center"/>
          </w:tcPr>
          <w:p w:rsidR="008B7B65" w:rsidRDefault="00E96305">
            <w:pPr>
              <w:jc w:val="center"/>
            </w:pPr>
            <w:r>
              <w:rPr>
                <w:rFonts w:eastAsiaTheme="minorEastAsia"/>
                <w:kern w:val="0"/>
                <w:szCs w:val="21"/>
              </w:rPr>
              <w:t>宁德时代</w:t>
            </w:r>
          </w:p>
        </w:tc>
        <w:tc>
          <w:tcPr>
            <w:tcW w:w="1276" w:type="dxa"/>
            <w:vAlign w:val="center"/>
          </w:tcPr>
          <w:p w:rsidR="008B7B65" w:rsidRDefault="00E96305">
            <w:pPr>
              <w:jc w:val="right"/>
            </w:pPr>
            <w:r>
              <w:rPr>
                <w:rFonts w:eastAsiaTheme="minorEastAsia"/>
                <w:kern w:val="0"/>
                <w:szCs w:val="21"/>
              </w:rPr>
              <w:t>40,796</w:t>
            </w:r>
          </w:p>
        </w:tc>
        <w:tc>
          <w:tcPr>
            <w:tcW w:w="1842" w:type="dxa"/>
            <w:vAlign w:val="center"/>
          </w:tcPr>
          <w:p w:rsidR="008B7B65" w:rsidRDefault="00E96305">
            <w:pPr>
              <w:jc w:val="right"/>
            </w:pPr>
            <w:r>
              <w:rPr>
                <w:rFonts w:eastAsiaTheme="minorEastAsia"/>
                <w:kern w:val="0"/>
                <w:szCs w:val="21"/>
              </w:rPr>
              <w:t>20,899,790.80</w:t>
            </w:r>
          </w:p>
        </w:tc>
        <w:tc>
          <w:tcPr>
            <w:tcW w:w="1616" w:type="dxa"/>
            <w:vAlign w:val="center"/>
          </w:tcPr>
          <w:p w:rsidR="008B7B65" w:rsidRDefault="00E96305">
            <w:pPr>
              <w:jc w:val="right"/>
            </w:pPr>
            <w:r>
              <w:rPr>
                <w:rFonts w:eastAsiaTheme="minorEastAsia"/>
                <w:kern w:val="0"/>
                <w:szCs w:val="21"/>
              </w:rPr>
              <w:t>4.52</w:t>
            </w:r>
          </w:p>
        </w:tc>
      </w:tr>
      <w:tr w:rsidR="008B7B65">
        <w:tc>
          <w:tcPr>
            <w:tcW w:w="817" w:type="dxa"/>
            <w:vAlign w:val="center"/>
          </w:tcPr>
          <w:p w:rsidR="008B7B65" w:rsidRDefault="00E96305">
            <w:pPr>
              <w:jc w:val="center"/>
            </w:pPr>
            <w:r>
              <w:rPr>
                <w:rFonts w:eastAsiaTheme="minorEastAsia"/>
                <w:kern w:val="0"/>
                <w:szCs w:val="21"/>
              </w:rPr>
              <w:t>3</w:t>
            </w:r>
          </w:p>
        </w:tc>
        <w:tc>
          <w:tcPr>
            <w:tcW w:w="1276" w:type="dxa"/>
            <w:vAlign w:val="center"/>
          </w:tcPr>
          <w:p w:rsidR="008B7B65" w:rsidRDefault="00E96305">
            <w:pPr>
              <w:jc w:val="center"/>
            </w:pPr>
            <w:r>
              <w:rPr>
                <w:rFonts w:eastAsiaTheme="minorEastAsia"/>
                <w:kern w:val="0"/>
                <w:szCs w:val="21"/>
              </w:rPr>
              <w:t>002812</w:t>
            </w:r>
          </w:p>
        </w:tc>
        <w:tc>
          <w:tcPr>
            <w:tcW w:w="1701" w:type="dxa"/>
            <w:vAlign w:val="center"/>
          </w:tcPr>
          <w:p w:rsidR="008B7B65" w:rsidRDefault="00E96305">
            <w:pPr>
              <w:jc w:val="center"/>
            </w:pPr>
            <w:r>
              <w:rPr>
                <w:rFonts w:eastAsiaTheme="minorEastAsia"/>
                <w:kern w:val="0"/>
                <w:szCs w:val="21"/>
              </w:rPr>
              <w:t>恩捷股份</w:t>
            </w:r>
          </w:p>
        </w:tc>
        <w:tc>
          <w:tcPr>
            <w:tcW w:w="1276" w:type="dxa"/>
            <w:vAlign w:val="center"/>
          </w:tcPr>
          <w:p w:rsidR="008B7B65" w:rsidRDefault="00E96305">
            <w:pPr>
              <w:jc w:val="right"/>
            </w:pPr>
            <w:r>
              <w:rPr>
                <w:rFonts w:eastAsiaTheme="minorEastAsia"/>
                <w:kern w:val="0"/>
                <w:szCs w:val="21"/>
              </w:rPr>
              <w:t>90,540</w:t>
            </w:r>
          </w:p>
        </w:tc>
        <w:tc>
          <w:tcPr>
            <w:tcW w:w="1842" w:type="dxa"/>
            <w:vAlign w:val="center"/>
          </w:tcPr>
          <w:p w:rsidR="008B7B65" w:rsidRDefault="00E96305">
            <w:pPr>
              <w:jc w:val="right"/>
            </w:pPr>
            <w:r>
              <w:rPr>
                <w:rFonts w:eastAsiaTheme="minorEastAsia"/>
                <w:kern w:val="0"/>
                <w:szCs w:val="21"/>
              </w:rPr>
              <w:t>19,918,800.00</w:t>
            </w:r>
          </w:p>
        </w:tc>
        <w:tc>
          <w:tcPr>
            <w:tcW w:w="1616" w:type="dxa"/>
            <w:vAlign w:val="center"/>
          </w:tcPr>
          <w:p w:rsidR="008B7B65" w:rsidRDefault="00E96305">
            <w:pPr>
              <w:jc w:val="right"/>
            </w:pPr>
            <w:r>
              <w:rPr>
                <w:rFonts w:eastAsiaTheme="minorEastAsia"/>
                <w:kern w:val="0"/>
                <w:szCs w:val="21"/>
              </w:rPr>
              <w:t>4.30</w:t>
            </w:r>
          </w:p>
        </w:tc>
      </w:tr>
      <w:tr w:rsidR="008B7B65">
        <w:tc>
          <w:tcPr>
            <w:tcW w:w="817" w:type="dxa"/>
            <w:vAlign w:val="center"/>
          </w:tcPr>
          <w:p w:rsidR="008B7B65" w:rsidRDefault="00E96305">
            <w:pPr>
              <w:jc w:val="center"/>
            </w:pPr>
            <w:r>
              <w:rPr>
                <w:rFonts w:eastAsiaTheme="minorEastAsia"/>
                <w:kern w:val="0"/>
                <w:szCs w:val="21"/>
              </w:rPr>
              <w:t>4</w:t>
            </w:r>
          </w:p>
        </w:tc>
        <w:tc>
          <w:tcPr>
            <w:tcW w:w="1276" w:type="dxa"/>
            <w:vAlign w:val="center"/>
          </w:tcPr>
          <w:p w:rsidR="008B7B65" w:rsidRDefault="00E96305">
            <w:pPr>
              <w:jc w:val="center"/>
            </w:pPr>
            <w:r>
              <w:rPr>
                <w:rFonts w:eastAsiaTheme="minorEastAsia"/>
                <w:kern w:val="0"/>
                <w:szCs w:val="21"/>
              </w:rPr>
              <w:t>601398</w:t>
            </w:r>
          </w:p>
        </w:tc>
        <w:tc>
          <w:tcPr>
            <w:tcW w:w="1701" w:type="dxa"/>
            <w:vAlign w:val="center"/>
          </w:tcPr>
          <w:p w:rsidR="008B7B65" w:rsidRDefault="00E96305">
            <w:pPr>
              <w:jc w:val="center"/>
            </w:pPr>
            <w:r>
              <w:rPr>
                <w:rFonts w:eastAsiaTheme="minorEastAsia"/>
                <w:kern w:val="0"/>
                <w:szCs w:val="21"/>
              </w:rPr>
              <w:t>工商银行</w:t>
            </w:r>
          </w:p>
        </w:tc>
        <w:tc>
          <w:tcPr>
            <w:tcW w:w="1276" w:type="dxa"/>
            <w:vAlign w:val="center"/>
          </w:tcPr>
          <w:p w:rsidR="008B7B65" w:rsidRDefault="00E96305">
            <w:pPr>
              <w:jc w:val="right"/>
            </w:pPr>
            <w:r>
              <w:rPr>
                <w:rFonts w:eastAsiaTheme="minorEastAsia"/>
                <w:kern w:val="0"/>
                <w:szCs w:val="21"/>
              </w:rPr>
              <w:t>3,444,433</w:t>
            </w:r>
          </w:p>
        </w:tc>
        <w:tc>
          <w:tcPr>
            <w:tcW w:w="1842" w:type="dxa"/>
            <w:vAlign w:val="center"/>
          </w:tcPr>
          <w:p w:rsidR="008B7B65" w:rsidRDefault="00E96305">
            <w:pPr>
              <w:jc w:val="right"/>
            </w:pPr>
            <w:r>
              <w:rPr>
                <w:rFonts w:eastAsiaTheme="minorEastAsia"/>
                <w:kern w:val="0"/>
                <w:szCs w:val="21"/>
              </w:rPr>
              <w:t>16,429,945.41</w:t>
            </w:r>
          </w:p>
        </w:tc>
        <w:tc>
          <w:tcPr>
            <w:tcW w:w="1616" w:type="dxa"/>
            <w:vAlign w:val="center"/>
          </w:tcPr>
          <w:p w:rsidR="008B7B65" w:rsidRDefault="00E96305">
            <w:pPr>
              <w:jc w:val="right"/>
            </w:pPr>
            <w:r>
              <w:rPr>
                <w:rFonts w:eastAsiaTheme="minorEastAsia"/>
                <w:kern w:val="0"/>
                <w:szCs w:val="21"/>
              </w:rPr>
              <w:t>3.55</w:t>
            </w:r>
          </w:p>
        </w:tc>
      </w:tr>
      <w:tr w:rsidR="008B7B65">
        <w:tc>
          <w:tcPr>
            <w:tcW w:w="817" w:type="dxa"/>
            <w:vAlign w:val="center"/>
          </w:tcPr>
          <w:p w:rsidR="008B7B65" w:rsidRDefault="00E96305">
            <w:pPr>
              <w:jc w:val="center"/>
            </w:pPr>
            <w:r>
              <w:rPr>
                <w:rFonts w:eastAsiaTheme="minorEastAsia"/>
                <w:kern w:val="0"/>
                <w:szCs w:val="21"/>
              </w:rPr>
              <w:t>5</w:t>
            </w:r>
          </w:p>
        </w:tc>
        <w:tc>
          <w:tcPr>
            <w:tcW w:w="1276" w:type="dxa"/>
            <w:vAlign w:val="center"/>
          </w:tcPr>
          <w:p w:rsidR="008B7B65" w:rsidRDefault="00E96305">
            <w:pPr>
              <w:jc w:val="center"/>
            </w:pPr>
            <w:r>
              <w:rPr>
                <w:rFonts w:eastAsiaTheme="minorEastAsia"/>
                <w:kern w:val="0"/>
                <w:szCs w:val="21"/>
              </w:rPr>
              <w:t>002049</w:t>
            </w:r>
          </w:p>
        </w:tc>
        <w:tc>
          <w:tcPr>
            <w:tcW w:w="1701" w:type="dxa"/>
            <w:vAlign w:val="center"/>
          </w:tcPr>
          <w:p w:rsidR="008B7B65" w:rsidRDefault="00E96305">
            <w:pPr>
              <w:jc w:val="center"/>
            </w:pPr>
            <w:r>
              <w:rPr>
                <w:rFonts w:eastAsiaTheme="minorEastAsia"/>
                <w:kern w:val="0"/>
                <w:szCs w:val="21"/>
              </w:rPr>
              <w:t>紫光国微</w:t>
            </w:r>
          </w:p>
        </w:tc>
        <w:tc>
          <w:tcPr>
            <w:tcW w:w="1276" w:type="dxa"/>
            <w:vAlign w:val="center"/>
          </w:tcPr>
          <w:p w:rsidR="008B7B65" w:rsidRDefault="00E96305">
            <w:pPr>
              <w:jc w:val="right"/>
            </w:pPr>
            <w:r>
              <w:rPr>
                <w:rFonts w:eastAsiaTheme="minorEastAsia"/>
                <w:kern w:val="0"/>
                <w:szCs w:val="21"/>
              </w:rPr>
              <w:t>77,722</w:t>
            </w:r>
          </w:p>
        </w:tc>
        <w:tc>
          <w:tcPr>
            <w:tcW w:w="1842" w:type="dxa"/>
            <w:vAlign w:val="center"/>
          </w:tcPr>
          <w:p w:rsidR="008B7B65" w:rsidRDefault="00E96305">
            <w:pPr>
              <w:jc w:val="right"/>
            </w:pPr>
            <w:r>
              <w:rPr>
                <w:rFonts w:eastAsiaTheme="minorEastAsia"/>
                <w:kern w:val="0"/>
                <w:szCs w:val="21"/>
              </w:rPr>
              <w:t>15,897,257.88</w:t>
            </w:r>
          </w:p>
        </w:tc>
        <w:tc>
          <w:tcPr>
            <w:tcW w:w="1616" w:type="dxa"/>
            <w:vAlign w:val="center"/>
          </w:tcPr>
          <w:p w:rsidR="008B7B65" w:rsidRDefault="00E96305">
            <w:pPr>
              <w:jc w:val="right"/>
            </w:pPr>
            <w:r>
              <w:rPr>
                <w:rFonts w:eastAsiaTheme="minorEastAsia"/>
                <w:kern w:val="0"/>
                <w:szCs w:val="21"/>
              </w:rPr>
              <w:t>3.44</w:t>
            </w:r>
          </w:p>
        </w:tc>
      </w:tr>
      <w:tr w:rsidR="008B7B65">
        <w:tc>
          <w:tcPr>
            <w:tcW w:w="817" w:type="dxa"/>
            <w:vAlign w:val="center"/>
          </w:tcPr>
          <w:p w:rsidR="008B7B65" w:rsidRDefault="00E96305">
            <w:pPr>
              <w:jc w:val="center"/>
            </w:pPr>
            <w:r>
              <w:rPr>
                <w:rFonts w:eastAsiaTheme="minorEastAsia"/>
                <w:kern w:val="0"/>
                <w:szCs w:val="21"/>
              </w:rPr>
              <w:t>6</w:t>
            </w:r>
          </w:p>
        </w:tc>
        <w:tc>
          <w:tcPr>
            <w:tcW w:w="1276" w:type="dxa"/>
            <w:vAlign w:val="center"/>
          </w:tcPr>
          <w:p w:rsidR="008B7B65" w:rsidRDefault="00E96305">
            <w:pPr>
              <w:jc w:val="center"/>
            </w:pPr>
            <w:r>
              <w:rPr>
                <w:rFonts w:eastAsiaTheme="minorEastAsia"/>
                <w:kern w:val="0"/>
                <w:szCs w:val="21"/>
              </w:rPr>
              <w:t>601288</w:t>
            </w:r>
          </w:p>
        </w:tc>
        <w:tc>
          <w:tcPr>
            <w:tcW w:w="1701" w:type="dxa"/>
            <w:vAlign w:val="center"/>
          </w:tcPr>
          <w:p w:rsidR="008B7B65" w:rsidRDefault="00E96305">
            <w:pPr>
              <w:jc w:val="center"/>
            </w:pPr>
            <w:r>
              <w:rPr>
                <w:rFonts w:eastAsiaTheme="minorEastAsia"/>
                <w:kern w:val="0"/>
                <w:szCs w:val="21"/>
              </w:rPr>
              <w:t>农业银行</w:t>
            </w:r>
          </w:p>
        </w:tc>
        <w:tc>
          <w:tcPr>
            <w:tcW w:w="1276" w:type="dxa"/>
            <w:vAlign w:val="center"/>
          </w:tcPr>
          <w:p w:rsidR="008B7B65" w:rsidRDefault="00E96305">
            <w:pPr>
              <w:jc w:val="right"/>
            </w:pPr>
            <w:r>
              <w:rPr>
                <w:rFonts w:eastAsiaTheme="minorEastAsia"/>
                <w:kern w:val="0"/>
                <w:szCs w:val="21"/>
              </w:rPr>
              <w:t>5,055,000</w:t>
            </w:r>
          </w:p>
        </w:tc>
        <w:tc>
          <w:tcPr>
            <w:tcW w:w="1842" w:type="dxa"/>
            <w:vAlign w:val="center"/>
          </w:tcPr>
          <w:p w:rsidR="008B7B65" w:rsidRDefault="00E96305">
            <w:pPr>
              <w:jc w:val="right"/>
            </w:pPr>
            <w:r>
              <w:rPr>
                <w:rFonts w:eastAsiaTheme="minorEastAsia"/>
                <w:kern w:val="0"/>
                <w:szCs w:val="21"/>
              </w:rPr>
              <w:t>15,569,400.00</w:t>
            </w:r>
          </w:p>
        </w:tc>
        <w:tc>
          <w:tcPr>
            <w:tcW w:w="1616" w:type="dxa"/>
            <w:vAlign w:val="center"/>
          </w:tcPr>
          <w:p w:rsidR="008B7B65" w:rsidRDefault="00E96305">
            <w:pPr>
              <w:jc w:val="right"/>
            </w:pPr>
            <w:r>
              <w:rPr>
                <w:rFonts w:eastAsiaTheme="minorEastAsia"/>
                <w:kern w:val="0"/>
                <w:szCs w:val="21"/>
              </w:rPr>
              <w:t>3.36</w:t>
            </w:r>
          </w:p>
        </w:tc>
      </w:tr>
      <w:tr w:rsidR="008B7B65">
        <w:tc>
          <w:tcPr>
            <w:tcW w:w="817" w:type="dxa"/>
            <w:vAlign w:val="center"/>
          </w:tcPr>
          <w:p w:rsidR="008B7B65" w:rsidRDefault="00E96305">
            <w:pPr>
              <w:jc w:val="center"/>
            </w:pPr>
            <w:r>
              <w:rPr>
                <w:rFonts w:eastAsiaTheme="minorEastAsia"/>
                <w:kern w:val="0"/>
                <w:szCs w:val="21"/>
              </w:rPr>
              <w:t>7</w:t>
            </w:r>
          </w:p>
        </w:tc>
        <w:tc>
          <w:tcPr>
            <w:tcW w:w="1276" w:type="dxa"/>
            <w:vAlign w:val="center"/>
          </w:tcPr>
          <w:p w:rsidR="008B7B65" w:rsidRDefault="00E96305">
            <w:pPr>
              <w:jc w:val="center"/>
            </w:pPr>
            <w:r>
              <w:rPr>
                <w:rFonts w:eastAsiaTheme="minorEastAsia"/>
                <w:kern w:val="0"/>
                <w:szCs w:val="21"/>
              </w:rPr>
              <w:t>000733</w:t>
            </w:r>
          </w:p>
        </w:tc>
        <w:tc>
          <w:tcPr>
            <w:tcW w:w="1701" w:type="dxa"/>
            <w:vAlign w:val="center"/>
          </w:tcPr>
          <w:p w:rsidR="008B7B65" w:rsidRDefault="00E96305">
            <w:pPr>
              <w:jc w:val="center"/>
            </w:pPr>
            <w:r>
              <w:rPr>
                <w:rFonts w:eastAsiaTheme="minorEastAsia"/>
                <w:kern w:val="0"/>
                <w:szCs w:val="21"/>
              </w:rPr>
              <w:t>振华科技</w:t>
            </w:r>
          </w:p>
        </w:tc>
        <w:tc>
          <w:tcPr>
            <w:tcW w:w="1276" w:type="dxa"/>
            <w:vAlign w:val="center"/>
          </w:tcPr>
          <w:p w:rsidR="008B7B65" w:rsidRDefault="00E96305">
            <w:pPr>
              <w:jc w:val="right"/>
            </w:pPr>
            <w:r>
              <w:rPr>
                <w:rFonts w:eastAsiaTheme="minorEastAsia"/>
                <w:kern w:val="0"/>
                <w:szCs w:val="21"/>
              </w:rPr>
              <w:t>131,467</w:t>
            </w:r>
          </w:p>
        </w:tc>
        <w:tc>
          <w:tcPr>
            <w:tcW w:w="1842" w:type="dxa"/>
            <w:vAlign w:val="center"/>
          </w:tcPr>
          <w:p w:rsidR="008B7B65" w:rsidRDefault="00E96305">
            <w:pPr>
              <w:jc w:val="right"/>
            </w:pPr>
            <w:r>
              <w:rPr>
                <w:rFonts w:eastAsiaTheme="minorEastAsia"/>
                <w:kern w:val="0"/>
                <w:szCs w:val="21"/>
              </w:rPr>
              <w:t>14,908,357.80</w:t>
            </w:r>
          </w:p>
        </w:tc>
        <w:tc>
          <w:tcPr>
            <w:tcW w:w="1616" w:type="dxa"/>
            <w:vAlign w:val="center"/>
          </w:tcPr>
          <w:p w:rsidR="008B7B65" w:rsidRDefault="00E96305">
            <w:pPr>
              <w:jc w:val="right"/>
            </w:pPr>
            <w:r>
              <w:rPr>
                <w:rFonts w:eastAsiaTheme="minorEastAsia"/>
                <w:kern w:val="0"/>
                <w:szCs w:val="21"/>
              </w:rPr>
              <w:t>3.22</w:t>
            </w:r>
          </w:p>
        </w:tc>
      </w:tr>
      <w:tr w:rsidR="008B7B65">
        <w:tc>
          <w:tcPr>
            <w:tcW w:w="817" w:type="dxa"/>
            <w:vAlign w:val="center"/>
          </w:tcPr>
          <w:p w:rsidR="008B7B65" w:rsidRDefault="00E96305">
            <w:pPr>
              <w:jc w:val="center"/>
            </w:pPr>
            <w:r>
              <w:rPr>
                <w:rFonts w:eastAsiaTheme="minorEastAsia"/>
                <w:kern w:val="0"/>
                <w:szCs w:val="21"/>
              </w:rPr>
              <w:t>8</w:t>
            </w:r>
          </w:p>
        </w:tc>
        <w:tc>
          <w:tcPr>
            <w:tcW w:w="1276" w:type="dxa"/>
            <w:vAlign w:val="center"/>
          </w:tcPr>
          <w:p w:rsidR="008B7B65" w:rsidRDefault="00E96305">
            <w:pPr>
              <w:jc w:val="center"/>
            </w:pPr>
            <w:r>
              <w:rPr>
                <w:rFonts w:eastAsiaTheme="minorEastAsia"/>
                <w:kern w:val="0"/>
                <w:szCs w:val="21"/>
              </w:rPr>
              <w:t>601939</w:t>
            </w:r>
          </w:p>
        </w:tc>
        <w:tc>
          <w:tcPr>
            <w:tcW w:w="1701" w:type="dxa"/>
            <w:vAlign w:val="center"/>
          </w:tcPr>
          <w:p w:rsidR="008B7B65" w:rsidRDefault="00E96305">
            <w:pPr>
              <w:jc w:val="center"/>
            </w:pPr>
            <w:r>
              <w:rPr>
                <w:rFonts w:eastAsiaTheme="minorEastAsia"/>
                <w:kern w:val="0"/>
                <w:szCs w:val="21"/>
              </w:rPr>
              <w:t>建设银行</w:t>
            </w:r>
          </w:p>
        </w:tc>
        <w:tc>
          <w:tcPr>
            <w:tcW w:w="1276" w:type="dxa"/>
            <w:vAlign w:val="center"/>
          </w:tcPr>
          <w:p w:rsidR="008B7B65" w:rsidRDefault="00E96305">
            <w:pPr>
              <w:jc w:val="right"/>
            </w:pPr>
            <w:r>
              <w:rPr>
                <w:rFonts w:eastAsiaTheme="minorEastAsia"/>
                <w:kern w:val="0"/>
                <w:szCs w:val="21"/>
              </w:rPr>
              <w:t>2,313,000</w:t>
            </w:r>
          </w:p>
        </w:tc>
        <w:tc>
          <w:tcPr>
            <w:tcW w:w="1842" w:type="dxa"/>
            <w:vAlign w:val="center"/>
          </w:tcPr>
          <w:p w:rsidR="008B7B65" w:rsidRDefault="00E96305">
            <w:pPr>
              <w:jc w:val="right"/>
            </w:pPr>
            <w:r>
              <w:rPr>
                <w:rFonts w:eastAsiaTheme="minorEastAsia"/>
                <w:kern w:val="0"/>
                <w:szCs w:val="21"/>
              </w:rPr>
              <w:t>14,548,770.00</w:t>
            </w:r>
          </w:p>
        </w:tc>
        <w:tc>
          <w:tcPr>
            <w:tcW w:w="1616" w:type="dxa"/>
            <w:vAlign w:val="center"/>
          </w:tcPr>
          <w:p w:rsidR="008B7B65" w:rsidRDefault="00E96305">
            <w:pPr>
              <w:jc w:val="right"/>
            </w:pPr>
            <w:r>
              <w:rPr>
                <w:rFonts w:eastAsiaTheme="minorEastAsia"/>
                <w:kern w:val="0"/>
                <w:szCs w:val="21"/>
              </w:rPr>
              <w:t>3.14</w:t>
            </w:r>
          </w:p>
        </w:tc>
      </w:tr>
      <w:tr w:rsidR="008B7B65">
        <w:tc>
          <w:tcPr>
            <w:tcW w:w="817" w:type="dxa"/>
            <w:vAlign w:val="center"/>
          </w:tcPr>
          <w:p w:rsidR="008B7B65" w:rsidRDefault="00E96305">
            <w:pPr>
              <w:jc w:val="center"/>
            </w:pPr>
            <w:r>
              <w:rPr>
                <w:rFonts w:eastAsiaTheme="minorEastAsia"/>
                <w:kern w:val="0"/>
                <w:szCs w:val="21"/>
              </w:rPr>
              <w:t>9</w:t>
            </w:r>
          </w:p>
        </w:tc>
        <w:tc>
          <w:tcPr>
            <w:tcW w:w="1276" w:type="dxa"/>
            <w:vAlign w:val="center"/>
          </w:tcPr>
          <w:p w:rsidR="008B7B65" w:rsidRDefault="00E96305">
            <w:pPr>
              <w:jc w:val="center"/>
            </w:pPr>
            <w:r>
              <w:rPr>
                <w:rFonts w:eastAsiaTheme="minorEastAsia"/>
                <w:kern w:val="0"/>
                <w:szCs w:val="21"/>
              </w:rPr>
              <w:t>601328</w:t>
            </w:r>
          </w:p>
        </w:tc>
        <w:tc>
          <w:tcPr>
            <w:tcW w:w="1701" w:type="dxa"/>
            <w:vAlign w:val="center"/>
          </w:tcPr>
          <w:p w:rsidR="008B7B65" w:rsidRDefault="00E96305">
            <w:pPr>
              <w:jc w:val="center"/>
            </w:pPr>
            <w:r>
              <w:rPr>
                <w:rFonts w:eastAsiaTheme="minorEastAsia"/>
                <w:kern w:val="0"/>
                <w:szCs w:val="21"/>
              </w:rPr>
              <w:t>交通银行</w:t>
            </w:r>
          </w:p>
        </w:tc>
        <w:tc>
          <w:tcPr>
            <w:tcW w:w="1276" w:type="dxa"/>
            <w:vAlign w:val="center"/>
          </w:tcPr>
          <w:p w:rsidR="008B7B65" w:rsidRDefault="00E96305">
            <w:pPr>
              <w:jc w:val="right"/>
            </w:pPr>
            <w:r>
              <w:rPr>
                <w:rFonts w:eastAsiaTheme="minorEastAsia"/>
                <w:kern w:val="0"/>
                <w:szCs w:val="21"/>
              </w:rPr>
              <w:t>2,846,300</w:t>
            </w:r>
          </w:p>
        </w:tc>
        <w:tc>
          <w:tcPr>
            <w:tcW w:w="1842" w:type="dxa"/>
            <w:vAlign w:val="center"/>
          </w:tcPr>
          <w:p w:rsidR="008B7B65" w:rsidRDefault="00E96305">
            <w:pPr>
              <w:jc w:val="right"/>
            </w:pPr>
            <w:r>
              <w:rPr>
                <w:rFonts w:eastAsiaTheme="minorEastAsia"/>
                <w:kern w:val="0"/>
                <w:szCs w:val="21"/>
              </w:rPr>
              <w:t>14,544,593.00</w:t>
            </w:r>
          </w:p>
        </w:tc>
        <w:tc>
          <w:tcPr>
            <w:tcW w:w="1616" w:type="dxa"/>
            <w:vAlign w:val="center"/>
          </w:tcPr>
          <w:p w:rsidR="008B7B65" w:rsidRDefault="00E96305">
            <w:pPr>
              <w:jc w:val="right"/>
            </w:pPr>
            <w:r>
              <w:rPr>
                <w:rFonts w:eastAsiaTheme="minorEastAsia"/>
                <w:kern w:val="0"/>
                <w:szCs w:val="21"/>
              </w:rPr>
              <w:t>3.14</w:t>
            </w:r>
          </w:p>
        </w:tc>
      </w:tr>
      <w:tr w:rsidR="008B7B65">
        <w:tc>
          <w:tcPr>
            <w:tcW w:w="817" w:type="dxa"/>
            <w:vAlign w:val="center"/>
          </w:tcPr>
          <w:p w:rsidR="008B7B65" w:rsidRDefault="00E96305">
            <w:pPr>
              <w:jc w:val="center"/>
            </w:pPr>
            <w:r>
              <w:rPr>
                <w:rFonts w:eastAsiaTheme="minorEastAsia"/>
                <w:kern w:val="0"/>
                <w:szCs w:val="21"/>
              </w:rPr>
              <w:t>10</w:t>
            </w:r>
          </w:p>
        </w:tc>
        <w:tc>
          <w:tcPr>
            <w:tcW w:w="1276" w:type="dxa"/>
            <w:vAlign w:val="center"/>
          </w:tcPr>
          <w:p w:rsidR="008B7B65" w:rsidRDefault="00E96305">
            <w:pPr>
              <w:jc w:val="center"/>
            </w:pPr>
            <w:r>
              <w:rPr>
                <w:rFonts w:eastAsiaTheme="minorEastAsia"/>
                <w:kern w:val="0"/>
                <w:szCs w:val="21"/>
              </w:rPr>
              <w:t>300363</w:t>
            </w:r>
          </w:p>
        </w:tc>
        <w:tc>
          <w:tcPr>
            <w:tcW w:w="1701" w:type="dxa"/>
            <w:vAlign w:val="center"/>
          </w:tcPr>
          <w:p w:rsidR="008B7B65" w:rsidRDefault="00E96305">
            <w:pPr>
              <w:jc w:val="center"/>
            </w:pPr>
            <w:r>
              <w:rPr>
                <w:rFonts w:eastAsiaTheme="minorEastAsia"/>
                <w:kern w:val="0"/>
                <w:szCs w:val="21"/>
              </w:rPr>
              <w:t>博腾股份</w:t>
            </w:r>
          </w:p>
        </w:tc>
        <w:tc>
          <w:tcPr>
            <w:tcW w:w="1276" w:type="dxa"/>
            <w:vAlign w:val="center"/>
          </w:tcPr>
          <w:p w:rsidR="008B7B65" w:rsidRDefault="00E96305">
            <w:pPr>
              <w:jc w:val="right"/>
            </w:pPr>
            <w:r>
              <w:rPr>
                <w:rFonts w:eastAsiaTheme="minorEastAsia"/>
                <w:kern w:val="0"/>
                <w:szCs w:val="21"/>
              </w:rPr>
              <w:t>144,942</w:t>
            </w:r>
          </w:p>
        </w:tc>
        <w:tc>
          <w:tcPr>
            <w:tcW w:w="1842" w:type="dxa"/>
            <w:vAlign w:val="center"/>
          </w:tcPr>
          <w:p w:rsidR="008B7B65" w:rsidRDefault="00E96305">
            <w:pPr>
              <w:jc w:val="right"/>
            </w:pPr>
            <w:r>
              <w:rPr>
                <w:rFonts w:eastAsiaTheme="minorEastAsia"/>
                <w:kern w:val="0"/>
                <w:szCs w:val="21"/>
              </w:rPr>
              <w:t>14,008,644.30</w:t>
            </w:r>
          </w:p>
        </w:tc>
        <w:tc>
          <w:tcPr>
            <w:tcW w:w="1616" w:type="dxa"/>
            <w:vAlign w:val="center"/>
          </w:tcPr>
          <w:p w:rsidR="008B7B65" w:rsidRDefault="00E96305">
            <w:pPr>
              <w:jc w:val="right"/>
            </w:pPr>
            <w:r>
              <w:rPr>
                <w:rFonts w:eastAsiaTheme="minorEastAsia"/>
                <w:kern w:val="0"/>
                <w:szCs w:val="21"/>
              </w:rPr>
              <w:t>3.03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215,610.68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11,110,482.45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38,162.25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11,364,258.35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705C35" w:rsidRPr="00B27A29" w:rsidTr="00D459C0">
        <w:tc>
          <w:tcPr>
            <w:tcW w:w="3900"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705C35" w:rsidRPr="00B27A29" w:rsidTr="00D459C0">
        <w:tc>
          <w:tcPr>
            <w:tcW w:w="3900"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329,631,753.87</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705C35" w:rsidRPr="00B27A29" w:rsidTr="00D459C0">
        <w:tc>
          <w:tcPr>
            <w:tcW w:w="3900"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9,236,411.17</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25,200.38</w:t>
            </w:r>
          </w:p>
        </w:tc>
      </w:tr>
      <w:tr w:rsidR="00705C35" w:rsidRPr="00B27A29" w:rsidTr="00D459C0">
        <w:tc>
          <w:tcPr>
            <w:tcW w:w="3900"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54,516,487.61</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121.75</w:t>
            </w:r>
          </w:p>
        </w:tc>
      </w:tr>
      <w:tr w:rsidR="00705C35" w:rsidRPr="00B27A29" w:rsidTr="00D459C0">
        <w:tc>
          <w:tcPr>
            <w:tcW w:w="3900"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705C35" w:rsidRPr="00B27A29" w:rsidTr="00D459C0">
        <w:tc>
          <w:tcPr>
            <w:tcW w:w="3900"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284,351,677.43</w:t>
            </w:r>
          </w:p>
        </w:tc>
        <w:tc>
          <w:tcPr>
            <w:tcW w:w="2367" w:type="dxa"/>
            <w:tcBorders>
              <w:top w:val="single" w:sz="8" w:space="0" w:color="000000"/>
              <w:left w:val="single" w:sz="8" w:space="0" w:color="000000"/>
              <w:bottom w:val="single" w:sz="8" w:space="0" w:color="000000"/>
              <w:right w:val="single" w:sz="8" w:space="0" w:color="000000"/>
            </w:tcBorders>
            <w:vAlign w:val="center"/>
          </w:tcPr>
          <w:p w:rsidR="00705C35" w:rsidRPr="00B27A29" w:rsidRDefault="00705C35" w:rsidP="00D459C0">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25,078.63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中国证监会准予上投摩根安全战略股票型证券投资基金募集注册的文件；</w:t>
      </w:r>
      <w:r>
        <w:rPr>
          <w:rFonts w:eastAsiaTheme="minorEastAsia"/>
          <w:color w:val="000000" w:themeColor="text1"/>
          <w:szCs w:val="21"/>
        </w:rPr>
        <w:t xml:space="preserve"> </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《上投摩根安全战略股票型证券投资基金基金合同》；</w:t>
      </w:r>
      <w:r>
        <w:rPr>
          <w:rFonts w:eastAsiaTheme="minorEastAsia"/>
          <w:color w:val="000000" w:themeColor="text1"/>
          <w:szCs w:val="21"/>
        </w:rPr>
        <w:t xml:space="preserve"> </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《上投摩根安全战略股票型证券投资基金托管协议》；</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8B7B65" w:rsidRDefault="00E96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35BC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35BC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35BCF">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上投摩根安全战略股票型证券投资基金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5BCF"/>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B18"/>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5C35"/>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B65"/>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305"/>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160D"/>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192458314">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55851-3340-4BD7-B73C-ABE2FEE0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1179</Words>
  <Characters>6722</Characters>
  <Application>Microsoft Office Word</Application>
  <DocSecurity>0</DocSecurity>
  <Lines>56</Lines>
  <Paragraphs>15</Paragraphs>
  <ScaleCrop>false</ScaleCrop>
  <Company>TRT. Ltd. Co.</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222</cp:revision>
  <cp:lastPrinted>2007-07-19T00:46:00Z</cp:lastPrinted>
  <dcterms:created xsi:type="dcterms:W3CDTF">2013-06-21T06:56:00Z</dcterms:created>
  <dcterms:modified xsi:type="dcterms:W3CDTF">2022-04-21T03:32:00Z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