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bookmarkStart w:id="0" w:name="_GoBack"/>
      <w:bookmarkEnd w:id="0"/>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上投摩根安全战略股票型证券投资基金</w:t>
      </w: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2021</w:t>
      </w:r>
      <w:r w:rsidRPr="00FF6B9A">
        <w:rPr>
          <w:rFonts w:eastAsiaTheme="minorEastAsia"/>
          <w:b/>
          <w:color w:val="000000" w:themeColor="text1"/>
          <w:sz w:val="36"/>
          <w:szCs w:val="36"/>
        </w:rPr>
        <w:t>年第</w:t>
      </w:r>
      <w:r w:rsidRPr="00FF6B9A">
        <w:rPr>
          <w:rFonts w:eastAsiaTheme="minorEastAsia"/>
          <w:b/>
          <w:color w:val="000000" w:themeColor="text1"/>
          <w:sz w:val="36"/>
          <w:szCs w:val="36"/>
        </w:rPr>
        <w:t>4</w:t>
      </w:r>
      <w:r w:rsidRPr="00FF6B9A">
        <w:rPr>
          <w:rFonts w:eastAsiaTheme="minorEastAsia"/>
          <w:b/>
          <w:color w:val="000000" w:themeColor="text1"/>
          <w:sz w:val="36"/>
          <w:szCs w:val="36"/>
        </w:rPr>
        <w:t>季度报告</w:t>
      </w: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2021</w:t>
      </w:r>
      <w:r w:rsidRPr="00FF6B9A">
        <w:rPr>
          <w:rFonts w:eastAsiaTheme="minorEastAsia"/>
          <w:b/>
          <w:color w:val="000000" w:themeColor="text1"/>
          <w:sz w:val="36"/>
          <w:szCs w:val="36"/>
        </w:rPr>
        <w:t>年</w:t>
      </w:r>
      <w:r w:rsidRPr="00FF6B9A">
        <w:rPr>
          <w:rFonts w:eastAsiaTheme="minorEastAsia"/>
          <w:b/>
          <w:color w:val="000000" w:themeColor="text1"/>
          <w:sz w:val="36"/>
          <w:szCs w:val="36"/>
        </w:rPr>
        <w:t>12</w:t>
      </w:r>
      <w:r w:rsidRPr="00FF6B9A">
        <w:rPr>
          <w:rFonts w:eastAsiaTheme="minorEastAsia"/>
          <w:b/>
          <w:color w:val="000000" w:themeColor="text1"/>
          <w:sz w:val="36"/>
          <w:szCs w:val="36"/>
        </w:rPr>
        <w:t>月</w:t>
      </w:r>
      <w:r w:rsidRPr="00FF6B9A">
        <w:rPr>
          <w:rFonts w:eastAsiaTheme="minorEastAsia"/>
          <w:b/>
          <w:color w:val="000000" w:themeColor="text1"/>
          <w:sz w:val="36"/>
          <w:szCs w:val="36"/>
        </w:rPr>
        <w:t>31</w:t>
      </w:r>
      <w:r w:rsidRPr="00FF6B9A">
        <w:rPr>
          <w:rFonts w:eastAsiaTheme="minorEastAsia"/>
          <w:b/>
          <w:color w:val="000000" w:themeColor="text1"/>
          <w:sz w:val="36"/>
          <w:szCs w:val="36"/>
        </w:rPr>
        <w:t>日</w:t>
      </w: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rPr>
          <w:rFonts w:eastAsiaTheme="minorEastAsia"/>
          <w:b/>
          <w:bCs/>
          <w:color w:val="000000" w:themeColor="text1"/>
          <w:sz w:val="24"/>
          <w:szCs w:val="24"/>
        </w:rPr>
      </w:pPr>
    </w:p>
    <w:p w:rsidR="00D06738" w:rsidRPr="00FF6B9A" w:rsidRDefault="00454D20">
      <w:pPr>
        <w:spacing w:line="360" w:lineRule="auto"/>
        <w:ind w:firstLineChars="900" w:firstLine="2168"/>
        <w:rPr>
          <w:rFonts w:eastAsiaTheme="minorEastAsia"/>
          <w:b/>
          <w:color w:val="000000" w:themeColor="text1"/>
          <w:sz w:val="24"/>
          <w:szCs w:val="24"/>
        </w:rPr>
      </w:pPr>
      <w:r w:rsidRPr="00FF6B9A">
        <w:rPr>
          <w:rFonts w:eastAsiaTheme="minorEastAsia"/>
          <w:b/>
          <w:color w:val="000000" w:themeColor="text1"/>
          <w:sz w:val="24"/>
          <w:szCs w:val="24"/>
        </w:rPr>
        <w:t>基金管理人：上投摩根基金管理有限公司</w:t>
      </w:r>
    </w:p>
    <w:p w:rsidR="00D06738" w:rsidRPr="00FF6B9A" w:rsidRDefault="00454D20">
      <w:pPr>
        <w:spacing w:line="360" w:lineRule="auto"/>
        <w:ind w:firstLineChars="900" w:firstLine="2168"/>
        <w:rPr>
          <w:rFonts w:eastAsiaTheme="minorEastAsia"/>
          <w:b/>
          <w:color w:val="000000" w:themeColor="text1"/>
          <w:sz w:val="24"/>
          <w:szCs w:val="24"/>
        </w:rPr>
      </w:pPr>
      <w:r w:rsidRPr="00FF6B9A">
        <w:rPr>
          <w:rFonts w:eastAsiaTheme="minorEastAsia"/>
          <w:b/>
          <w:color w:val="000000" w:themeColor="text1"/>
          <w:sz w:val="24"/>
          <w:szCs w:val="24"/>
        </w:rPr>
        <w:t>基金托管人：中国银行股份有限公司</w:t>
      </w:r>
    </w:p>
    <w:p w:rsidR="00D06738" w:rsidRPr="00FF6B9A" w:rsidRDefault="00454D20">
      <w:pPr>
        <w:spacing w:line="360" w:lineRule="auto"/>
        <w:ind w:firstLineChars="900" w:firstLine="2168"/>
        <w:rPr>
          <w:rFonts w:eastAsiaTheme="minorEastAsia"/>
          <w:b/>
          <w:color w:val="000000" w:themeColor="text1"/>
          <w:sz w:val="24"/>
          <w:szCs w:val="24"/>
        </w:rPr>
        <w:sectPr w:rsidR="00D06738" w:rsidRPr="00FF6B9A">
          <w:headerReference w:type="default" r:id="rId8"/>
          <w:footerReference w:type="default" r:id="rId9"/>
          <w:pgSz w:w="11926" w:h="15840"/>
          <w:pgMar w:top="1418" w:right="1418" w:bottom="851" w:left="1418" w:header="851" w:footer="992" w:gutter="0"/>
          <w:cols w:space="720"/>
        </w:sectPr>
      </w:pPr>
      <w:r w:rsidRPr="00FF6B9A">
        <w:rPr>
          <w:rFonts w:eastAsiaTheme="minorEastAsia"/>
          <w:b/>
          <w:color w:val="000000" w:themeColor="text1"/>
          <w:sz w:val="24"/>
          <w:szCs w:val="24"/>
        </w:rPr>
        <w:t>报告送出日期：二〇二二年一月二十四日</w:t>
      </w:r>
    </w:p>
    <w:p w:rsidR="00D06738" w:rsidRPr="00FF6B9A" w:rsidRDefault="00454D20">
      <w:pPr>
        <w:pStyle w:val="1"/>
        <w:spacing w:beforeLines="100" w:before="312" w:afterLines="100" w:after="312" w:line="360" w:lineRule="auto"/>
        <w:jc w:val="center"/>
        <w:rPr>
          <w:rFonts w:eastAsiaTheme="minorEastAsia"/>
          <w:b w:val="0"/>
          <w:bCs w:val="0"/>
          <w:color w:val="000000" w:themeColor="text1"/>
          <w:kern w:val="0"/>
          <w:sz w:val="24"/>
          <w:szCs w:val="24"/>
        </w:rPr>
      </w:pPr>
      <w:r w:rsidRPr="00FF6B9A">
        <w:rPr>
          <w:rFonts w:eastAsiaTheme="minorEastAsia"/>
          <w:color w:val="000000" w:themeColor="text1"/>
          <w:kern w:val="0"/>
          <w:sz w:val="24"/>
          <w:szCs w:val="24"/>
        </w:rPr>
        <w:lastRenderedPageBreak/>
        <w:t xml:space="preserve">§1  </w:t>
      </w:r>
      <w:r w:rsidRPr="00FF6B9A">
        <w:rPr>
          <w:rFonts w:eastAsiaTheme="minorEastAsia"/>
          <w:color w:val="000000" w:themeColor="text1"/>
          <w:kern w:val="0"/>
          <w:sz w:val="24"/>
          <w:szCs w:val="24"/>
        </w:rPr>
        <w:t>重要提示</w:t>
      </w:r>
    </w:p>
    <w:p w:rsidR="00747D5F" w:rsidRDefault="00F8249D">
      <w:pPr>
        <w:spacing w:line="360" w:lineRule="auto"/>
        <w:ind w:firstLineChars="200" w:firstLine="420"/>
        <w:rPr>
          <w:rFonts w:eastAsiaTheme="minorEastAsia"/>
          <w:color w:val="000000" w:themeColor="text1"/>
        </w:rPr>
      </w:pPr>
      <w:r>
        <w:rPr>
          <w:rFonts w:eastAsiaTheme="minorEastAsia"/>
          <w:color w:val="000000" w:themeColor="text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rPr>
        <w:t xml:space="preserve"> </w:t>
      </w:r>
    </w:p>
    <w:p w:rsidR="00747D5F" w:rsidRDefault="00F8249D">
      <w:pPr>
        <w:spacing w:line="360" w:lineRule="auto"/>
        <w:ind w:firstLineChars="200" w:firstLine="420"/>
        <w:rPr>
          <w:rFonts w:eastAsiaTheme="minorEastAsia"/>
          <w:color w:val="000000" w:themeColor="text1"/>
        </w:rPr>
      </w:pPr>
      <w:r>
        <w:rPr>
          <w:rFonts w:eastAsiaTheme="minorEastAsia"/>
          <w:color w:val="000000" w:themeColor="text1"/>
        </w:rPr>
        <w:t>基金托管人中国银行股份有限公司根据本基金合同规定，于</w:t>
      </w:r>
      <w:r>
        <w:rPr>
          <w:rFonts w:eastAsiaTheme="minorEastAsia"/>
          <w:color w:val="000000" w:themeColor="text1"/>
        </w:rPr>
        <w:t>2022</w:t>
      </w:r>
      <w:r>
        <w:rPr>
          <w:rFonts w:eastAsiaTheme="minorEastAsia"/>
          <w:color w:val="000000" w:themeColor="text1"/>
        </w:rPr>
        <w:t>年</w:t>
      </w:r>
      <w:r>
        <w:rPr>
          <w:rFonts w:eastAsiaTheme="minorEastAsia"/>
          <w:color w:val="000000" w:themeColor="text1"/>
        </w:rPr>
        <w:t>1</w:t>
      </w:r>
      <w:r>
        <w:rPr>
          <w:rFonts w:eastAsiaTheme="minorEastAsia"/>
          <w:color w:val="000000" w:themeColor="text1"/>
        </w:rPr>
        <w:t>月</w:t>
      </w:r>
      <w:r>
        <w:rPr>
          <w:rFonts w:eastAsiaTheme="minorEastAsia"/>
          <w:color w:val="000000" w:themeColor="text1"/>
        </w:rPr>
        <w:t>21</w:t>
      </w:r>
      <w:r>
        <w:rPr>
          <w:rFonts w:eastAsiaTheme="minorEastAsia"/>
          <w:color w:val="000000" w:themeColor="text1"/>
        </w:rPr>
        <w:t>日复核了本报告中的财务指标、净值表现和投资组合报告等内容，保证复核内容不存在虚假记载、误导性陈述或者重大遗漏。</w:t>
      </w:r>
      <w:r>
        <w:rPr>
          <w:rFonts w:eastAsiaTheme="minorEastAsia"/>
          <w:color w:val="000000" w:themeColor="text1"/>
        </w:rPr>
        <w:t xml:space="preserve"> </w:t>
      </w:r>
    </w:p>
    <w:p w:rsidR="00747D5F" w:rsidRDefault="00F8249D">
      <w:pPr>
        <w:spacing w:line="360" w:lineRule="auto"/>
        <w:ind w:firstLineChars="200" w:firstLine="420"/>
        <w:rPr>
          <w:rFonts w:eastAsiaTheme="minorEastAsia"/>
          <w:color w:val="000000" w:themeColor="text1"/>
        </w:rPr>
      </w:pPr>
      <w:r>
        <w:rPr>
          <w:rFonts w:eastAsiaTheme="minorEastAsia"/>
          <w:color w:val="000000" w:themeColor="text1"/>
        </w:rPr>
        <w:t>基金管理人承诺以诚实信用、勤勉尽责的原则管理和运用基金资产，但不保证基金一定盈利。</w:t>
      </w:r>
      <w:r>
        <w:rPr>
          <w:rFonts w:eastAsiaTheme="minorEastAsia"/>
          <w:color w:val="000000" w:themeColor="text1"/>
        </w:rPr>
        <w:t xml:space="preserve"> </w:t>
      </w:r>
    </w:p>
    <w:p w:rsidR="00747D5F" w:rsidRDefault="00F8249D">
      <w:pPr>
        <w:spacing w:line="360" w:lineRule="auto"/>
        <w:ind w:firstLineChars="200" w:firstLine="420"/>
        <w:rPr>
          <w:rFonts w:eastAsiaTheme="minorEastAsia"/>
          <w:color w:val="000000" w:themeColor="text1"/>
        </w:rPr>
      </w:pPr>
      <w:r>
        <w:rPr>
          <w:rFonts w:eastAsiaTheme="minorEastAsia"/>
          <w:color w:val="000000" w:themeColor="text1"/>
        </w:rPr>
        <w:t>基金的过往业绩并不代表其未来表现。投资有风险，投资者在作出投资决策前应仔细阅读本基金的招募说明书。</w:t>
      </w:r>
      <w:r>
        <w:rPr>
          <w:rFonts w:eastAsiaTheme="minorEastAsia"/>
          <w:color w:val="000000" w:themeColor="text1"/>
        </w:rPr>
        <w:t xml:space="preserve"> </w:t>
      </w:r>
    </w:p>
    <w:p w:rsidR="00747D5F" w:rsidRDefault="00F8249D">
      <w:pPr>
        <w:spacing w:line="360" w:lineRule="auto"/>
        <w:ind w:firstLineChars="200" w:firstLine="420"/>
        <w:rPr>
          <w:rFonts w:eastAsiaTheme="minorEastAsia"/>
          <w:color w:val="000000" w:themeColor="text1"/>
        </w:rPr>
      </w:pPr>
      <w:r>
        <w:rPr>
          <w:rFonts w:eastAsiaTheme="minorEastAsia"/>
          <w:color w:val="000000" w:themeColor="text1"/>
        </w:rPr>
        <w:t>本报告中财务资料未经审计。</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本报告期自</w:t>
      </w:r>
      <w:r w:rsidRPr="00FF6B9A">
        <w:rPr>
          <w:rFonts w:eastAsiaTheme="minorEastAsia"/>
          <w:color w:val="000000" w:themeColor="text1"/>
        </w:rPr>
        <w:t>2021</w:t>
      </w:r>
      <w:r w:rsidRPr="00FF6B9A">
        <w:rPr>
          <w:rFonts w:eastAsiaTheme="minorEastAsia"/>
          <w:color w:val="000000" w:themeColor="text1"/>
        </w:rPr>
        <w:t>年</w:t>
      </w:r>
      <w:r w:rsidRPr="00FF6B9A">
        <w:rPr>
          <w:rFonts w:eastAsiaTheme="minorEastAsia"/>
          <w:color w:val="000000" w:themeColor="text1"/>
        </w:rPr>
        <w:t>10</w:t>
      </w:r>
      <w:r w:rsidRPr="00FF6B9A">
        <w:rPr>
          <w:rFonts w:eastAsiaTheme="minorEastAsia"/>
          <w:color w:val="000000" w:themeColor="text1"/>
        </w:rPr>
        <w:t>月</w:t>
      </w:r>
      <w:r w:rsidRPr="00FF6B9A">
        <w:rPr>
          <w:rFonts w:eastAsiaTheme="minorEastAsia"/>
          <w:color w:val="000000" w:themeColor="text1"/>
        </w:rPr>
        <w:t>1</w:t>
      </w:r>
      <w:r w:rsidRPr="00FF6B9A">
        <w:rPr>
          <w:rFonts w:eastAsiaTheme="minorEastAsia"/>
          <w:color w:val="000000" w:themeColor="text1"/>
        </w:rPr>
        <w:t>日起至</w:t>
      </w:r>
      <w:r w:rsidRPr="00FF6B9A">
        <w:rPr>
          <w:rFonts w:eastAsiaTheme="minorEastAsia"/>
          <w:color w:val="000000" w:themeColor="text1"/>
        </w:rPr>
        <w:t>12</w:t>
      </w:r>
      <w:r w:rsidRPr="00FF6B9A">
        <w:rPr>
          <w:rFonts w:eastAsiaTheme="minorEastAsia"/>
          <w:color w:val="000000" w:themeColor="text1"/>
        </w:rPr>
        <w:t>月</w:t>
      </w:r>
      <w:r w:rsidRPr="00FF6B9A">
        <w:rPr>
          <w:rFonts w:eastAsiaTheme="minorEastAsia"/>
          <w:color w:val="000000" w:themeColor="text1"/>
        </w:rPr>
        <w:t>31</w:t>
      </w:r>
      <w:r w:rsidRPr="00FF6B9A">
        <w:rPr>
          <w:rFonts w:eastAsiaTheme="minorEastAsia"/>
          <w:color w:val="000000" w:themeColor="text1"/>
        </w:rPr>
        <w:t>日止。</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§2  </w:t>
      </w:r>
      <w:r w:rsidRPr="00FF6B9A">
        <w:rPr>
          <w:rFonts w:eastAsiaTheme="minor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基金简称</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上投摩根安全战略股票</w:t>
            </w:r>
          </w:p>
        </w:tc>
      </w:tr>
      <w:tr w:rsidR="00D06738" w:rsidRPr="00FF6B9A">
        <w:tc>
          <w:tcPr>
            <w:tcW w:w="2835"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001009</w:t>
            </w:r>
          </w:p>
        </w:tc>
      </w:tr>
      <w:tr w:rsidR="00D06738" w:rsidRPr="00FF6B9A">
        <w:tc>
          <w:tcPr>
            <w:tcW w:w="2835"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001009</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基金运作方式</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契约型开放式</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基金合同生效日</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2015</w:t>
            </w:r>
            <w:r w:rsidRPr="00FF6B9A">
              <w:rPr>
                <w:rFonts w:eastAsiaTheme="minorEastAsia"/>
                <w:color w:val="000000" w:themeColor="text1"/>
                <w:kern w:val="0"/>
              </w:rPr>
              <w:t>年</w:t>
            </w:r>
            <w:r w:rsidRPr="00FF6B9A">
              <w:rPr>
                <w:rFonts w:eastAsiaTheme="minorEastAsia"/>
                <w:color w:val="000000" w:themeColor="text1"/>
                <w:kern w:val="0"/>
              </w:rPr>
              <w:t>2</w:t>
            </w:r>
            <w:r w:rsidRPr="00FF6B9A">
              <w:rPr>
                <w:rFonts w:eastAsiaTheme="minorEastAsia"/>
                <w:color w:val="000000" w:themeColor="text1"/>
                <w:kern w:val="0"/>
              </w:rPr>
              <w:t>月</w:t>
            </w:r>
            <w:r w:rsidRPr="00FF6B9A">
              <w:rPr>
                <w:rFonts w:eastAsiaTheme="minorEastAsia"/>
                <w:color w:val="000000" w:themeColor="text1"/>
                <w:kern w:val="0"/>
              </w:rPr>
              <w:t>26</w:t>
            </w:r>
            <w:r w:rsidRPr="00FF6B9A">
              <w:rPr>
                <w:rFonts w:eastAsiaTheme="minorEastAsia"/>
                <w:color w:val="000000" w:themeColor="text1"/>
                <w:kern w:val="0"/>
              </w:rPr>
              <w:t>日</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报告期末基金份额总额</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329,631,753.87</w:t>
            </w:r>
            <w:r w:rsidRPr="00FF6B9A">
              <w:rPr>
                <w:rFonts w:eastAsiaTheme="minorEastAsia"/>
                <w:color w:val="000000" w:themeColor="text1"/>
                <w:kern w:val="0"/>
              </w:rPr>
              <w:t>份</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投资目标</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通过系统和深入的基本面研究，重点投资于与安全战略相关行业的上市公司，分享中国经济增长模式转变带来的投资机会，在控制风险的前提下力争实现基金资产的稳定增值。</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投资策略</w:t>
            </w:r>
          </w:p>
        </w:tc>
        <w:tc>
          <w:tcPr>
            <w:tcW w:w="5479" w:type="dxa"/>
            <w:vAlign w:val="center"/>
          </w:tcPr>
          <w:p w:rsidR="00747D5F" w:rsidRDefault="00F8249D">
            <w:pPr>
              <w:adjustRightInd w:val="0"/>
              <w:spacing w:before="29" w:line="360" w:lineRule="auto"/>
              <w:ind w:left="17"/>
              <w:rPr>
                <w:rFonts w:eastAsiaTheme="minorEastAsia"/>
                <w:color w:val="000000" w:themeColor="text1"/>
              </w:rPr>
            </w:pPr>
            <w:r>
              <w:rPr>
                <w:rFonts w:eastAsiaTheme="minorEastAsia"/>
                <w:color w:val="000000" w:themeColor="text1"/>
                <w:kern w:val="0"/>
              </w:rPr>
              <w:t>1</w:t>
            </w:r>
            <w:r>
              <w:rPr>
                <w:rFonts w:eastAsiaTheme="minorEastAsia"/>
                <w:color w:val="000000" w:themeColor="text1"/>
                <w:kern w:val="0"/>
              </w:rPr>
              <w:t>、资产配置策略</w:t>
            </w:r>
          </w:p>
          <w:p w:rsidR="00747D5F" w:rsidRDefault="00F8249D">
            <w:pPr>
              <w:adjustRightInd w:val="0"/>
              <w:spacing w:before="29" w:line="360" w:lineRule="auto"/>
              <w:ind w:left="17"/>
              <w:rPr>
                <w:rFonts w:eastAsiaTheme="minorEastAsia"/>
                <w:color w:val="000000" w:themeColor="text1"/>
              </w:rPr>
            </w:pPr>
            <w:r>
              <w:rPr>
                <w:rFonts w:eastAsiaTheme="minorEastAsia"/>
                <w:color w:val="000000" w:themeColor="text1"/>
                <w:kern w:val="0"/>
              </w:rPr>
              <w:t>本基金将综合分析和持续跟踪基本面、政策面、市场面等多方面因素，对宏观经济、国家政策、资金面和市场情绪</w:t>
            </w:r>
            <w:r>
              <w:rPr>
                <w:rFonts w:eastAsiaTheme="minorEastAsia"/>
                <w:color w:val="000000" w:themeColor="text1"/>
                <w:kern w:val="0"/>
              </w:rPr>
              <w:lastRenderedPageBreak/>
              <w:t>等影响证券市场的重要因素进行深入分析，重点关注包括</w:t>
            </w:r>
            <w:r>
              <w:rPr>
                <w:rFonts w:eastAsiaTheme="minorEastAsia"/>
                <w:color w:val="000000" w:themeColor="text1"/>
                <w:kern w:val="0"/>
              </w:rPr>
              <w:t>GDP</w:t>
            </w:r>
            <w:r>
              <w:rPr>
                <w:rFonts w:eastAsiaTheme="minorEastAsia"/>
                <w:color w:val="000000" w:themeColor="text1"/>
                <w:kern w:val="0"/>
              </w:rPr>
              <w:t>增速、固定资产投资增速、净出口增速、通胀率、货币供应、利率等宏观指标的变化趋势，结合股票、债券等各类资产风险收益特征，确定合适的资产配置比例。</w:t>
            </w:r>
          </w:p>
          <w:p w:rsidR="00747D5F" w:rsidRDefault="00F8249D">
            <w:pPr>
              <w:adjustRightInd w:val="0"/>
              <w:spacing w:before="29" w:line="360" w:lineRule="auto"/>
              <w:ind w:left="17"/>
              <w:rPr>
                <w:rFonts w:eastAsiaTheme="minorEastAsia"/>
                <w:color w:val="000000" w:themeColor="text1"/>
              </w:rPr>
            </w:pPr>
            <w:r>
              <w:rPr>
                <w:rFonts w:eastAsiaTheme="minorEastAsia"/>
                <w:color w:val="000000" w:themeColor="text1"/>
                <w:kern w:val="0"/>
              </w:rPr>
              <w:t>2</w:t>
            </w:r>
            <w:r>
              <w:rPr>
                <w:rFonts w:eastAsiaTheme="minorEastAsia"/>
                <w:color w:val="000000" w:themeColor="text1"/>
                <w:kern w:val="0"/>
              </w:rPr>
              <w:t>、股票投资策略</w:t>
            </w:r>
          </w:p>
          <w:p w:rsidR="00747D5F" w:rsidRDefault="00F8249D">
            <w:pPr>
              <w:adjustRightInd w:val="0"/>
              <w:spacing w:before="29" w:line="360" w:lineRule="auto"/>
              <w:ind w:left="17"/>
              <w:rPr>
                <w:rFonts w:eastAsiaTheme="minorEastAsia"/>
                <w:color w:val="000000" w:themeColor="text1"/>
              </w:rPr>
            </w:pPr>
            <w:r>
              <w:rPr>
                <w:rFonts w:eastAsiaTheme="minorEastAsia"/>
                <w:color w:val="000000" w:themeColor="text1"/>
                <w:kern w:val="0"/>
              </w:rPr>
              <w:t>本基金将通过系统和深入的基本面研究，重点投资于与国家安全战略相关行业的上市公司，分享中国经济增长模式转变带来的投资机会。本基金将不低于</w:t>
            </w:r>
            <w:r>
              <w:rPr>
                <w:rFonts w:eastAsiaTheme="minorEastAsia"/>
                <w:color w:val="000000" w:themeColor="text1"/>
                <w:kern w:val="0"/>
              </w:rPr>
              <w:t>80%</w:t>
            </w:r>
            <w:r>
              <w:rPr>
                <w:rFonts w:eastAsiaTheme="minorEastAsia"/>
                <w:color w:val="000000" w:themeColor="text1"/>
                <w:kern w:val="0"/>
              </w:rPr>
              <w:t>的非现金基金资产投资于国家安全战略相关行业。</w:t>
            </w:r>
          </w:p>
          <w:p w:rsidR="00747D5F" w:rsidRDefault="00F8249D">
            <w:pPr>
              <w:adjustRightInd w:val="0"/>
              <w:spacing w:before="29" w:line="360" w:lineRule="auto"/>
              <w:ind w:left="17"/>
              <w:rPr>
                <w:rFonts w:eastAsiaTheme="minorEastAsia"/>
                <w:color w:val="000000" w:themeColor="text1"/>
              </w:rPr>
            </w:pPr>
            <w:r>
              <w:rPr>
                <w:rFonts w:eastAsiaTheme="minorEastAsia"/>
                <w:color w:val="000000" w:themeColor="text1"/>
                <w:kern w:val="0"/>
              </w:rPr>
              <w:t>在行业配置层面，本基金将从行业生命周期、行业景气度、行业竞争格局等多角度，综合评估各个行业的投资价值，对基金资产在行业间分配进行安排。</w:t>
            </w:r>
          </w:p>
          <w:p w:rsidR="00747D5F" w:rsidRDefault="00F8249D">
            <w:pPr>
              <w:adjustRightInd w:val="0"/>
              <w:spacing w:before="29" w:line="360" w:lineRule="auto"/>
              <w:ind w:left="17"/>
              <w:rPr>
                <w:rFonts w:eastAsiaTheme="minorEastAsia"/>
                <w:color w:val="000000" w:themeColor="text1"/>
              </w:rPr>
            </w:pPr>
            <w:r>
              <w:rPr>
                <w:rFonts w:eastAsiaTheme="minorEastAsia"/>
                <w:color w:val="000000" w:themeColor="text1"/>
                <w:kern w:val="0"/>
              </w:rPr>
              <w:t>在个股选择层面，本基金将主要采用</w:t>
            </w:r>
            <w:r>
              <w:rPr>
                <w:rFonts w:eastAsiaTheme="minorEastAsia"/>
                <w:color w:val="000000" w:themeColor="text1"/>
                <w:kern w:val="0"/>
              </w:rPr>
              <w:t>“</w:t>
            </w:r>
            <w:r>
              <w:rPr>
                <w:rFonts w:eastAsiaTheme="minorEastAsia"/>
                <w:color w:val="000000" w:themeColor="text1"/>
                <w:kern w:val="0"/>
              </w:rPr>
              <w:t>自下而上</w:t>
            </w:r>
            <w:r>
              <w:rPr>
                <w:rFonts w:eastAsiaTheme="minorEastAsia"/>
                <w:color w:val="000000" w:themeColor="text1"/>
                <w:kern w:val="0"/>
              </w:rPr>
              <w:t>”</w:t>
            </w:r>
            <w:r>
              <w:rPr>
                <w:rFonts w:eastAsiaTheme="minorEastAsia"/>
                <w:color w:val="000000" w:themeColor="text1"/>
                <w:kern w:val="0"/>
              </w:rPr>
              <w:t>的方法，在备选行业内部通过定量与定性相结合的分析方法，综合分析上市公司的业绩质量、成长性和估值水平等各方面信息，精选具有良好成长性、估值合理的个股</w:t>
            </w:r>
            <w:r>
              <w:rPr>
                <w:rFonts w:eastAsiaTheme="minorEastAsia"/>
                <w:color w:val="000000" w:themeColor="text1"/>
                <w:kern w:val="0"/>
              </w:rPr>
              <w:t>。</w:t>
            </w:r>
          </w:p>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3</w:t>
            </w:r>
            <w:r w:rsidRPr="00FF6B9A">
              <w:rPr>
                <w:rFonts w:eastAsiaTheme="minorEastAsia"/>
                <w:color w:val="000000" w:themeColor="text1"/>
                <w:kern w:val="0"/>
              </w:rPr>
              <w:t>、其他投资策略：包括固定收益类投资策略、可转换债券投资策略、中小企业私募债投资策略、股指期货投资策略、资产支持证券投资策略、存托凭证投资策略。</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lastRenderedPageBreak/>
              <w:t>业绩比较基准</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中证</w:t>
            </w:r>
            <w:r w:rsidRPr="00FF6B9A">
              <w:rPr>
                <w:rFonts w:eastAsiaTheme="minorEastAsia"/>
                <w:color w:val="000000" w:themeColor="text1"/>
                <w:kern w:val="0"/>
              </w:rPr>
              <w:t>800</w:t>
            </w:r>
            <w:r w:rsidRPr="00FF6B9A">
              <w:rPr>
                <w:rFonts w:eastAsiaTheme="minorEastAsia"/>
                <w:color w:val="000000" w:themeColor="text1"/>
                <w:kern w:val="0"/>
              </w:rPr>
              <w:t>指数收益率</w:t>
            </w:r>
            <w:r w:rsidRPr="00FF6B9A">
              <w:rPr>
                <w:rFonts w:eastAsiaTheme="minorEastAsia"/>
                <w:color w:val="000000" w:themeColor="text1"/>
                <w:kern w:val="0"/>
              </w:rPr>
              <w:t>*85%+</w:t>
            </w:r>
            <w:r w:rsidRPr="00FF6B9A">
              <w:rPr>
                <w:rFonts w:eastAsiaTheme="minorEastAsia"/>
                <w:color w:val="000000" w:themeColor="text1"/>
                <w:kern w:val="0"/>
              </w:rPr>
              <w:t>中债总指数收益率</w:t>
            </w:r>
            <w:r w:rsidRPr="00FF6B9A">
              <w:rPr>
                <w:rFonts w:eastAsiaTheme="minorEastAsia"/>
                <w:color w:val="000000" w:themeColor="text1"/>
                <w:kern w:val="0"/>
              </w:rPr>
              <w:t>*15%</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风险收益特征</w:t>
            </w:r>
          </w:p>
        </w:tc>
        <w:tc>
          <w:tcPr>
            <w:tcW w:w="5479" w:type="dxa"/>
            <w:vAlign w:val="center"/>
          </w:tcPr>
          <w:p w:rsidR="00747D5F" w:rsidRDefault="00F8249D">
            <w:pPr>
              <w:adjustRightInd w:val="0"/>
              <w:spacing w:before="29" w:line="360" w:lineRule="auto"/>
              <w:ind w:left="17"/>
              <w:rPr>
                <w:rFonts w:eastAsiaTheme="minorEastAsia"/>
                <w:color w:val="000000" w:themeColor="text1"/>
              </w:rPr>
            </w:pPr>
            <w:r>
              <w:rPr>
                <w:rFonts w:eastAsiaTheme="minorEastAsia"/>
                <w:color w:val="000000" w:themeColor="text1"/>
                <w:kern w:val="0"/>
              </w:rPr>
              <w:t>本基金属于股票型基金产品，预期风险和收益水平高于混合型基金、债券型基金和货币市场基金，属于较高风险收益水平的基金产品。</w:t>
            </w:r>
          </w:p>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根据</w:t>
            </w:r>
            <w:r w:rsidRPr="00FF6B9A">
              <w:rPr>
                <w:rFonts w:eastAsiaTheme="minorEastAsia"/>
                <w:color w:val="000000" w:themeColor="text1"/>
                <w:kern w:val="0"/>
              </w:rPr>
              <w:t>2017</w:t>
            </w:r>
            <w:r w:rsidRPr="00FF6B9A">
              <w:rPr>
                <w:rFonts w:eastAsiaTheme="minorEastAsia"/>
                <w:color w:val="000000" w:themeColor="text1"/>
                <w:kern w:val="0"/>
              </w:rPr>
              <w:t>年</w:t>
            </w:r>
            <w:r w:rsidRPr="00FF6B9A">
              <w:rPr>
                <w:rFonts w:eastAsiaTheme="minorEastAsia"/>
                <w:color w:val="000000" w:themeColor="text1"/>
                <w:kern w:val="0"/>
              </w:rPr>
              <w:t>7</w:t>
            </w:r>
            <w:r w:rsidRPr="00FF6B9A">
              <w:rPr>
                <w:rFonts w:eastAsiaTheme="minorEastAsia"/>
                <w:color w:val="000000" w:themeColor="text1"/>
                <w:kern w:val="0"/>
              </w:rPr>
              <w:t>月</w:t>
            </w:r>
            <w:r w:rsidRPr="00FF6B9A">
              <w:rPr>
                <w:rFonts w:eastAsiaTheme="minorEastAsia"/>
                <w:color w:val="000000" w:themeColor="text1"/>
                <w:kern w:val="0"/>
              </w:rPr>
              <w:t>1</w:t>
            </w:r>
            <w:r w:rsidRPr="00FF6B9A">
              <w:rPr>
                <w:rFonts w:eastAsiaTheme="minorEastAsia"/>
                <w:color w:val="000000" w:themeColor="text1"/>
                <w:kern w:val="0"/>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lastRenderedPageBreak/>
              <w:t>基金管理人</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上投摩根基金管理有限公司</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基金托管人</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中国银行股份有限公司</w:t>
            </w:r>
          </w:p>
        </w:tc>
      </w:tr>
    </w:tbl>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§3  </w:t>
      </w:r>
      <w:r w:rsidRPr="00FF6B9A">
        <w:rPr>
          <w:rFonts w:eastAsiaTheme="minorEastAsia"/>
          <w:color w:val="000000" w:themeColor="text1"/>
          <w:kern w:val="0"/>
          <w:sz w:val="24"/>
          <w:szCs w:val="24"/>
        </w:rPr>
        <w:t>主要财务指标和基金净值表现</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3.1 </w:t>
      </w:r>
      <w:r w:rsidRPr="00FF6B9A">
        <w:rPr>
          <w:rFonts w:eastAsiaTheme="minorEastAsia"/>
          <w:b/>
          <w:bCs/>
          <w:color w:val="000000" w:themeColor="text1"/>
          <w:kern w:val="0"/>
          <w:sz w:val="24"/>
          <w:szCs w:val="24"/>
        </w:rPr>
        <w:t>主要财务指标</w:t>
      </w:r>
    </w:p>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F8249D" w:rsidRPr="00FF6B9A" w:rsidTr="00F8249D">
        <w:tc>
          <w:tcPr>
            <w:tcW w:w="3402" w:type="dxa"/>
            <w:vAlign w:val="center"/>
          </w:tcPr>
          <w:p w:rsidR="00D06738" w:rsidRPr="00FF6B9A" w:rsidRDefault="00454D20">
            <w:pPr>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主要财务指标</w:t>
            </w:r>
          </w:p>
        </w:tc>
        <w:tc>
          <w:tcPr>
            <w:tcW w:w="4962" w:type="dxa"/>
            <w:vAlign w:val="center"/>
          </w:tcPr>
          <w:p w:rsidR="00D06738" w:rsidRPr="00FF6B9A" w:rsidRDefault="00454D20">
            <w:pPr>
              <w:adjustRightInd w:val="0"/>
              <w:spacing w:before="29" w:line="360" w:lineRule="auto"/>
              <w:ind w:left="17"/>
              <w:jc w:val="center"/>
              <w:rPr>
                <w:rFonts w:eastAsiaTheme="minorEastAsia"/>
                <w:color w:val="000000" w:themeColor="text1"/>
              </w:rPr>
            </w:pPr>
            <w:r w:rsidRPr="00FF6B9A">
              <w:rPr>
                <w:rFonts w:eastAsiaTheme="minorEastAsia"/>
                <w:color w:val="000000" w:themeColor="text1"/>
              </w:rPr>
              <w:t>报告期</w:t>
            </w:r>
          </w:p>
          <w:p w:rsidR="00D06738" w:rsidRPr="00FF6B9A" w:rsidRDefault="00454D20">
            <w:pPr>
              <w:adjustRightInd w:val="0"/>
              <w:spacing w:before="29" w:line="360" w:lineRule="auto"/>
              <w:ind w:left="17"/>
              <w:jc w:val="center"/>
              <w:rPr>
                <w:rFonts w:eastAsiaTheme="minorEastAsia"/>
                <w:color w:val="000000" w:themeColor="text1"/>
              </w:rPr>
            </w:pPr>
            <w:r w:rsidRPr="00FF6B9A">
              <w:rPr>
                <w:rFonts w:eastAsiaTheme="minorEastAsia"/>
                <w:color w:val="000000" w:themeColor="text1"/>
              </w:rPr>
              <w:t>(2021</w:t>
            </w:r>
            <w:r w:rsidRPr="00FF6B9A">
              <w:rPr>
                <w:rFonts w:eastAsiaTheme="minorEastAsia"/>
                <w:color w:val="000000" w:themeColor="text1"/>
              </w:rPr>
              <w:t>年</w:t>
            </w:r>
            <w:r w:rsidRPr="00FF6B9A">
              <w:rPr>
                <w:rFonts w:eastAsiaTheme="minorEastAsia"/>
                <w:color w:val="000000" w:themeColor="text1"/>
              </w:rPr>
              <w:t>10</w:t>
            </w:r>
            <w:r w:rsidRPr="00FF6B9A">
              <w:rPr>
                <w:rFonts w:eastAsiaTheme="minorEastAsia"/>
                <w:color w:val="000000" w:themeColor="text1"/>
              </w:rPr>
              <w:t>月</w:t>
            </w:r>
            <w:r w:rsidRPr="00FF6B9A">
              <w:rPr>
                <w:rFonts w:eastAsiaTheme="minorEastAsia"/>
                <w:color w:val="000000" w:themeColor="text1"/>
              </w:rPr>
              <w:t>1</w:t>
            </w:r>
            <w:r w:rsidRPr="00FF6B9A">
              <w:rPr>
                <w:rFonts w:eastAsiaTheme="minorEastAsia"/>
                <w:color w:val="000000" w:themeColor="text1"/>
              </w:rPr>
              <w:t>日</w:t>
            </w:r>
            <w:r w:rsidRPr="00FF6B9A">
              <w:rPr>
                <w:rFonts w:eastAsiaTheme="minorEastAsia"/>
                <w:color w:val="000000" w:themeColor="text1"/>
              </w:rPr>
              <w:t>-2021</w:t>
            </w:r>
            <w:r w:rsidRPr="00FF6B9A">
              <w:rPr>
                <w:rFonts w:eastAsiaTheme="minorEastAsia"/>
                <w:color w:val="000000" w:themeColor="text1"/>
              </w:rPr>
              <w:t>年</w:t>
            </w:r>
            <w:r w:rsidRPr="00FF6B9A">
              <w:rPr>
                <w:rFonts w:eastAsiaTheme="minorEastAsia"/>
                <w:color w:val="000000" w:themeColor="text1"/>
              </w:rPr>
              <w:t>12</w:t>
            </w:r>
            <w:r w:rsidRPr="00FF6B9A">
              <w:rPr>
                <w:rFonts w:eastAsiaTheme="minorEastAsia"/>
                <w:color w:val="000000" w:themeColor="text1"/>
              </w:rPr>
              <w:t>月</w:t>
            </w:r>
            <w:r w:rsidRPr="00FF6B9A">
              <w:rPr>
                <w:rFonts w:eastAsiaTheme="minorEastAsia"/>
                <w:color w:val="000000" w:themeColor="text1"/>
              </w:rPr>
              <w:t>31</w:t>
            </w:r>
            <w:r w:rsidRPr="00FF6B9A">
              <w:rPr>
                <w:rFonts w:eastAsiaTheme="minorEastAsia"/>
                <w:color w:val="000000" w:themeColor="text1"/>
              </w:rPr>
              <w:t>日</w:t>
            </w:r>
            <w:r w:rsidRPr="00FF6B9A">
              <w:rPr>
                <w:rFonts w:eastAsiaTheme="minorEastAsia"/>
                <w:color w:val="000000" w:themeColor="text1"/>
              </w:rPr>
              <w:t>)</w:t>
            </w:r>
          </w:p>
        </w:tc>
      </w:tr>
      <w:tr w:rsidR="00F8249D" w:rsidRPr="00FF6B9A" w:rsidTr="00F8249D">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1.</w:t>
            </w:r>
            <w:r w:rsidRPr="00FF6B9A">
              <w:rPr>
                <w:rFonts w:eastAsiaTheme="minorEastAsia"/>
                <w:color w:val="000000" w:themeColor="text1"/>
                <w:kern w:val="0"/>
              </w:rPr>
              <w:t>本期已实现收益</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6,185,212.73</w:t>
            </w:r>
          </w:p>
        </w:tc>
      </w:tr>
      <w:tr w:rsidR="00F8249D" w:rsidRPr="00FF6B9A" w:rsidTr="00F8249D">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2.</w:t>
            </w:r>
            <w:r w:rsidRPr="00FF6B9A">
              <w:rPr>
                <w:rFonts w:eastAsiaTheme="minorEastAsia"/>
                <w:color w:val="000000" w:themeColor="text1"/>
                <w:kern w:val="0"/>
              </w:rPr>
              <w:t>本期利润</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-80,194,523.48</w:t>
            </w:r>
          </w:p>
        </w:tc>
      </w:tr>
      <w:tr w:rsidR="00F8249D" w:rsidRPr="00FF6B9A" w:rsidTr="00F8249D">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3.</w:t>
            </w:r>
            <w:r w:rsidRPr="00FF6B9A">
              <w:rPr>
                <w:rFonts w:eastAsiaTheme="minorEastAsia"/>
                <w:color w:val="000000" w:themeColor="text1"/>
                <w:kern w:val="0"/>
              </w:rPr>
              <w:t>加权平均基金份额本期利润</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-0.2361</w:t>
            </w:r>
          </w:p>
        </w:tc>
      </w:tr>
      <w:tr w:rsidR="00F8249D" w:rsidRPr="00FF6B9A" w:rsidTr="00F8249D">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4.</w:t>
            </w:r>
            <w:r w:rsidRPr="00FF6B9A">
              <w:rPr>
                <w:rFonts w:eastAsiaTheme="minorEastAsia"/>
                <w:color w:val="000000" w:themeColor="text1"/>
                <w:kern w:val="0"/>
              </w:rPr>
              <w:t>期末基金资产净值</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647,426,013.32</w:t>
            </w:r>
          </w:p>
        </w:tc>
      </w:tr>
      <w:tr w:rsidR="00F8249D" w:rsidRPr="00FF6B9A" w:rsidTr="00F8249D">
        <w:trPr>
          <w:trHeight w:val="158"/>
        </w:trPr>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5.</w:t>
            </w:r>
            <w:r w:rsidRPr="00FF6B9A">
              <w:rPr>
                <w:rFonts w:eastAsiaTheme="minorEastAsia"/>
                <w:color w:val="000000" w:themeColor="text1"/>
                <w:kern w:val="0"/>
              </w:rPr>
              <w:t>期末基金份额净值</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1.9641</w:t>
            </w:r>
          </w:p>
        </w:tc>
      </w:tr>
    </w:tbl>
    <w:p w:rsidR="00747D5F" w:rsidRDefault="00F8249D">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注：本期已实现收益指基金本期利息收入、投资收益、其他收入</w:t>
      </w:r>
      <w:r>
        <w:rPr>
          <w:rFonts w:eastAsiaTheme="minorEastAsia"/>
          <w:color w:val="000000" w:themeColor="text1"/>
        </w:rPr>
        <w:t>(</w:t>
      </w:r>
      <w:r>
        <w:rPr>
          <w:rFonts w:eastAsiaTheme="minorEastAsia"/>
          <w:color w:val="000000" w:themeColor="text1"/>
        </w:rPr>
        <w:t>不含公允价值变动收益</w:t>
      </w:r>
      <w:r>
        <w:rPr>
          <w:rFonts w:eastAsiaTheme="minorEastAsia"/>
          <w:color w:val="000000" w:themeColor="text1"/>
        </w:rPr>
        <w:t>)</w:t>
      </w:r>
      <w:r>
        <w:rPr>
          <w:rFonts w:eastAsiaTheme="minorEastAsia"/>
          <w:color w:val="000000" w:themeColor="text1"/>
        </w:rPr>
        <w:t>扣除相关费用后的余额，本期利润为本期已实现收益加上本期公允价值变动收益。</w:t>
      </w:r>
      <w:r>
        <w:rPr>
          <w:rFonts w:eastAsiaTheme="minorEastAsia"/>
          <w:color w:val="000000" w:themeColor="text1"/>
        </w:rPr>
        <w:t xml:space="preserve"> </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上述基金业绩指标不包括持有人认购或交易基金的各项费用（例如，开放式基金的申购赎回费、红利再投资费、基金转换费等），计入费用后实际收益水平要低于所列数字。</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3.2 </w:t>
      </w:r>
      <w:r w:rsidRPr="00FF6B9A">
        <w:rPr>
          <w:rFonts w:eastAsiaTheme="minorEastAsia"/>
          <w:b/>
          <w:bCs/>
          <w:color w:val="000000" w:themeColor="text1"/>
          <w:kern w:val="0"/>
          <w:sz w:val="24"/>
          <w:szCs w:val="24"/>
        </w:rPr>
        <w:t>基金净值表现</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3.2.1 </w:t>
      </w:r>
      <w:r w:rsidRPr="00FF6B9A">
        <w:rPr>
          <w:rFonts w:eastAsiaTheme="minorEastAsia"/>
          <w:b/>
          <w:bCs/>
          <w:color w:val="000000" w:themeColor="text1"/>
          <w:kern w:val="0"/>
          <w:sz w:val="24"/>
          <w:szCs w:val="24"/>
        </w:rPr>
        <w:t>本报告期基金份额净值增长率及其与同期业绩比较基准收益率的比较</w:t>
      </w:r>
    </w:p>
    <w:tbl>
      <w:tblPr>
        <w:tblStyle w:val="aff4"/>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D06738" w:rsidRPr="00FF6B9A">
        <w:tc>
          <w:tcPr>
            <w:tcW w:w="1395"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阶段</w:t>
            </w:r>
          </w:p>
        </w:tc>
        <w:tc>
          <w:tcPr>
            <w:tcW w:w="1092"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净值增长率</w:t>
            </w:r>
            <w:r w:rsidRPr="00FF6B9A">
              <w:rPr>
                <w:rFonts w:ascii="宋体" w:hAnsi="宋体" w:cs="宋体" w:hint="eastAsia"/>
                <w:color w:val="000000" w:themeColor="text1"/>
                <w:kern w:val="0"/>
              </w:rPr>
              <w:t>①</w:t>
            </w:r>
          </w:p>
        </w:tc>
        <w:tc>
          <w:tcPr>
            <w:tcW w:w="1161"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净值增长率标准差</w:t>
            </w:r>
            <w:r w:rsidRPr="00FF6B9A">
              <w:rPr>
                <w:rFonts w:ascii="宋体" w:hAnsi="宋体" w:cs="宋体" w:hint="eastAsia"/>
                <w:color w:val="000000" w:themeColor="text1"/>
                <w:kern w:val="0"/>
              </w:rPr>
              <w:t>②</w:t>
            </w:r>
          </w:p>
        </w:tc>
        <w:tc>
          <w:tcPr>
            <w:tcW w:w="1181"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业绩比较基准收益率</w:t>
            </w:r>
            <w:r w:rsidRPr="00FF6B9A">
              <w:rPr>
                <w:rFonts w:ascii="宋体" w:hAnsi="宋体" w:cs="宋体" w:hint="eastAsia"/>
                <w:color w:val="000000" w:themeColor="text1"/>
                <w:kern w:val="0"/>
              </w:rPr>
              <w:t>③</w:t>
            </w:r>
          </w:p>
        </w:tc>
        <w:tc>
          <w:tcPr>
            <w:tcW w:w="1188"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业绩比较基准收益率标准差</w:t>
            </w:r>
            <w:r w:rsidRPr="00FF6B9A">
              <w:rPr>
                <w:rFonts w:ascii="宋体" w:hAnsi="宋体" w:cs="宋体" w:hint="eastAsia"/>
                <w:color w:val="000000" w:themeColor="text1"/>
                <w:kern w:val="0"/>
              </w:rPr>
              <w:t>④</w:t>
            </w:r>
          </w:p>
        </w:tc>
        <w:tc>
          <w:tcPr>
            <w:tcW w:w="1199"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ascii="宋体" w:hAnsi="宋体" w:cs="宋体" w:hint="eastAsia"/>
                <w:color w:val="000000" w:themeColor="text1"/>
                <w:kern w:val="0"/>
              </w:rPr>
              <w:t>①</w:t>
            </w:r>
            <w:r w:rsidRPr="00FF6B9A">
              <w:rPr>
                <w:rFonts w:eastAsiaTheme="minorEastAsia"/>
                <w:color w:val="000000" w:themeColor="text1"/>
                <w:kern w:val="0"/>
              </w:rPr>
              <w:t>-</w:t>
            </w:r>
            <w:r w:rsidRPr="00FF6B9A">
              <w:rPr>
                <w:rFonts w:ascii="宋体" w:hAnsi="宋体" w:cs="宋体" w:hint="eastAsia"/>
                <w:color w:val="000000" w:themeColor="text1"/>
                <w:kern w:val="0"/>
              </w:rPr>
              <w:t>③</w:t>
            </w:r>
          </w:p>
        </w:tc>
        <w:tc>
          <w:tcPr>
            <w:tcW w:w="1204"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ascii="宋体" w:hAnsi="宋体" w:cs="宋体" w:hint="eastAsia"/>
                <w:color w:val="000000" w:themeColor="text1"/>
                <w:kern w:val="0"/>
              </w:rPr>
              <w:t>②</w:t>
            </w:r>
            <w:r w:rsidRPr="00FF6B9A">
              <w:rPr>
                <w:rFonts w:eastAsiaTheme="minorEastAsia"/>
                <w:color w:val="000000" w:themeColor="text1"/>
                <w:kern w:val="0"/>
              </w:rPr>
              <w:t>-</w:t>
            </w:r>
            <w:r w:rsidRPr="00FF6B9A">
              <w:rPr>
                <w:rFonts w:ascii="宋体" w:hAnsi="宋体" w:cs="宋体" w:hint="eastAsia"/>
                <w:color w:val="000000" w:themeColor="text1"/>
                <w:kern w:val="0"/>
              </w:rPr>
              <w:t>④</w:t>
            </w:r>
          </w:p>
        </w:tc>
      </w:tr>
      <w:tr w:rsidR="00747D5F">
        <w:tc>
          <w:tcPr>
            <w:tcW w:w="1395" w:type="dxa"/>
            <w:vAlign w:val="center"/>
          </w:tcPr>
          <w:p w:rsidR="00747D5F" w:rsidRDefault="00F8249D">
            <w:pPr>
              <w:jc w:val="left"/>
            </w:pPr>
            <w:r>
              <w:rPr>
                <w:rFonts w:eastAsiaTheme="minorEastAsia"/>
                <w:color w:val="000000" w:themeColor="text1"/>
                <w:kern w:val="0"/>
              </w:rPr>
              <w:t>过去三个月</w:t>
            </w:r>
          </w:p>
        </w:tc>
        <w:tc>
          <w:tcPr>
            <w:tcW w:w="1092" w:type="dxa"/>
            <w:vAlign w:val="center"/>
          </w:tcPr>
          <w:p w:rsidR="00747D5F" w:rsidRDefault="00F8249D">
            <w:pPr>
              <w:jc w:val="center"/>
            </w:pPr>
            <w:r>
              <w:rPr>
                <w:rFonts w:eastAsiaTheme="minorEastAsia"/>
                <w:color w:val="000000" w:themeColor="text1"/>
                <w:kern w:val="0"/>
              </w:rPr>
              <w:t>-10.75%</w:t>
            </w:r>
          </w:p>
        </w:tc>
        <w:tc>
          <w:tcPr>
            <w:tcW w:w="1161" w:type="dxa"/>
            <w:vAlign w:val="center"/>
          </w:tcPr>
          <w:p w:rsidR="00747D5F" w:rsidRDefault="00F8249D">
            <w:pPr>
              <w:jc w:val="center"/>
            </w:pPr>
            <w:r>
              <w:rPr>
                <w:rFonts w:eastAsiaTheme="minorEastAsia"/>
                <w:color w:val="000000" w:themeColor="text1"/>
                <w:kern w:val="0"/>
              </w:rPr>
              <w:t>1.22%</w:t>
            </w:r>
          </w:p>
        </w:tc>
        <w:tc>
          <w:tcPr>
            <w:tcW w:w="1181" w:type="dxa"/>
            <w:vAlign w:val="center"/>
          </w:tcPr>
          <w:p w:rsidR="00747D5F" w:rsidRDefault="00F8249D">
            <w:pPr>
              <w:jc w:val="center"/>
            </w:pPr>
            <w:r>
              <w:rPr>
                <w:rFonts w:eastAsiaTheme="minorEastAsia"/>
                <w:color w:val="000000" w:themeColor="text1"/>
                <w:kern w:val="0"/>
              </w:rPr>
              <w:t>1.82%</w:t>
            </w:r>
          </w:p>
        </w:tc>
        <w:tc>
          <w:tcPr>
            <w:tcW w:w="1188" w:type="dxa"/>
            <w:vAlign w:val="center"/>
          </w:tcPr>
          <w:p w:rsidR="00747D5F" w:rsidRDefault="00F8249D">
            <w:pPr>
              <w:jc w:val="center"/>
            </w:pPr>
            <w:r>
              <w:rPr>
                <w:rFonts w:eastAsiaTheme="minorEastAsia"/>
                <w:color w:val="000000" w:themeColor="text1"/>
                <w:kern w:val="0"/>
              </w:rPr>
              <w:t>0.62%</w:t>
            </w:r>
          </w:p>
        </w:tc>
        <w:tc>
          <w:tcPr>
            <w:tcW w:w="1199" w:type="dxa"/>
            <w:vAlign w:val="center"/>
          </w:tcPr>
          <w:p w:rsidR="00747D5F" w:rsidRDefault="00F8249D">
            <w:pPr>
              <w:jc w:val="center"/>
            </w:pPr>
            <w:r>
              <w:rPr>
                <w:rFonts w:eastAsiaTheme="minorEastAsia"/>
                <w:color w:val="000000" w:themeColor="text1"/>
                <w:kern w:val="0"/>
              </w:rPr>
              <w:t>-12.57%</w:t>
            </w:r>
          </w:p>
        </w:tc>
        <w:tc>
          <w:tcPr>
            <w:tcW w:w="1204" w:type="dxa"/>
            <w:vAlign w:val="center"/>
          </w:tcPr>
          <w:p w:rsidR="00747D5F" w:rsidRDefault="00F8249D">
            <w:pPr>
              <w:jc w:val="center"/>
            </w:pPr>
            <w:r>
              <w:rPr>
                <w:rFonts w:eastAsiaTheme="minorEastAsia"/>
                <w:color w:val="000000" w:themeColor="text1"/>
                <w:kern w:val="0"/>
              </w:rPr>
              <w:t>0.60%</w:t>
            </w:r>
          </w:p>
        </w:tc>
      </w:tr>
      <w:tr w:rsidR="00747D5F">
        <w:tc>
          <w:tcPr>
            <w:tcW w:w="1395" w:type="dxa"/>
            <w:vAlign w:val="center"/>
          </w:tcPr>
          <w:p w:rsidR="00747D5F" w:rsidRDefault="00F8249D">
            <w:pPr>
              <w:jc w:val="left"/>
            </w:pPr>
            <w:r>
              <w:rPr>
                <w:rFonts w:eastAsiaTheme="minorEastAsia"/>
                <w:color w:val="000000" w:themeColor="text1"/>
                <w:kern w:val="0"/>
              </w:rPr>
              <w:t>过去六个月</w:t>
            </w:r>
          </w:p>
        </w:tc>
        <w:tc>
          <w:tcPr>
            <w:tcW w:w="1092" w:type="dxa"/>
            <w:vAlign w:val="center"/>
          </w:tcPr>
          <w:p w:rsidR="00747D5F" w:rsidRDefault="00F8249D">
            <w:pPr>
              <w:jc w:val="center"/>
            </w:pPr>
            <w:r>
              <w:rPr>
                <w:rFonts w:eastAsiaTheme="minorEastAsia"/>
                <w:color w:val="000000" w:themeColor="text1"/>
                <w:kern w:val="0"/>
              </w:rPr>
              <w:t>-10.64%</w:t>
            </w:r>
          </w:p>
        </w:tc>
        <w:tc>
          <w:tcPr>
            <w:tcW w:w="1161" w:type="dxa"/>
            <w:vAlign w:val="center"/>
          </w:tcPr>
          <w:p w:rsidR="00747D5F" w:rsidRDefault="00F8249D">
            <w:pPr>
              <w:jc w:val="center"/>
            </w:pPr>
            <w:r>
              <w:rPr>
                <w:rFonts w:eastAsiaTheme="minorEastAsia"/>
                <w:color w:val="000000" w:themeColor="text1"/>
                <w:kern w:val="0"/>
              </w:rPr>
              <w:t>1.87%</w:t>
            </w:r>
          </w:p>
        </w:tc>
        <w:tc>
          <w:tcPr>
            <w:tcW w:w="1181" w:type="dxa"/>
            <w:vAlign w:val="center"/>
          </w:tcPr>
          <w:p w:rsidR="00747D5F" w:rsidRDefault="00F8249D">
            <w:pPr>
              <w:jc w:val="center"/>
            </w:pPr>
            <w:r>
              <w:rPr>
                <w:rFonts w:eastAsiaTheme="minorEastAsia"/>
                <w:color w:val="000000" w:themeColor="text1"/>
                <w:kern w:val="0"/>
              </w:rPr>
              <w:t>-1.77%</w:t>
            </w:r>
          </w:p>
        </w:tc>
        <w:tc>
          <w:tcPr>
            <w:tcW w:w="1188" w:type="dxa"/>
            <w:vAlign w:val="center"/>
          </w:tcPr>
          <w:p w:rsidR="00747D5F" w:rsidRDefault="00F8249D">
            <w:pPr>
              <w:jc w:val="center"/>
            </w:pPr>
            <w:r>
              <w:rPr>
                <w:rFonts w:eastAsiaTheme="minorEastAsia"/>
                <w:color w:val="000000" w:themeColor="text1"/>
                <w:kern w:val="0"/>
              </w:rPr>
              <w:t>0.79%</w:t>
            </w:r>
          </w:p>
        </w:tc>
        <w:tc>
          <w:tcPr>
            <w:tcW w:w="1199" w:type="dxa"/>
            <w:vAlign w:val="center"/>
          </w:tcPr>
          <w:p w:rsidR="00747D5F" w:rsidRDefault="00F8249D">
            <w:pPr>
              <w:jc w:val="center"/>
            </w:pPr>
            <w:r>
              <w:rPr>
                <w:rFonts w:eastAsiaTheme="minorEastAsia"/>
                <w:color w:val="000000" w:themeColor="text1"/>
                <w:kern w:val="0"/>
              </w:rPr>
              <w:t>-8.87%</w:t>
            </w:r>
          </w:p>
        </w:tc>
        <w:tc>
          <w:tcPr>
            <w:tcW w:w="1204" w:type="dxa"/>
            <w:vAlign w:val="center"/>
          </w:tcPr>
          <w:p w:rsidR="00747D5F" w:rsidRDefault="00F8249D">
            <w:pPr>
              <w:jc w:val="center"/>
            </w:pPr>
            <w:r>
              <w:rPr>
                <w:rFonts w:eastAsiaTheme="minorEastAsia"/>
                <w:color w:val="000000" w:themeColor="text1"/>
                <w:kern w:val="0"/>
              </w:rPr>
              <w:t>1.08%</w:t>
            </w:r>
          </w:p>
        </w:tc>
      </w:tr>
      <w:tr w:rsidR="00747D5F">
        <w:tc>
          <w:tcPr>
            <w:tcW w:w="1395" w:type="dxa"/>
            <w:vAlign w:val="center"/>
          </w:tcPr>
          <w:p w:rsidR="00747D5F" w:rsidRDefault="00F8249D">
            <w:pPr>
              <w:jc w:val="left"/>
            </w:pPr>
            <w:r>
              <w:rPr>
                <w:rFonts w:eastAsiaTheme="minorEastAsia"/>
                <w:color w:val="000000" w:themeColor="text1"/>
                <w:kern w:val="0"/>
              </w:rPr>
              <w:t>过去一年</w:t>
            </w:r>
          </w:p>
        </w:tc>
        <w:tc>
          <w:tcPr>
            <w:tcW w:w="1092" w:type="dxa"/>
            <w:vAlign w:val="center"/>
          </w:tcPr>
          <w:p w:rsidR="00747D5F" w:rsidRDefault="00F8249D">
            <w:pPr>
              <w:jc w:val="center"/>
            </w:pPr>
            <w:r>
              <w:rPr>
                <w:rFonts w:eastAsiaTheme="minorEastAsia"/>
                <w:color w:val="000000" w:themeColor="text1"/>
                <w:kern w:val="0"/>
              </w:rPr>
              <w:t>1.30%</w:t>
            </w:r>
          </w:p>
        </w:tc>
        <w:tc>
          <w:tcPr>
            <w:tcW w:w="1161" w:type="dxa"/>
            <w:vAlign w:val="center"/>
          </w:tcPr>
          <w:p w:rsidR="00747D5F" w:rsidRDefault="00F8249D">
            <w:pPr>
              <w:jc w:val="center"/>
            </w:pPr>
            <w:r>
              <w:rPr>
                <w:rFonts w:eastAsiaTheme="minorEastAsia"/>
                <w:color w:val="000000" w:themeColor="text1"/>
                <w:kern w:val="0"/>
              </w:rPr>
              <w:t>1.87%</w:t>
            </w:r>
          </w:p>
        </w:tc>
        <w:tc>
          <w:tcPr>
            <w:tcW w:w="1181" w:type="dxa"/>
            <w:vAlign w:val="center"/>
          </w:tcPr>
          <w:p w:rsidR="00747D5F" w:rsidRDefault="00F8249D">
            <w:pPr>
              <w:jc w:val="center"/>
            </w:pPr>
            <w:r>
              <w:rPr>
                <w:rFonts w:eastAsiaTheme="minorEastAsia"/>
                <w:color w:val="000000" w:themeColor="text1"/>
                <w:kern w:val="0"/>
              </w:rPr>
              <w:t>-0.30%</w:t>
            </w:r>
          </w:p>
        </w:tc>
        <w:tc>
          <w:tcPr>
            <w:tcW w:w="1188" w:type="dxa"/>
            <w:vAlign w:val="center"/>
          </w:tcPr>
          <w:p w:rsidR="00747D5F" w:rsidRDefault="00F8249D">
            <w:pPr>
              <w:jc w:val="center"/>
            </w:pPr>
            <w:r>
              <w:rPr>
                <w:rFonts w:eastAsiaTheme="minorEastAsia"/>
                <w:color w:val="000000" w:themeColor="text1"/>
                <w:kern w:val="0"/>
              </w:rPr>
              <w:t>0.91%</w:t>
            </w:r>
          </w:p>
        </w:tc>
        <w:tc>
          <w:tcPr>
            <w:tcW w:w="1199" w:type="dxa"/>
            <w:vAlign w:val="center"/>
          </w:tcPr>
          <w:p w:rsidR="00747D5F" w:rsidRDefault="00F8249D">
            <w:pPr>
              <w:jc w:val="center"/>
            </w:pPr>
            <w:r>
              <w:rPr>
                <w:rFonts w:eastAsiaTheme="minorEastAsia"/>
                <w:color w:val="000000" w:themeColor="text1"/>
                <w:kern w:val="0"/>
              </w:rPr>
              <w:t>1.60%</w:t>
            </w:r>
          </w:p>
        </w:tc>
        <w:tc>
          <w:tcPr>
            <w:tcW w:w="1204" w:type="dxa"/>
            <w:vAlign w:val="center"/>
          </w:tcPr>
          <w:p w:rsidR="00747D5F" w:rsidRDefault="00F8249D">
            <w:pPr>
              <w:jc w:val="center"/>
            </w:pPr>
            <w:r>
              <w:rPr>
                <w:rFonts w:eastAsiaTheme="minorEastAsia"/>
                <w:color w:val="000000" w:themeColor="text1"/>
                <w:kern w:val="0"/>
              </w:rPr>
              <w:t>0.96%</w:t>
            </w:r>
          </w:p>
        </w:tc>
      </w:tr>
      <w:tr w:rsidR="00747D5F">
        <w:tc>
          <w:tcPr>
            <w:tcW w:w="1395" w:type="dxa"/>
            <w:vAlign w:val="center"/>
          </w:tcPr>
          <w:p w:rsidR="00747D5F" w:rsidRDefault="00F8249D">
            <w:pPr>
              <w:jc w:val="left"/>
            </w:pPr>
            <w:r>
              <w:rPr>
                <w:rFonts w:eastAsiaTheme="minorEastAsia"/>
                <w:color w:val="000000" w:themeColor="text1"/>
                <w:kern w:val="0"/>
              </w:rPr>
              <w:t>过去三年</w:t>
            </w:r>
          </w:p>
        </w:tc>
        <w:tc>
          <w:tcPr>
            <w:tcW w:w="1092" w:type="dxa"/>
            <w:vAlign w:val="center"/>
          </w:tcPr>
          <w:p w:rsidR="00747D5F" w:rsidRDefault="00F8249D">
            <w:pPr>
              <w:jc w:val="center"/>
            </w:pPr>
            <w:r>
              <w:rPr>
                <w:rFonts w:eastAsiaTheme="minorEastAsia"/>
                <w:color w:val="000000" w:themeColor="text1"/>
                <w:kern w:val="0"/>
              </w:rPr>
              <w:t>214.71%</w:t>
            </w:r>
          </w:p>
        </w:tc>
        <w:tc>
          <w:tcPr>
            <w:tcW w:w="1161" w:type="dxa"/>
            <w:vAlign w:val="center"/>
          </w:tcPr>
          <w:p w:rsidR="00747D5F" w:rsidRDefault="00F8249D">
            <w:pPr>
              <w:jc w:val="center"/>
            </w:pPr>
            <w:r>
              <w:rPr>
                <w:rFonts w:eastAsiaTheme="minorEastAsia"/>
                <w:color w:val="000000" w:themeColor="text1"/>
                <w:kern w:val="0"/>
              </w:rPr>
              <w:t>1.69%</w:t>
            </w:r>
          </w:p>
        </w:tc>
        <w:tc>
          <w:tcPr>
            <w:tcW w:w="1181" w:type="dxa"/>
            <w:vAlign w:val="center"/>
          </w:tcPr>
          <w:p w:rsidR="00747D5F" w:rsidRDefault="00F8249D">
            <w:pPr>
              <w:jc w:val="center"/>
            </w:pPr>
            <w:r>
              <w:rPr>
                <w:rFonts w:eastAsiaTheme="minorEastAsia"/>
                <w:color w:val="000000" w:themeColor="text1"/>
                <w:kern w:val="0"/>
              </w:rPr>
              <w:t>57.36%</w:t>
            </w:r>
          </w:p>
        </w:tc>
        <w:tc>
          <w:tcPr>
            <w:tcW w:w="1188" w:type="dxa"/>
            <w:vAlign w:val="center"/>
          </w:tcPr>
          <w:p w:rsidR="00747D5F" w:rsidRDefault="00F8249D">
            <w:pPr>
              <w:jc w:val="center"/>
            </w:pPr>
            <w:r>
              <w:rPr>
                <w:rFonts w:eastAsiaTheme="minorEastAsia"/>
                <w:color w:val="000000" w:themeColor="text1"/>
                <w:kern w:val="0"/>
              </w:rPr>
              <w:t>1.08%</w:t>
            </w:r>
          </w:p>
        </w:tc>
        <w:tc>
          <w:tcPr>
            <w:tcW w:w="1199" w:type="dxa"/>
            <w:vAlign w:val="center"/>
          </w:tcPr>
          <w:p w:rsidR="00747D5F" w:rsidRDefault="00F8249D">
            <w:pPr>
              <w:jc w:val="center"/>
            </w:pPr>
            <w:r>
              <w:rPr>
                <w:rFonts w:eastAsiaTheme="minorEastAsia"/>
                <w:color w:val="000000" w:themeColor="text1"/>
                <w:kern w:val="0"/>
              </w:rPr>
              <w:t>157.35%</w:t>
            </w:r>
          </w:p>
        </w:tc>
        <w:tc>
          <w:tcPr>
            <w:tcW w:w="1204" w:type="dxa"/>
            <w:vAlign w:val="center"/>
          </w:tcPr>
          <w:p w:rsidR="00747D5F" w:rsidRDefault="00F8249D">
            <w:pPr>
              <w:jc w:val="center"/>
            </w:pPr>
            <w:r>
              <w:rPr>
                <w:rFonts w:eastAsiaTheme="minorEastAsia"/>
                <w:color w:val="000000" w:themeColor="text1"/>
                <w:kern w:val="0"/>
              </w:rPr>
              <w:t>0.61%</w:t>
            </w:r>
          </w:p>
        </w:tc>
      </w:tr>
      <w:tr w:rsidR="00747D5F">
        <w:tc>
          <w:tcPr>
            <w:tcW w:w="1395" w:type="dxa"/>
            <w:vAlign w:val="center"/>
          </w:tcPr>
          <w:p w:rsidR="00747D5F" w:rsidRDefault="00F8249D">
            <w:pPr>
              <w:jc w:val="left"/>
            </w:pPr>
            <w:r>
              <w:rPr>
                <w:rFonts w:eastAsiaTheme="minorEastAsia"/>
                <w:color w:val="000000" w:themeColor="text1"/>
                <w:kern w:val="0"/>
              </w:rPr>
              <w:t>过去五年</w:t>
            </w:r>
          </w:p>
        </w:tc>
        <w:tc>
          <w:tcPr>
            <w:tcW w:w="1092" w:type="dxa"/>
            <w:vAlign w:val="center"/>
          </w:tcPr>
          <w:p w:rsidR="00747D5F" w:rsidRDefault="00F8249D">
            <w:pPr>
              <w:jc w:val="center"/>
            </w:pPr>
            <w:r>
              <w:rPr>
                <w:rFonts w:eastAsiaTheme="minorEastAsia"/>
                <w:color w:val="000000" w:themeColor="text1"/>
                <w:kern w:val="0"/>
              </w:rPr>
              <w:t>152.84%</w:t>
            </w:r>
          </w:p>
        </w:tc>
        <w:tc>
          <w:tcPr>
            <w:tcW w:w="1161" w:type="dxa"/>
            <w:vAlign w:val="center"/>
          </w:tcPr>
          <w:p w:rsidR="00747D5F" w:rsidRDefault="00F8249D">
            <w:pPr>
              <w:jc w:val="center"/>
            </w:pPr>
            <w:r>
              <w:rPr>
                <w:rFonts w:eastAsiaTheme="minorEastAsia"/>
                <w:color w:val="000000" w:themeColor="text1"/>
                <w:kern w:val="0"/>
              </w:rPr>
              <w:t>1.55%</w:t>
            </w:r>
          </w:p>
        </w:tc>
        <w:tc>
          <w:tcPr>
            <w:tcW w:w="1181" w:type="dxa"/>
            <w:vAlign w:val="center"/>
          </w:tcPr>
          <w:p w:rsidR="00747D5F" w:rsidRDefault="00F8249D">
            <w:pPr>
              <w:jc w:val="center"/>
            </w:pPr>
            <w:r>
              <w:rPr>
                <w:rFonts w:eastAsiaTheme="minorEastAsia"/>
                <w:color w:val="000000" w:themeColor="text1"/>
                <w:kern w:val="0"/>
              </w:rPr>
              <w:t>34.39%</w:t>
            </w:r>
          </w:p>
        </w:tc>
        <w:tc>
          <w:tcPr>
            <w:tcW w:w="1188" w:type="dxa"/>
            <w:vAlign w:val="center"/>
          </w:tcPr>
          <w:p w:rsidR="00747D5F" w:rsidRDefault="00F8249D">
            <w:pPr>
              <w:jc w:val="center"/>
            </w:pPr>
            <w:r>
              <w:rPr>
                <w:rFonts w:eastAsiaTheme="minorEastAsia"/>
                <w:color w:val="000000" w:themeColor="text1"/>
                <w:kern w:val="0"/>
              </w:rPr>
              <w:t>1.01%</w:t>
            </w:r>
          </w:p>
        </w:tc>
        <w:tc>
          <w:tcPr>
            <w:tcW w:w="1199" w:type="dxa"/>
            <w:vAlign w:val="center"/>
          </w:tcPr>
          <w:p w:rsidR="00747D5F" w:rsidRDefault="00F8249D">
            <w:pPr>
              <w:jc w:val="center"/>
            </w:pPr>
            <w:r>
              <w:rPr>
                <w:rFonts w:eastAsiaTheme="minorEastAsia"/>
                <w:color w:val="000000" w:themeColor="text1"/>
                <w:kern w:val="0"/>
              </w:rPr>
              <w:t>118.45%</w:t>
            </w:r>
          </w:p>
        </w:tc>
        <w:tc>
          <w:tcPr>
            <w:tcW w:w="1204" w:type="dxa"/>
            <w:vAlign w:val="center"/>
          </w:tcPr>
          <w:p w:rsidR="00747D5F" w:rsidRDefault="00F8249D">
            <w:pPr>
              <w:jc w:val="center"/>
            </w:pPr>
            <w:r>
              <w:rPr>
                <w:rFonts w:eastAsiaTheme="minorEastAsia"/>
                <w:color w:val="000000" w:themeColor="text1"/>
                <w:kern w:val="0"/>
              </w:rPr>
              <w:t>0.54%</w:t>
            </w:r>
          </w:p>
        </w:tc>
      </w:tr>
      <w:tr w:rsidR="00747D5F">
        <w:tc>
          <w:tcPr>
            <w:tcW w:w="1395" w:type="dxa"/>
            <w:vAlign w:val="center"/>
          </w:tcPr>
          <w:p w:rsidR="00747D5F" w:rsidRDefault="00F8249D">
            <w:pPr>
              <w:jc w:val="left"/>
            </w:pPr>
            <w:r>
              <w:rPr>
                <w:rFonts w:eastAsiaTheme="minorEastAsia"/>
                <w:color w:val="000000" w:themeColor="text1"/>
                <w:kern w:val="0"/>
              </w:rPr>
              <w:t>自基金合同</w:t>
            </w:r>
            <w:r>
              <w:rPr>
                <w:rFonts w:eastAsiaTheme="minorEastAsia"/>
                <w:color w:val="000000" w:themeColor="text1"/>
                <w:kern w:val="0"/>
              </w:rPr>
              <w:lastRenderedPageBreak/>
              <w:t>生效起至今</w:t>
            </w:r>
          </w:p>
        </w:tc>
        <w:tc>
          <w:tcPr>
            <w:tcW w:w="1092" w:type="dxa"/>
            <w:vAlign w:val="center"/>
          </w:tcPr>
          <w:p w:rsidR="00747D5F" w:rsidRDefault="00F8249D">
            <w:pPr>
              <w:jc w:val="center"/>
            </w:pPr>
            <w:r>
              <w:rPr>
                <w:rFonts w:eastAsiaTheme="minorEastAsia"/>
                <w:color w:val="000000" w:themeColor="text1"/>
                <w:kern w:val="0"/>
              </w:rPr>
              <w:lastRenderedPageBreak/>
              <w:t>122.50%</w:t>
            </w:r>
          </w:p>
        </w:tc>
        <w:tc>
          <w:tcPr>
            <w:tcW w:w="1161" w:type="dxa"/>
            <w:vAlign w:val="center"/>
          </w:tcPr>
          <w:p w:rsidR="00747D5F" w:rsidRDefault="00F8249D">
            <w:pPr>
              <w:jc w:val="center"/>
            </w:pPr>
            <w:r>
              <w:rPr>
                <w:rFonts w:eastAsiaTheme="minorEastAsia"/>
                <w:color w:val="000000" w:themeColor="text1"/>
                <w:kern w:val="0"/>
              </w:rPr>
              <w:t>1.80%</w:t>
            </w:r>
          </w:p>
        </w:tc>
        <w:tc>
          <w:tcPr>
            <w:tcW w:w="1181" w:type="dxa"/>
            <w:vAlign w:val="center"/>
          </w:tcPr>
          <w:p w:rsidR="00747D5F" w:rsidRDefault="00F8249D">
            <w:pPr>
              <w:jc w:val="center"/>
            </w:pPr>
            <w:r>
              <w:rPr>
                <w:rFonts w:eastAsiaTheme="minorEastAsia"/>
                <w:color w:val="000000" w:themeColor="text1"/>
                <w:kern w:val="0"/>
              </w:rPr>
              <w:t>32.35%</w:t>
            </w:r>
          </w:p>
        </w:tc>
        <w:tc>
          <w:tcPr>
            <w:tcW w:w="1188" w:type="dxa"/>
            <w:vAlign w:val="center"/>
          </w:tcPr>
          <w:p w:rsidR="00747D5F" w:rsidRDefault="00F8249D">
            <w:pPr>
              <w:jc w:val="center"/>
            </w:pPr>
            <w:r>
              <w:rPr>
                <w:rFonts w:eastAsiaTheme="minorEastAsia"/>
                <w:color w:val="000000" w:themeColor="text1"/>
                <w:kern w:val="0"/>
              </w:rPr>
              <w:t>1.26%</w:t>
            </w:r>
          </w:p>
        </w:tc>
        <w:tc>
          <w:tcPr>
            <w:tcW w:w="1199" w:type="dxa"/>
            <w:vAlign w:val="center"/>
          </w:tcPr>
          <w:p w:rsidR="00747D5F" w:rsidRDefault="00F8249D">
            <w:pPr>
              <w:jc w:val="center"/>
            </w:pPr>
            <w:r>
              <w:rPr>
                <w:rFonts w:eastAsiaTheme="minorEastAsia"/>
                <w:color w:val="000000" w:themeColor="text1"/>
                <w:kern w:val="0"/>
              </w:rPr>
              <w:t>90.15%</w:t>
            </w:r>
          </w:p>
        </w:tc>
        <w:tc>
          <w:tcPr>
            <w:tcW w:w="1204" w:type="dxa"/>
            <w:vAlign w:val="center"/>
          </w:tcPr>
          <w:p w:rsidR="00747D5F" w:rsidRDefault="00F8249D">
            <w:pPr>
              <w:jc w:val="center"/>
            </w:pPr>
            <w:r>
              <w:rPr>
                <w:rFonts w:eastAsiaTheme="minorEastAsia"/>
                <w:color w:val="000000" w:themeColor="text1"/>
                <w:kern w:val="0"/>
              </w:rPr>
              <w:t>0.54%</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3.2.2</w:t>
      </w:r>
      <w:r w:rsidRPr="00FF6B9A">
        <w:rPr>
          <w:rStyle w:val="afe"/>
          <w:color w:val="000000" w:themeColor="text1"/>
          <w:sz w:val="24"/>
          <w:szCs w:val="24"/>
          <w:shd w:val="clear" w:color="auto" w:fill="FFFFFF"/>
        </w:rPr>
        <w:t>自基金合同生效以来</w:t>
      </w:r>
      <w:r w:rsidRPr="00FF6B9A">
        <w:rPr>
          <w:rFonts w:eastAsiaTheme="minorEastAsia"/>
          <w:b/>
          <w:bCs/>
          <w:color w:val="000000" w:themeColor="text1"/>
          <w:kern w:val="0"/>
          <w:sz w:val="24"/>
          <w:szCs w:val="24"/>
        </w:rPr>
        <w:t>基金累计净值增长率变动及其与同期业绩比较基准收益率变动的比较</w:t>
      </w:r>
    </w:p>
    <w:p w:rsidR="00D06738" w:rsidRPr="00FF6B9A" w:rsidRDefault="00454D20">
      <w:pPr>
        <w:spacing w:line="360" w:lineRule="auto"/>
        <w:jc w:val="center"/>
        <w:rPr>
          <w:rFonts w:eastAsiaTheme="minorEastAsia"/>
          <w:color w:val="000000" w:themeColor="text1"/>
        </w:rPr>
      </w:pPr>
      <w:r w:rsidRPr="00FF6B9A">
        <w:rPr>
          <w:rFonts w:eastAsiaTheme="minorEastAsia"/>
          <w:color w:val="000000" w:themeColor="text1"/>
        </w:rPr>
        <w:t>上投摩根安全战略股票型证券投资基金</w:t>
      </w:r>
    </w:p>
    <w:p w:rsidR="00D06738" w:rsidRPr="00FF6B9A" w:rsidRDefault="00454D20">
      <w:pPr>
        <w:pStyle w:val="ae"/>
        <w:snapToGrid w:val="0"/>
        <w:spacing w:line="360" w:lineRule="auto"/>
        <w:jc w:val="center"/>
        <w:rPr>
          <w:rFonts w:ascii="Times New Roman" w:eastAsiaTheme="minorEastAsia" w:hAnsi="Times New Roman" w:cs="Times New Roman"/>
          <w:color w:val="000000" w:themeColor="text1"/>
        </w:rPr>
      </w:pPr>
      <w:r w:rsidRPr="00FF6B9A">
        <w:rPr>
          <w:rFonts w:ascii="Times New Roman" w:eastAsiaTheme="minorEastAsia" w:hAnsi="Times New Roman" w:cs="Times New Roman"/>
          <w:color w:val="000000" w:themeColor="text1"/>
        </w:rPr>
        <w:t>累计净值增长率与业绩比较基准收益率历史走势对比图</w:t>
      </w:r>
    </w:p>
    <w:p w:rsidR="00D06738" w:rsidRPr="00FF6B9A" w:rsidRDefault="00454D20">
      <w:pPr>
        <w:pStyle w:val="ae"/>
        <w:snapToGrid w:val="0"/>
        <w:spacing w:line="360" w:lineRule="auto"/>
        <w:ind w:firstLine="480"/>
        <w:jc w:val="center"/>
        <w:rPr>
          <w:rFonts w:ascii="Times New Roman" w:eastAsiaTheme="minorEastAsia" w:hAnsi="Times New Roman" w:cs="Times New Roman"/>
          <w:color w:val="000000" w:themeColor="text1"/>
          <w:sz w:val="24"/>
          <w:szCs w:val="24"/>
        </w:rPr>
      </w:pPr>
      <w:r w:rsidRPr="00FF6B9A">
        <w:rPr>
          <w:rFonts w:ascii="Times New Roman" w:eastAsiaTheme="minorEastAsia" w:hAnsi="Times New Roman" w:cs="Times New Roman"/>
          <w:color w:val="000000" w:themeColor="text1"/>
        </w:rPr>
        <w:t>(2015</w:t>
      </w:r>
      <w:r w:rsidRPr="00FF6B9A">
        <w:rPr>
          <w:rFonts w:ascii="Times New Roman" w:eastAsiaTheme="minorEastAsia" w:hAnsi="Times New Roman" w:cs="Times New Roman"/>
          <w:color w:val="000000" w:themeColor="text1"/>
        </w:rPr>
        <w:t>年</w:t>
      </w:r>
      <w:r w:rsidRPr="00FF6B9A">
        <w:rPr>
          <w:rFonts w:ascii="Times New Roman" w:eastAsiaTheme="minorEastAsia" w:hAnsi="Times New Roman" w:cs="Times New Roman"/>
          <w:color w:val="000000" w:themeColor="text1"/>
        </w:rPr>
        <w:t>2</w:t>
      </w:r>
      <w:r w:rsidRPr="00FF6B9A">
        <w:rPr>
          <w:rFonts w:ascii="Times New Roman" w:eastAsiaTheme="minorEastAsia" w:hAnsi="Times New Roman" w:cs="Times New Roman"/>
          <w:color w:val="000000" w:themeColor="text1"/>
        </w:rPr>
        <w:t>月</w:t>
      </w:r>
      <w:r w:rsidRPr="00FF6B9A">
        <w:rPr>
          <w:rFonts w:ascii="Times New Roman" w:eastAsiaTheme="minorEastAsia" w:hAnsi="Times New Roman" w:cs="Times New Roman"/>
          <w:color w:val="000000" w:themeColor="text1"/>
        </w:rPr>
        <w:t>26</w:t>
      </w:r>
      <w:r w:rsidRPr="00FF6B9A">
        <w:rPr>
          <w:rFonts w:ascii="Times New Roman" w:eastAsiaTheme="minorEastAsia" w:hAnsi="Times New Roman" w:cs="Times New Roman"/>
          <w:color w:val="000000" w:themeColor="text1"/>
        </w:rPr>
        <w:t>日至</w:t>
      </w:r>
      <w:r w:rsidRPr="00FF6B9A">
        <w:rPr>
          <w:rFonts w:ascii="Times New Roman" w:eastAsiaTheme="minorEastAsia" w:hAnsi="Times New Roman" w:cs="Times New Roman"/>
          <w:color w:val="000000" w:themeColor="text1"/>
        </w:rPr>
        <w:t>2021</w:t>
      </w:r>
      <w:r w:rsidRPr="00FF6B9A">
        <w:rPr>
          <w:rFonts w:ascii="Times New Roman" w:eastAsiaTheme="minorEastAsia" w:hAnsi="Times New Roman" w:cs="Times New Roman"/>
          <w:color w:val="000000" w:themeColor="text1"/>
        </w:rPr>
        <w:t>年</w:t>
      </w:r>
      <w:r w:rsidRPr="00FF6B9A">
        <w:rPr>
          <w:rFonts w:ascii="Times New Roman" w:eastAsiaTheme="minorEastAsia" w:hAnsi="Times New Roman" w:cs="Times New Roman"/>
          <w:color w:val="000000" w:themeColor="text1"/>
        </w:rPr>
        <w:t>12</w:t>
      </w:r>
      <w:r w:rsidRPr="00FF6B9A">
        <w:rPr>
          <w:rFonts w:ascii="Times New Roman" w:eastAsiaTheme="minorEastAsia" w:hAnsi="Times New Roman" w:cs="Times New Roman"/>
          <w:color w:val="000000" w:themeColor="text1"/>
        </w:rPr>
        <w:t>月</w:t>
      </w:r>
      <w:r w:rsidRPr="00FF6B9A">
        <w:rPr>
          <w:rFonts w:ascii="Times New Roman" w:eastAsiaTheme="minorEastAsia" w:hAnsi="Times New Roman" w:cs="Times New Roman"/>
          <w:color w:val="000000" w:themeColor="text1"/>
        </w:rPr>
        <w:t>31</w:t>
      </w:r>
      <w:r w:rsidRPr="00FF6B9A">
        <w:rPr>
          <w:rFonts w:ascii="Times New Roman" w:eastAsiaTheme="minorEastAsia" w:hAnsi="Times New Roman" w:cs="Times New Roman"/>
          <w:color w:val="000000" w:themeColor="text1"/>
        </w:rPr>
        <w:t>日</w:t>
      </w:r>
      <w:r w:rsidRPr="00FF6B9A">
        <w:rPr>
          <w:rFonts w:ascii="Times New Roman" w:eastAsiaTheme="minorEastAsia" w:hAnsi="Times New Roman" w:cs="Times New Roman"/>
          <w:color w:val="000000" w:themeColor="text1"/>
        </w:rPr>
        <w:t>)</w:t>
      </w:r>
    </w:p>
    <w:p w:rsidR="00D06738" w:rsidRPr="00FF6B9A" w:rsidRDefault="00454D20">
      <w:pPr>
        <w:pStyle w:val="ae"/>
        <w:snapToGrid w:val="0"/>
        <w:spacing w:before="120" w:line="360" w:lineRule="auto"/>
        <w:jc w:val="center"/>
        <w:rPr>
          <w:rFonts w:ascii="Times New Roman" w:eastAsiaTheme="minorEastAsia" w:hAnsi="Times New Roman" w:cs="Times New Roman"/>
          <w:color w:val="000000" w:themeColor="text1"/>
          <w:sz w:val="24"/>
          <w:szCs w:val="24"/>
        </w:rPr>
      </w:pPr>
      <w:r w:rsidRPr="00FF6B9A">
        <w:rPr>
          <w:rFonts w:ascii="Times New Roman" w:eastAsiaTheme="minorEastAsia" w:hAnsi="Times New Roman" w:cs="Times New Roman"/>
          <w:noProof/>
          <w:color w:val="000000" w:themeColor="text1"/>
          <w:sz w:val="24"/>
          <w:szCs w:val="24"/>
        </w:rPr>
        <w:drawing>
          <wp:inline distT="0" distB="0" distL="0" distR="0" wp14:anchorId="41E8FF0D" wp14:editId="228D69F2">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747D5F" w:rsidRDefault="00F8249D">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注：本基金合同生效日为</w:t>
      </w:r>
      <w:r>
        <w:rPr>
          <w:rFonts w:eastAsiaTheme="minorEastAsia"/>
          <w:color w:val="000000" w:themeColor="text1"/>
        </w:rPr>
        <w:t>2015</w:t>
      </w:r>
      <w:r>
        <w:rPr>
          <w:rFonts w:eastAsiaTheme="minorEastAsia"/>
          <w:color w:val="000000" w:themeColor="text1"/>
        </w:rPr>
        <w:t>年</w:t>
      </w:r>
      <w:r>
        <w:rPr>
          <w:rFonts w:eastAsiaTheme="minorEastAsia"/>
          <w:color w:val="000000" w:themeColor="text1"/>
        </w:rPr>
        <w:t>2</w:t>
      </w:r>
      <w:r>
        <w:rPr>
          <w:rFonts w:eastAsiaTheme="minorEastAsia"/>
          <w:color w:val="000000" w:themeColor="text1"/>
        </w:rPr>
        <w:t>月</w:t>
      </w:r>
      <w:r>
        <w:rPr>
          <w:rFonts w:eastAsiaTheme="minorEastAsia"/>
          <w:color w:val="000000" w:themeColor="text1"/>
        </w:rPr>
        <w:t>26</w:t>
      </w:r>
      <w:r>
        <w:rPr>
          <w:rFonts w:eastAsiaTheme="minorEastAsia"/>
          <w:color w:val="000000" w:themeColor="text1"/>
        </w:rPr>
        <w:t>日，图示的时间段为合同生效日至本报告期末。</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本基金建仓期为本基金合同生效日起</w:t>
      </w:r>
      <w:r w:rsidRPr="00FF6B9A">
        <w:rPr>
          <w:rFonts w:eastAsiaTheme="minorEastAsia"/>
          <w:color w:val="000000" w:themeColor="text1"/>
        </w:rPr>
        <w:t xml:space="preserve"> 6 </w:t>
      </w:r>
      <w:r w:rsidRPr="00FF6B9A">
        <w:rPr>
          <w:rFonts w:eastAsiaTheme="minorEastAsia"/>
          <w:color w:val="000000" w:themeColor="text1"/>
        </w:rPr>
        <w:t>个月，建仓期结束时资产配置比例符合本基金基金合同规定。</w:t>
      </w:r>
    </w:p>
    <w:p w:rsidR="00D06738" w:rsidRPr="00FF6B9A" w:rsidRDefault="00D06738">
      <w:pPr>
        <w:tabs>
          <w:tab w:val="left" w:pos="1800"/>
        </w:tabs>
        <w:spacing w:line="360" w:lineRule="auto"/>
        <w:rPr>
          <w:rFonts w:eastAsiaTheme="minorEastAsia"/>
          <w:color w:val="000000" w:themeColor="text1"/>
          <w:sz w:val="24"/>
          <w:szCs w:val="24"/>
        </w:rPr>
      </w:pPr>
    </w:p>
    <w:p w:rsidR="00D06738" w:rsidRPr="00FF6B9A" w:rsidRDefault="00D06738">
      <w:pPr>
        <w:tabs>
          <w:tab w:val="left" w:pos="1800"/>
        </w:tabs>
        <w:spacing w:line="288" w:lineRule="auto"/>
        <w:rPr>
          <w:rFonts w:eastAsiaTheme="minorEastAsia"/>
          <w:color w:val="000000" w:themeColor="text1"/>
          <w:sz w:val="24"/>
          <w:szCs w:val="24"/>
        </w:rPr>
      </w:pP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§4  </w:t>
      </w:r>
      <w:r w:rsidRPr="00FF6B9A">
        <w:rPr>
          <w:rFonts w:eastAsiaTheme="minorEastAsia"/>
          <w:color w:val="000000" w:themeColor="text1"/>
          <w:kern w:val="0"/>
          <w:sz w:val="24"/>
          <w:szCs w:val="24"/>
        </w:rPr>
        <w:t>管理人报告</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4.1 </w:t>
      </w:r>
      <w:r w:rsidRPr="00FF6B9A">
        <w:rPr>
          <w:rFonts w:eastAsiaTheme="minorEastAsia"/>
          <w:b/>
          <w:bCs/>
          <w:color w:val="000000" w:themeColor="text1"/>
          <w:kern w:val="0"/>
          <w:sz w:val="24"/>
          <w:szCs w:val="24"/>
        </w:rPr>
        <w:t>基金经理</w:t>
      </w:r>
      <w:r w:rsidRPr="00FF6B9A">
        <w:rPr>
          <w:rFonts w:eastAsiaTheme="minorEastAsia"/>
          <w:b/>
          <w:bCs/>
          <w:color w:val="000000" w:themeColor="text1"/>
          <w:kern w:val="0"/>
          <w:sz w:val="24"/>
          <w:szCs w:val="24"/>
        </w:rPr>
        <w:t>(</w:t>
      </w:r>
      <w:r w:rsidRPr="00FF6B9A">
        <w:rPr>
          <w:rFonts w:eastAsiaTheme="minorEastAsia"/>
          <w:b/>
          <w:bCs/>
          <w:color w:val="000000" w:themeColor="text1"/>
          <w:kern w:val="0"/>
          <w:sz w:val="24"/>
          <w:szCs w:val="24"/>
        </w:rPr>
        <w:t>或基金经理小组</w:t>
      </w:r>
      <w:r w:rsidRPr="00FF6B9A">
        <w:rPr>
          <w:rFonts w:eastAsiaTheme="minorEastAsia"/>
          <w:b/>
          <w:bCs/>
          <w:color w:val="000000" w:themeColor="text1"/>
          <w:kern w:val="0"/>
          <w:sz w:val="24"/>
          <w:szCs w:val="24"/>
        </w:rPr>
        <w:t>)</w:t>
      </w:r>
      <w:r w:rsidRPr="00FF6B9A">
        <w:rPr>
          <w:rFonts w:eastAsiaTheme="minorEastAsia"/>
          <w:b/>
          <w:bCs/>
          <w:color w:val="000000" w:themeColor="text1"/>
          <w:kern w:val="0"/>
          <w:sz w:val="24"/>
          <w:szCs w:val="24"/>
        </w:rPr>
        <w:t>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D06738" w:rsidRPr="00FF6B9A">
        <w:trPr>
          <w:cantSplit/>
          <w:trHeight w:val="292"/>
        </w:trPr>
        <w:tc>
          <w:tcPr>
            <w:tcW w:w="851"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姓名</w:t>
            </w:r>
          </w:p>
        </w:tc>
        <w:tc>
          <w:tcPr>
            <w:tcW w:w="850"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职务</w:t>
            </w:r>
          </w:p>
        </w:tc>
        <w:tc>
          <w:tcPr>
            <w:tcW w:w="3119" w:type="dxa"/>
            <w:gridSpan w:val="2"/>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任本基金的基金经理期限</w:t>
            </w:r>
          </w:p>
        </w:tc>
        <w:tc>
          <w:tcPr>
            <w:tcW w:w="1417" w:type="dxa"/>
            <w:vMerge w:val="restart"/>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证券从业年限</w:t>
            </w:r>
          </w:p>
        </w:tc>
        <w:tc>
          <w:tcPr>
            <w:tcW w:w="2694"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说明</w:t>
            </w:r>
          </w:p>
        </w:tc>
      </w:tr>
      <w:tr w:rsidR="00D06738" w:rsidRPr="00FF6B9A">
        <w:trPr>
          <w:cantSplit/>
        </w:trPr>
        <w:tc>
          <w:tcPr>
            <w:tcW w:w="851"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850"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1560"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任职日期</w:t>
            </w:r>
          </w:p>
        </w:tc>
        <w:tc>
          <w:tcPr>
            <w:tcW w:w="1559"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离任日期</w:t>
            </w:r>
          </w:p>
        </w:tc>
        <w:tc>
          <w:tcPr>
            <w:tcW w:w="1417"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2694" w:type="dxa"/>
            <w:vMerge/>
            <w:vAlign w:val="center"/>
          </w:tcPr>
          <w:p w:rsidR="00D06738" w:rsidRPr="00FF6B9A" w:rsidRDefault="00D06738">
            <w:pPr>
              <w:widowControl/>
              <w:spacing w:line="360" w:lineRule="auto"/>
              <w:jc w:val="left"/>
              <w:rPr>
                <w:rFonts w:eastAsiaTheme="minorEastAsia"/>
                <w:color w:val="000000" w:themeColor="text1"/>
                <w:kern w:val="0"/>
              </w:rPr>
            </w:pPr>
          </w:p>
        </w:tc>
      </w:tr>
      <w:tr w:rsidR="00747D5F">
        <w:tc>
          <w:tcPr>
            <w:tcW w:w="851" w:type="dxa"/>
            <w:vAlign w:val="center"/>
          </w:tcPr>
          <w:p w:rsidR="00747D5F" w:rsidRDefault="00F8249D">
            <w:pPr>
              <w:jc w:val="center"/>
            </w:pPr>
            <w:r>
              <w:rPr>
                <w:rFonts w:eastAsiaTheme="minorEastAsia"/>
                <w:color w:val="000000" w:themeColor="text1"/>
              </w:rPr>
              <w:t>陈思郁</w:t>
            </w:r>
          </w:p>
        </w:tc>
        <w:tc>
          <w:tcPr>
            <w:tcW w:w="850" w:type="dxa"/>
            <w:vAlign w:val="center"/>
          </w:tcPr>
          <w:p w:rsidR="00747D5F" w:rsidRDefault="00F8249D">
            <w:pPr>
              <w:jc w:val="center"/>
            </w:pPr>
            <w:r>
              <w:rPr>
                <w:rFonts w:eastAsiaTheme="minorEastAsia"/>
                <w:color w:val="000000" w:themeColor="text1"/>
              </w:rPr>
              <w:t>本基金基金经理</w:t>
            </w:r>
          </w:p>
        </w:tc>
        <w:tc>
          <w:tcPr>
            <w:tcW w:w="1560" w:type="dxa"/>
            <w:vAlign w:val="center"/>
          </w:tcPr>
          <w:p w:rsidR="00747D5F" w:rsidRDefault="00F8249D">
            <w:pPr>
              <w:jc w:val="center"/>
            </w:pPr>
            <w:r>
              <w:rPr>
                <w:rFonts w:eastAsiaTheme="minorEastAsia"/>
                <w:color w:val="000000" w:themeColor="text1"/>
              </w:rPr>
              <w:t>2016-10-21</w:t>
            </w:r>
          </w:p>
        </w:tc>
        <w:tc>
          <w:tcPr>
            <w:tcW w:w="1559" w:type="dxa"/>
            <w:vAlign w:val="center"/>
          </w:tcPr>
          <w:p w:rsidR="00747D5F" w:rsidRDefault="00F8249D">
            <w:pPr>
              <w:jc w:val="center"/>
            </w:pPr>
            <w:r>
              <w:rPr>
                <w:rFonts w:eastAsiaTheme="minorEastAsia"/>
                <w:color w:val="000000" w:themeColor="text1"/>
              </w:rPr>
              <w:t>-</w:t>
            </w:r>
          </w:p>
        </w:tc>
        <w:tc>
          <w:tcPr>
            <w:tcW w:w="1417" w:type="dxa"/>
            <w:vAlign w:val="center"/>
          </w:tcPr>
          <w:p w:rsidR="00747D5F" w:rsidRDefault="00F8249D">
            <w:pPr>
              <w:jc w:val="center"/>
            </w:pPr>
            <w:r>
              <w:rPr>
                <w:rFonts w:eastAsiaTheme="minorEastAsia"/>
                <w:color w:val="000000" w:themeColor="text1"/>
              </w:rPr>
              <w:t>15</w:t>
            </w:r>
            <w:r>
              <w:rPr>
                <w:rFonts w:eastAsiaTheme="minorEastAsia"/>
                <w:color w:val="000000" w:themeColor="text1"/>
              </w:rPr>
              <w:t>年</w:t>
            </w:r>
          </w:p>
        </w:tc>
        <w:tc>
          <w:tcPr>
            <w:tcW w:w="2694" w:type="dxa"/>
            <w:vAlign w:val="center"/>
          </w:tcPr>
          <w:p w:rsidR="00747D5F" w:rsidRDefault="00F8249D">
            <w:r>
              <w:rPr>
                <w:rFonts w:eastAsiaTheme="minorEastAsia"/>
                <w:color w:val="000000" w:themeColor="text1"/>
              </w:rPr>
              <w:t>陈思郁女士，英国伦敦大学学院经济学硕士，</w:t>
            </w:r>
            <w:r>
              <w:rPr>
                <w:rFonts w:eastAsiaTheme="minorEastAsia"/>
                <w:color w:val="000000" w:themeColor="text1"/>
              </w:rPr>
              <w:t>2007</w:t>
            </w:r>
            <w:r>
              <w:rPr>
                <w:rFonts w:eastAsiaTheme="minorEastAsia"/>
                <w:color w:val="000000" w:themeColor="text1"/>
              </w:rPr>
              <w:t>年</w:t>
            </w:r>
            <w:r>
              <w:rPr>
                <w:rFonts w:eastAsiaTheme="minorEastAsia"/>
                <w:color w:val="000000" w:themeColor="text1"/>
              </w:rPr>
              <w:t>5</w:t>
            </w:r>
            <w:r>
              <w:rPr>
                <w:rFonts w:eastAsiaTheme="minorEastAsia"/>
                <w:color w:val="000000" w:themeColor="text1"/>
              </w:rPr>
              <w:t>月至</w:t>
            </w:r>
            <w:r>
              <w:rPr>
                <w:rFonts w:eastAsiaTheme="minorEastAsia"/>
                <w:color w:val="000000" w:themeColor="text1"/>
              </w:rPr>
              <w:t>2009</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月在国泰君</w:t>
            </w:r>
            <w:r>
              <w:rPr>
                <w:rFonts w:eastAsiaTheme="minorEastAsia"/>
                <w:color w:val="000000" w:themeColor="text1"/>
              </w:rPr>
              <w:lastRenderedPageBreak/>
              <w:t>安研究所担任研究员。自</w:t>
            </w:r>
            <w:r>
              <w:rPr>
                <w:rFonts w:eastAsiaTheme="minorEastAsia"/>
                <w:color w:val="000000" w:themeColor="text1"/>
              </w:rPr>
              <w:t>2009</w:t>
            </w:r>
            <w:r>
              <w:rPr>
                <w:rFonts w:eastAsiaTheme="minorEastAsia"/>
                <w:color w:val="000000" w:themeColor="text1"/>
              </w:rPr>
              <w:t>年</w:t>
            </w:r>
            <w:r>
              <w:rPr>
                <w:rFonts w:eastAsiaTheme="minorEastAsia"/>
                <w:color w:val="000000" w:themeColor="text1"/>
              </w:rPr>
              <w:t>9</w:t>
            </w:r>
            <w:r>
              <w:rPr>
                <w:rFonts w:eastAsiaTheme="minorEastAsia"/>
                <w:color w:val="000000" w:themeColor="text1"/>
              </w:rPr>
              <w:t>月起加入上投摩根基金管理有限公司，历任行业专家、基金经理助理，现任国内权益投资部基金经理，自</w:t>
            </w:r>
            <w:r>
              <w:rPr>
                <w:rFonts w:eastAsiaTheme="minorEastAsia"/>
                <w:color w:val="000000" w:themeColor="text1"/>
              </w:rPr>
              <w:t>2015</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月起担任上投摩根双核平衡混合型证券投资基金基金经理，自</w:t>
            </w:r>
            <w:r>
              <w:rPr>
                <w:rFonts w:eastAsiaTheme="minorEastAsia"/>
                <w:color w:val="000000" w:themeColor="text1"/>
              </w:rPr>
              <w:t>2016</w:t>
            </w:r>
            <w:r>
              <w:rPr>
                <w:rFonts w:eastAsiaTheme="minorEastAsia"/>
                <w:color w:val="000000" w:themeColor="text1"/>
              </w:rPr>
              <w:t>年</w:t>
            </w:r>
            <w:r>
              <w:rPr>
                <w:rFonts w:eastAsiaTheme="minorEastAsia"/>
                <w:color w:val="000000" w:themeColor="text1"/>
              </w:rPr>
              <w:t>10</w:t>
            </w:r>
            <w:r>
              <w:rPr>
                <w:rFonts w:eastAsiaTheme="minorEastAsia"/>
                <w:color w:val="000000" w:themeColor="text1"/>
              </w:rPr>
              <w:t>月起同时担任上投摩根安全战略股票型证券投资基金基金经理，自</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月起同时担任上投摩根景气甄选混合型证券投资基金基金经理。</w:t>
            </w:r>
          </w:p>
        </w:tc>
      </w:tr>
    </w:tbl>
    <w:p w:rsidR="00747D5F" w:rsidRDefault="00F8249D">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lastRenderedPageBreak/>
        <w:t>注：</w:t>
      </w:r>
      <w:r>
        <w:rPr>
          <w:rFonts w:eastAsiaTheme="minorEastAsia"/>
          <w:color w:val="000000" w:themeColor="text1"/>
        </w:rPr>
        <w:t>1.</w:t>
      </w:r>
      <w:r>
        <w:rPr>
          <w:rFonts w:eastAsiaTheme="minorEastAsia"/>
          <w:color w:val="000000" w:themeColor="text1"/>
        </w:rPr>
        <w:t>任职日期和离任日期均指根据公司决定确定的聘任日期和解聘日期。</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2.</w:t>
      </w:r>
      <w:r w:rsidRPr="00FF6B9A">
        <w:rPr>
          <w:rFonts w:eastAsiaTheme="minorEastAsia"/>
          <w:color w:val="000000" w:themeColor="text1"/>
        </w:rPr>
        <w:t>证券从业的含义遵从行业协会《证券业从业人员资格管理办法》的相关规定。</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4.2 </w:t>
      </w:r>
      <w:r w:rsidRPr="00FF6B9A">
        <w:rPr>
          <w:rFonts w:eastAsiaTheme="minorEastAsia"/>
          <w:b/>
          <w:bCs/>
          <w:color w:val="000000" w:themeColor="text1"/>
          <w:kern w:val="0"/>
          <w:sz w:val="24"/>
          <w:szCs w:val="24"/>
        </w:rPr>
        <w:t>管理人对报告期内本基金运作遵规守信情况的说明</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在本报告期内，基金管理人不存在损害基金份额持有人利益的行为，勤勉尽责地为基金份额持有人谋求利益。基金管理人遵守了《证券投资基金法》及其他有关法律法规、《上投摩根安全战略股票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4.3 </w:t>
      </w:r>
      <w:r w:rsidRPr="00FF6B9A">
        <w:rPr>
          <w:rFonts w:eastAsiaTheme="minorEastAsia"/>
          <w:b/>
          <w:bCs/>
          <w:color w:val="000000" w:themeColor="text1"/>
          <w:kern w:val="0"/>
          <w:sz w:val="24"/>
          <w:szCs w:val="24"/>
        </w:rPr>
        <w:t>公平交易专项说明</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 xml:space="preserve">4.3.1 </w:t>
      </w:r>
      <w:r w:rsidRPr="00FF6B9A">
        <w:rPr>
          <w:rFonts w:eastAsiaTheme="minorEastAsia"/>
          <w:color w:val="000000" w:themeColor="text1"/>
          <w:sz w:val="24"/>
          <w:szCs w:val="24"/>
        </w:rPr>
        <w:t>公平交易制度的执行情况</w:t>
      </w:r>
    </w:p>
    <w:p w:rsidR="00747D5F" w:rsidRDefault="00F8249D">
      <w:pPr>
        <w:spacing w:line="360" w:lineRule="auto"/>
        <w:ind w:firstLineChars="200" w:firstLine="420"/>
        <w:rPr>
          <w:rFonts w:eastAsiaTheme="minorEastAsia"/>
          <w:color w:val="000000" w:themeColor="text1"/>
        </w:rPr>
      </w:pPr>
      <w:r>
        <w:rPr>
          <w:rFonts w:eastAsiaTheme="minorEastAsia"/>
          <w:color w:val="000000" w:themeColor="text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747D5F" w:rsidRDefault="00F8249D">
      <w:pPr>
        <w:spacing w:line="360" w:lineRule="auto"/>
        <w:ind w:firstLineChars="200" w:firstLine="420"/>
        <w:rPr>
          <w:rFonts w:eastAsiaTheme="minorEastAsia"/>
          <w:color w:val="000000" w:themeColor="text1"/>
        </w:rPr>
      </w:pPr>
      <w:r>
        <w:rPr>
          <w:rFonts w:eastAsiaTheme="minorEastAsia"/>
          <w:color w:val="000000" w:themeColor="text1"/>
        </w:rPr>
        <w:t>对于交易所市场投资活动，本公司执行集中交易制度，确保不同投资组合在买卖同一证券时，按照时间优先、比例分配的原则在各投资组合间公平分配交易量；对于银行间市场投资活动</w:t>
      </w:r>
      <w:r>
        <w:rPr>
          <w:rFonts w:eastAsiaTheme="minorEastAsia"/>
          <w:color w:val="000000" w:themeColor="text1"/>
        </w:rPr>
        <w:t>，本公司通过对手库控制和交易室询价机制，严格防范对手风险并检查价格公允性；</w:t>
      </w:r>
      <w:r>
        <w:rPr>
          <w:rFonts w:eastAsiaTheme="minorEastAsia"/>
          <w:color w:val="000000" w:themeColor="text1"/>
        </w:rPr>
        <w:lastRenderedPageBreak/>
        <w:t>对于申购投资行为，本公司遵循价格优先、比例分配的原则，根据事前独立申报的价格和数量对交易结果进行公平分配。</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报告期内，通过对不同投资组合之间的收益率差异比较、对同向交易和反向交易的交易时机和交易价差监控分析，未发现整体公平交易执行出现异常的情况。</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 xml:space="preserve">4.3.2 </w:t>
      </w:r>
      <w:r w:rsidRPr="00FF6B9A">
        <w:rPr>
          <w:rFonts w:eastAsiaTheme="minorEastAsia"/>
          <w:color w:val="000000" w:themeColor="text1"/>
          <w:sz w:val="24"/>
          <w:szCs w:val="24"/>
        </w:rPr>
        <w:t>异常交易行为的专项说明</w:t>
      </w:r>
    </w:p>
    <w:p w:rsidR="00747D5F" w:rsidRDefault="00F8249D">
      <w:pPr>
        <w:spacing w:line="360" w:lineRule="auto"/>
        <w:ind w:firstLineChars="200" w:firstLine="420"/>
        <w:rPr>
          <w:rFonts w:eastAsiaTheme="minorEastAsia"/>
          <w:color w:val="000000" w:themeColor="text1"/>
        </w:rPr>
      </w:pPr>
      <w:r>
        <w:rPr>
          <w:rFonts w:eastAsiaTheme="minorEastAsia"/>
          <w:color w:val="000000" w:themeColor="text1"/>
        </w:rPr>
        <w:t>报告期内，通过对交易价格、交易时间、交易方向等的分析，未发现有可能导致不公平交易和利益输送的异常交易行为。</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所有投资组合参与的交易所公开竞价同日反向交易成交较少的单边交易量超过该证券当日成交量的</w:t>
      </w:r>
      <w:r w:rsidRPr="00FF6B9A">
        <w:rPr>
          <w:rFonts w:eastAsiaTheme="minorEastAsia"/>
          <w:color w:val="000000" w:themeColor="text1"/>
        </w:rPr>
        <w:t>5%</w:t>
      </w:r>
      <w:r w:rsidRPr="00FF6B9A">
        <w:rPr>
          <w:rFonts w:eastAsiaTheme="minorEastAsia"/>
          <w:color w:val="000000" w:themeColor="text1"/>
        </w:rPr>
        <w:t>的情形：无。</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4.4 </w:t>
      </w:r>
      <w:r w:rsidRPr="00FF6B9A">
        <w:rPr>
          <w:rFonts w:eastAsiaTheme="minorEastAsia"/>
          <w:b/>
          <w:bCs/>
          <w:color w:val="000000" w:themeColor="text1"/>
          <w:kern w:val="0"/>
          <w:sz w:val="24"/>
          <w:szCs w:val="24"/>
        </w:rPr>
        <w:t>报告期内基金的投资策略和业绩表现说明</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4.4.1</w:t>
      </w:r>
      <w:r w:rsidRPr="00FF6B9A">
        <w:rPr>
          <w:rFonts w:eastAsiaTheme="minorEastAsia"/>
          <w:color w:val="000000" w:themeColor="text1"/>
          <w:sz w:val="24"/>
          <w:szCs w:val="24"/>
        </w:rPr>
        <w:t>报告期内基金投资策略和运作分析</w:t>
      </w:r>
    </w:p>
    <w:p w:rsidR="00747D5F" w:rsidRDefault="00F8249D">
      <w:pPr>
        <w:spacing w:line="360" w:lineRule="auto"/>
        <w:ind w:firstLineChars="200" w:firstLine="420"/>
        <w:rPr>
          <w:rFonts w:eastAsiaTheme="minorEastAsia"/>
          <w:color w:val="000000" w:themeColor="text1"/>
        </w:rPr>
      </w:pPr>
      <w:r>
        <w:rPr>
          <w:rFonts w:eastAsiaTheme="minorEastAsia"/>
          <w:color w:val="000000" w:themeColor="text1"/>
        </w:rPr>
        <w:t>21</w:t>
      </w:r>
      <w:r>
        <w:rPr>
          <w:rFonts w:eastAsiaTheme="minorEastAsia"/>
          <w:color w:val="000000" w:themeColor="text1"/>
        </w:rPr>
        <w:t>年四季度，市场运行状态不佳，整体比较低迷。九月开始，一煤难求，拉闸限电情况普遍，经济运行承压，进入十月，政策迅速纠偏，全力保障煤炭供应，限电情况明显好转，经济数据从十一月开始好转，</w:t>
      </w:r>
      <w:r>
        <w:rPr>
          <w:rFonts w:eastAsiaTheme="minorEastAsia"/>
          <w:color w:val="000000" w:themeColor="text1"/>
        </w:rPr>
        <w:t>PMI</w:t>
      </w:r>
      <w:r>
        <w:rPr>
          <w:rFonts w:eastAsiaTheme="minorEastAsia"/>
          <w:color w:val="000000" w:themeColor="text1"/>
        </w:rPr>
        <w:t>重新处于扩张阶段，但经济疲态显露，叠加疫情频出，服务业消费业持续低迷。流动性方面，随着经济疲弱，上层的托底政策开始发力，进入四季度，我们陆续看到了定向降息、降准、扶持小微等政策，以及防范地产系统性风险的托底政策等等。</w:t>
      </w:r>
    </w:p>
    <w:p w:rsidR="00747D5F" w:rsidRDefault="00F8249D">
      <w:pPr>
        <w:spacing w:line="360" w:lineRule="auto"/>
        <w:ind w:firstLineChars="200" w:firstLine="420"/>
        <w:rPr>
          <w:rFonts w:eastAsiaTheme="minorEastAsia"/>
          <w:color w:val="000000" w:themeColor="text1"/>
        </w:rPr>
      </w:pPr>
      <w:r>
        <w:rPr>
          <w:rFonts w:eastAsiaTheme="minorEastAsia"/>
          <w:color w:val="000000" w:themeColor="text1"/>
        </w:rPr>
        <w:t>因此，在经济初显疲态，托底政策出台的大宏观背景下，股票市场表现比较低迷，前期强势个股调整剧烈，如</w:t>
      </w:r>
      <w:r>
        <w:rPr>
          <w:rFonts w:eastAsiaTheme="minorEastAsia"/>
          <w:color w:val="000000" w:themeColor="text1"/>
        </w:rPr>
        <w:t>CXO</w:t>
      </w:r>
      <w:r>
        <w:rPr>
          <w:rFonts w:eastAsiaTheme="minorEastAsia"/>
          <w:color w:val="000000" w:themeColor="text1"/>
        </w:rPr>
        <w:t>、</w:t>
      </w:r>
      <w:r>
        <w:rPr>
          <w:rFonts w:eastAsiaTheme="minorEastAsia"/>
          <w:color w:val="000000" w:themeColor="text1"/>
        </w:rPr>
        <w:t>新能源汽车等上半年涨幅较大的板块；同时博弈气氛浓烈，主题轮番炒作，但持续性不强，赚钱效应欠佳。在这样的背景下，本季度本基金表现欠佳，出现了一定的回撤，但我们进入</w:t>
      </w:r>
      <w:r>
        <w:rPr>
          <w:rFonts w:eastAsiaTheme="minorEastAsia"/>
          <w:color w:val="000000" w:themeColor="text1"/>
        </w:rPr>
        <w:t>9</w:t>
      </w:r>
      <w:r>
        <w:rPr>
          <w:rFonts w:eastAsiaTheme="minorEastAsia"/>
          <w:color w:val="000000" w:themeColor="text1"/>
        </w:rPr>
        <w:t>月中下旬就及时控制了仓位，尽量减少了市场波动对基金的负面影响。</w:t>
      </w:r>
    </w:p>
    <w:p w:rsidR="00747D5F" w:rsidRDefault="00F8249D">
      <w:pPr>
        <w:spacing w:line="360" w:lineRule="auto"/>
        <w:ind w:firstLineChars="200" w:firstLine="420"/>
        <w:rPr>
          <w:rFonts w:eastAsiaTheme="minorEastAsia"/>
          <w:color w:val="000000" w:themeColor="text1"/>
        </w:rPr>
      </w:pPr>
      <w:r>
        <w:rPr>
          <w:rFonts w:eastAsiaTheme="minorEastAsia"/>
          <w:color w:val="000000" w:themeColor="text1"/>
        </w:rPr>
        <w:t>展望未来，我们认为虽然面临很多的挑战，如美国进入加息周期，我国出口增速面临一定回落压力，持续的疫情扰动等等，但我们相信，我国经济出现系统性风险的概率较低，韧性较强，经济较大可能维持在</w:t>
      </w:r>
      <w:r>
        <w:rPr>
          <w:rFonts w:eastAsiaTheme="minorEastAsia"/>
          <w:color w:val="000000" w:themeColor="text1"/>
        </w:rPr>
        <w:t>5-5.5%</w:t>
      </w:r>
      <w:r>
        <w:rPr>
          <w:rFonts w:eastAsiaTheme="minorEastAsia"/>
          <w:color w:val="000000" w:themeColor="text1"/>
        </w:rPr>
        <w:t>的增速区间。同时托底政策和结构调整政策均会持续对我国经济的中长期优质增长提供动力，流动性会保</w:t>
      </w:r>
      <w:r>
        <w:rPr>
          <w:rFonts w:eastAsiaTheme="minorEastAsia"/>
          <w:color w:val="000000" w:themeColor="text1"/>
        </w:rPr>
        <w:t>持在一个中性偏宽的局面。这种大的环境，会为资本市场提供一个较好的土壤，对于明年的资本市场，我们依然有信心。</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现在市场赚钱效应差，博弈色彩浓烈，本质上反应的是大家对于未来经济增长和这些上市公司能否持续增长信心的缺失，从而导致市场的低迷，我们认为随着</w:t>
      </w:r>
      <w:r w:rsidRPr="00FF6B9A">
        <w:rPr>
          <w:rFonts w:eastAsiaTheme="minorEastAsia"/>
          <w:color w:val="000000" w:themeColor="text1"/>
        </w:rPr>
        <w:t>2022</w:t>
      </w:r>
      <w:r w:rsidRPr="00FF6B9A">
        <w:rPr>
          <w:rFonts w:eastAsiaTheme="minorEastAsia"/>
          <w:color w:val="000000" w:themeColor="text1"/>
        </w:rPr>
        <w:t>年的到来，宏</w:t>
      </w:r>
      <w:r w:rsidRPr="00FF6B9A">
        <w:rPr>
          <w:rFonts w:eastAsiaTheme="minorEastAsia"/>
          <w:color w:val="000000" w:themeColor="text1"/>
        </w:rPr>
        <w:lastRenderedPageBreak/>
        <w:t>观经济数据的披露，一系列上市公司财报的到来，会看到经济的逐步企稳，部分高景气度赛道优质标的的高速增长（今年经济承压，因此我们需要更加小心谨慎的选择真正优质的赛道和标的），同时部分优质标的经历了这段时间的调整，估值已经恢复到合理甚至较低的水平，为我们投资提供更好的机会。我们会择机提高仓位，依然看好新能源汽车、军工、食品饮料、医药等高景气赛道。</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4.4.2</w:t>
      </w:r>
      <w:r w:rsidRPr="00FF6B9A">
        <w:rPr>
          <w:rFonts w:eastAsiaTheme="minorEastAsia"/>
          <w:color w:val="000000" w:themeColor="text1"/>
          <w:sz w:val="24"/>
          <w:szCs w:val="24"/>
        </w:rPr>
        <w:t>报告期内基金的业绩表现</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本报告期上投摩根安全战略股票份额净值增长率为</w:t>
      </w:r>
      <w:r w:rsidRPr="00FF6B9A">
        <w:rPr>
          <w:rFonts w:eastAsiaTheme="minorEastAsia"/>
          <w:color w:val="000000" w:themeColor="text1"/>
        </w:rPr>
        <w:t>:-10.75%</w:t>
      </w:r>
      <w:r w:rsidRPr="00FF6B9A">
        <w:rPr>
          <w:rFonts w:eastAsiaTheme="minorEastAsia"/>
          <w:color w:val="000000" w:themeColor="text1"/>
        </w:rPr>
        <w:t>，同期业绩比较基准收益率为</w:t>
      </w:r>
      <w:r w:rsidRPr="00FF6B9A">
        <w:rPr>
          <w:rFonts w:eastAsiaTheme="minorEastAsia"/>
          <w:color w:val="000000" w:themeColor="text1"/>
        </w:rPr>
        <w:t>:1.82%</w:t>
      </w:r>
      <w:r w:rsidRPr="00FF6B9A">
        <w:rPr>
          <w:rFonts w:eastAsiaTheme="minorEastAsia"/>
          <w:color w:val="000000" w:themeColor="text1"/>
        </w:rPr>
        <w:t>。</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spacing w:line="360" w:lineRule="auto"/>
        <w:rPr>
          <w:rFonts w:eastAsiaTheme="minorEastAsia"/>
          <w:color w:val="000000" w:themeColor="text1"/>
          <w:sz w:val="24"/>
          <w:szCs w:val="24"/>
        </w:rPr>
      </w:pPr>
      <w:r w:rsidRPr="00FF6B9A">
        <w:rPr>
          <w:rFonts w:eastAsiaTheme="minorEastAsia"/>
          <w:b/>
          <w:color w:val="000000" w:themeColor="text1"/>
          <w:kern w:val="0"/>
          <w:sz w:val="24"/>
          <w:szCs w:val="24"/>
        </w:rPr>
        <w:t>4.5</w:t>
      </w:r>
      <w:r w:rsidRPr="00FF6B9A">
        <w:rPr>
          <w:rFonts w:eastAsiaTheme="minorEastAsia"/>
          <w:b/>
          <w:color w:val="000000" w:themeColor="text1"/>
          <w:kern w:val="0"/>
          <w:sz w:val="24"/>
          <w:szCs w:val="24"/>
        </w:rPr>
        <w:t>报告期内基金持有人数或基金资产净值预警说明</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kern w:val="0"/>
        </w:rPr>
        <w:t>无。</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§5  </w:t>
      </w:r>
      <w:r w:rsidRPr="00FF6B9A">
        <w:rPr>
          <w:rFonts w:eastAsiaTheme="minorEastAsia"/>
          <w:color w:val="000000" w:themeColor="text1"/>
          <w:kern w:val="0"/>
          <w:sz w:val="24"/>
          <w:szCs w:val="24"/>
        </w:rPr>
        <w:t>投资组合报告</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 </w:t>
      </w:r>
      <w:r w:rsidRPr="00FF6B9A">
        <w:rPr>
          <w:rFonts w:eastAsiaTheme="minorEastAsia"/>
          <w:b/>
          <w:bCs/>
          <w:color w:val="000000" w:themeColor="text1"/>
          <w:kern w:val="0"/>
          <w:sz w:val="24"/>
          <w:szCs w:val="24"/>
        </w:rPr>
        <w:t>报告期末基金资产组合情况</w:t>
      </w:r>
    </w:p>
    <w:tbl>
      <w:tblPr>
        <w:tblStyle w:val="aff4"/>
        <w:tblW w:w="8897" w:type="dxa"/>
        <w:jc w:val="center"/>
        <w:tblLayout w:type="fixed"/>
        <w:tblLook w:val="04A0" w:firstRow="1" w:lastRow="0" w:firstColumn="1" w:lastColumn="0" w:noHBand="0" w:noVBand="1"/>
      </w:tblPr>
      <w:tblGrid>
        <w:gridCol w:w="720"/>
        <w:gridCol w:w="3357"/>
        <w:gridCol w:w="2977"/>
        <w:gridCol w:w="1843"/>
      </w:tblGrid>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335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项目</w:t>
            </w:r>
          </w:p>
        </w:tc>
        <w:tc>
          <w:tcPr>
            <w:tcW w:w="297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金额</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占基金总资产的比例</w:t>
            </w: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1</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权益投资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519,518,689.13</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79.79</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其中：股票</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519,518,689.13</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79.79</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2</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固定收益投资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其中：债券</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autoSpaceDE w:val="0"/>
              <w:autoSpaceDN w:val="0"/>
              <w:adjustRightInd w:val="0"/>
              <w:spacing w:before="29" w:line="360" w:lineRule="auto"/>
              <w:ind w:left="17" w:firstLineChars="250" w:firstLine="525"/>
              <w:jc w:val="left"/>
              <w:rPr>
                <w:rFonts w:eastAsiaTheme="minorEastAsia"/>
                <w:color w:val="000000" w:themeColor="text1"/>
                <w:kern w:val="0"/>
              </w:rPr>
            </w:pPr>
            <w:r w:rsidRPr="00FF6B9A">
              <w:rPr>
                <w:rFonts w:eastAsiaTheme="minorEastAsia"/>
                <w:color w:val="000000" w:themeColor="text1"/>
                <w:kern w:val="0"/>
              </w:rPr>
              <w:t>资产支持证券</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3</w:t>
            </w:r>
          </w:p>
        </w:tc>
        <w:tc>
          <w:tcPr>
            <w:tcW w:w="3357" w:type="dxa"/>
          </w:tcPr>
          <w:p w:rsidR="00D06738" w:rsidRPr="00FF6B9A" w:rsidRDefault="00454D20">
            <w:pPr>
              <w:spacing w:before="29" w:line="360" w:lineRule="auto"/>
              <w:ind w:leftChars="50" w:left="105"/>
              <w:rPr>
                <w:rFonts w:eastAsiaTheme="minorEastAsia"/>
                <w:color w:val="000000" w:themeColor="text1"/>
                <w:kern w:val="0"/>
              </w:rPr>
            </w:pPr>
            <w:r w:rsidRPr="00FF6B9A">
              <w:rPr>
                <w:rFonts w:eastAsiaTheme="minorEastAsia"/>
                <w:color w:val="000000" w:themeColor="text1"/>
                <w:kern w:val="0"/>
              </w:rPr>
              <w:t>贵金属投资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4</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金融衍生品投资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5</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买入返售金融资产</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其中：买断式回购的买入返售金融资产</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6</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银行存款和结算备付金合计</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131,180,590.25</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20.15</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7</w:t>
            </w:r>
          </w:p>
        </w:tc>
        <w:tc>
          <w:tcPr>
            <w:tcW w:w="3357" w:type="dxa"/>
            <w:vAlign w:val="center"/>
          </w:tcPr>
          <w:p w:rsidR="00D06738" w:rsidRPr="00FF6B9A" w:rsidRDefault="00454D20">
            <w:pPr>
              <w:jc w:val="left"/>
              <w:rPr>
                <w:rFonts w:eastAsiaTheme="minorEastAsia"/>
                <w:color w:val="000000" w:themeColor="text1"/>
                <w:kern w:val="0"/>
              </w:rPr>
            </w:pPr>
            <w:r w:rsidRPr="00FF6B9A">
              <w:rPr>
                <w:rFonts w:eastAsiaTheme="minorEastAsia"/>
                <w:color w:val="000000" w:themeColor="text1"/>
                <w:kern w:val="0"/>
              </w:rPr>
              <w:t>其他各项资产</w:t>
            </w:r>
          </w:p>
        </w:tc>
        <w:tc>
          <w:tcPr>
            <w:tcW w:w="2977"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395,722.53</w:t>
            </w:r>
          </w:p>
        </w:tc>
        <w:tc>
          <w:tcPr>
            <w:tcW w:w="1843"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0.06</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lastRenderedPageBreak/>
              <w:t>8</w:t>
            </w:r>
          </w:p>
        </w:tc>
        <w:tc>
          <w:tcPr>
            <w:tcW w:w="3357" w:type="dxa"/>
            <w:vAlign w:val="center"/>
          </w:tcPr>
          <w:p w:rsidR="00D06738" w:rsidRPr="00FF6B9A" w:rsidRDefault="00454D20">
            <w:pPr>
              <w:jc w:val="left"/>
              <w:rPr>
                <w:rFonts w:eastAsiaTheme="minorEastAsia"/>
                <w:color w:val="000000" w:themeColor="text1"/>
                <w:kern w:val="0"/>
              </w:rPr>
            </w:pPr>
            <w:r w:rsidRPr="00FF6B9A">
              <w:rPr>
                <w:rFonts w:eastAsiaTheme="minorEastAsia"/>
                <w:color w:val="000000" w:themeColor="text1"/>
                <w:kern w:val="0"/>
              </w:rPr>
              <w:t>合计</w:t>
            </w:r>
          </w:p>
        </w:tc>
        <w:tc>
          <w:tcPr>
            <w:tcW w:w="2977"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651,095,001.91</w:t>
            </w:r>
          </w:p>
        </w:tc>
        <w:tc>
          <w:tcPr>
            <w:tcW w:w="1843"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100.00</w:t>
            </w:r>
          </w:p>
        </w:tc>
      </w:tr>
    </w:tbl>
    <w:p w:rsidR="00D06738" w:rsidRPr="00FF6B9A" w:rsidRDefault="00D06738">
      <w:pPr>
        <w:autoSpaceDE w:val="0"/>
        <w:autoSpaceDN w:val="0"/>
        <w:adjustRightInd w:val="0"/>
        <w:spacing w:line="360" w:lineRule="auto"/>
        <w:jc w:val="lef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5.2 </w:t>
      </w:r>
      <w:r w:rsidRPr="00FF6B9A">
        <w:rPr>
          <w:rFonts w:eastAsiaTheme="minorEastAsia"/>
          <w:b/>
          <w:bCs/>
          <w:color w:val="000000" w:themeColor="text1"/>
          <w:kern w:val="0"/>
          <w:sz w:val="24"/>
          <w:szCs w:val="24"/>
        </w:rPr>
        <w:t>报告期末按行业分类的股票投资组合</w:t>
      </w:r>
    </w:p>
    <w:p w:rsidR="00D06738" w:rsidRPr="00FF6B9A" w:rsidRDefault="00454D20">
      <w:pPr>
        <w:rPr>
          <w:b/>
        </w:rPr>
      </w:pPr>
      <w:r w:rsidRPr="00FF6B9A">
        <w:rPr>
          <w:rFonts w:eastAsiaTheme="minorEastAsia"/>
          <w:b/>
          <w:color w:val="000000" w:themeColor="text1"/>
          <w:kern w:val="0"/>
        </w:rPr>
        <w:t>5.2.1</w:t>
      </w:r>
      <w:r w:rsidRPr="00FF6B9A">
        <w:rPr>
          <w:rFonts w:eastAsiaTheme="minorEastAsia"/>
          <w:b/>
          <w:color w:val="000000" w:themeColor="text1"/>
          <w:kern w:val="0"/>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D06738" w:rsidRPr="00FF6B9A">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占基金资产净值比例（％）</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p w:rsidR="00D06738" w:rsidRPr="00FF6B9A" w:rsidRDefault="00D06738">
            <w:pPr>
              <w:jc w:val="right"/>
              <w:rPr>
                <w:rFonts w:eastAsiaTheme="minorEastAsia"/>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p w:rsidR="00D06738" w:rsidRPr="00FF6B9A" w:rsidRDefault="00D06738">
            <w:pPr>
              <w:jc w:val="right"/>
              <w:rPr>
                <w:rFonts w:eastAsiaTheme="minorEastAsia"/>
                <w:color w:val="000000" w:themeColor="text1"/>
                <w:kern w:val="0"/>
              </w:rPr>
            </w:pP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450,252,118.10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69.54</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14,113,332.00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2.18</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4,713.80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0.00</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339,269.38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0.05</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25,722.00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0.00</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4,608.00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0.00</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13,473,291.95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2.08</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18,542,113.41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2.86</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22,710,688.79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3.51</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14,899.39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0.00</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37,932.31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0.01</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D06738">
            <w:pPr>
              <w:adjustRightInd w:val="0"/>
              <w:snapToGrid w:val="0"/>
              <w:spacing w:line="400" w:lineRule="exact"/>
              <w:jc w:val="center"/>
              <w:rPr>
                <w:rFonts w:eastAsiaTheme="minorEastAsia"/>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519,518,689.13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80.24</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FF6B9A" w:rsidRPr="00FF6B9A" w:rsidRDefault="00FF6B9A" w:rsidP="00FF6B9A">
      <w:pPr>
        <w:spacing w:line="360" w:lineRule="auto"/>
        <w:rPr>
          <w:rFonts w:eastAsiaTheme="minorEastAsia"/>
          <w:sz w:val="24"/>
          <w:szCs w:val="24"/>
        </w:rPr>
      </w:pPr>
      <w:bookmarkStart w:id="1" w:name="_Hlk73460790"/>
      <w:r w:rsidRPr="00FF6B9A">
        <w:rPr>
          <w:rFonts w:eastAsiaTheme="minorEastAsia"/>
          <w:b/>
          <w:bCs/>
          <w:kern w:val="0"/>
          <w:sz w:val="24"/>
          <w:szCs w:val="24"/>
        </w:rPr>
        <w:t>5.3</w:t>
      </w:r>
      <w:r w:rsidRPr="00FF6B9A">
        <w:rPr>
          <w:rFonts w:asciiTheme="minorEastAsia" w:eastAsiaTheme="minorEastAsia" w:hAnsiTheme="minorEastAsia" w:hint="eastAsia"/>
          <w:b/>
          <w:bCs/>
          <w:kern w:val="0"/>
          <w:sz w:val="24"/>
          <w:szCs w:val="24"/>
        </w:rPr>
        <w:t>期末按公允价值占基金资产净值比例大小排序的股票投资明细</w:t>
      </w:r>
      <w:r w:rsidRPr="00FF6B9A">
        <w:rPr>
          <w:rFonts w:asciiTheme="minorEastAsia" w:eastAsiaTheme="minorEastAsia" w:hAnsiTheme="minorEastAsia" w:hint="eastAsia"/>
          <w:b/>
          <w:bCs/>
          <w:kern w:val="0"/>
          <w:sz w:val="24"/>
          <w:szCs w:val="24"/>
        </w:rPr>
        <w:cr/>
      </w:r>
      <w:r w:rsidRPr="00FF6B9A">
        <w:rPr>
          <w:rFonts w:eastAsiaTheme="minorEastAsia"/>
          <w:b/>
          <w:bCs/>
          <w:kern w:val="0"/>
          <w:sz w:val="24"/>
          <w:szCs w:val="24"/>
        </w:rPr>
        <w:t>5.3.1</w:t>
      </w:r>
      <w:r w:rsidRPr="00FF6B9A">
        <w:rPr>
          <w:rFonts w:asciiTheme="minorEastAsia" w:eastAsiaTheme="minorEastAsia" w:hAnsiTheme="minorEastAsia" w:hint="eastAsia"/>
          <w:b/>
          <w:bCs/>
          <w:kern w:val="0"/>
          <w:sz w:val="24"/>
          <w:szCs w:val="24"/>
        </w:rPr>
        <w:t>报告期末按公允价值占基金资产净值比例大小排序的前十名股票投资明细</w:t>
      </w:r>
    </w:p>
    <w:tbl>
      <w:tblPr>
        <w:tblStyle w:val="aff4"/>
        <w:tblW w:w="0" w:type="auto"/>
        <w:tblLayout w:type="fixed"/>
        <w:tblLook w:val="04A0" w:firstRow="1" w:lastRow="0" w:firstColumn="1" w:lastColumn="0" w:noHBand="0" w:noVBand="1"/>
      </w:tblPr>
      <w:tblGrid>
        <w:gridCol w:w="817"/>
        <w:gridCol w:w="1276"/>
        <w:gridCol w:w="1701"/>
        <w:gridCol w:w="1276"/>
        <w:gridCol w:w="1842"/>
        <w:gridCol w:w="1616"/>
      </w:tblGrid>
      <w:tr w:rsidR="00FF6B9A" w:rsidRPr="00FF6B9A" w:rsidTr="00D913A1">
        <w:tc>
          <w:tcPr>
            <w:tcW w:w="817"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序号</w:t>
            </w:r>
          </w:p>
        </w:tc>
        <w:tc>
          <w:tcPr>
            <w:tcW w:w="127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股票代码</w:t>
            </w:r>
          </w:p>
        </w:tc>
        <w:tc>
          <w:tcPr>
            <w:tcW w:w="1701"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股票名称</w:t>
            </w:r>
          </w:p>
        </w:tc>
        <w:tc>
          <w:tcPr>
            <w:tcW w:w="127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数量</w:t>
            </w:r>
            <w:r w:rsidRPr="00FF6B9A">
              <w:rPr>
                <w:rFonts w:eastAsiaTheme="minorEastAsia"/>
                <w:kern w:val="0"/>
                <w:sz w:val="24"/>
                <w:szCs w:val="24"/>
              </w:rPr>
              <w:t>(</w:t>
            </w:r>
            <w:r w:rsidRPr="00FF6B9A">
              <w:rPr>
                <w:rFonts w:eastAsiaTheme="minorEastAsia"/>
                <w:kern w:val="0"/>
                <w:sz w:val="24"/>
                <w:szCs w:val="24"/>
              </w:rPr>
              <w:t>股</w:t>
            </w:r>
            <w:r w:rsidRPr="00FF6B9A">
              <w:rPr>
                <w:rFonts w:eastAsiaTheme="minorEastAsia"/>
                <w:kern w:val="0"/>
                <w:sz w:val="24"/>
                <w:szCs w:val="24"/>
              </w:rPr>
              <w:t>)</w:t>
            </w:r>
          </w:p>
        </w:tc>
        <w:tc>
          <w:tcPr>
            <w:tcW w:w="1842" w:type="dxa"/>
            <w:vAlign w:val="center"/>
          </w:tcPr>
          <w:p w:rsidR="00FF6B9A" w:rsidRPr="00FF6B9A" w:rsidRDefault="00FF6B9A" w:rsidP="00D913A1">
            <w:pPr>
              <w:autoSpaceDE w:val="0"/>
              <w:autoSpaceDN w:val="0"/>
              <w:adjustRightInd w:val="0"/>
              <w:spacing w:before="29" w:line="360" w:lineRule="auto"/>
              <w:ind w:left="17"/>
              <w:jc w:val="center"/>
              <w:rPr>
                <w:rFonts w:eastAsiaTheme="minorEastAsia"/>
                <w:kern w:val="0"/>
                <w:sz w:val="24"/>
                <w:szCs w:val="24"/>
              </w:rPr>
            </w:pPr>
            <w:r w:rsidRPr="00FF6B9A">
              <w:rPr>
                <w:rFonts w:eastAsiaTheme="minorEastAsia"/>
                <w:kern w:val="0"/>
                <w:sz w:val="24"/>
                <w:szCs w:val="24"/>
              </w:rPr>
              <w:t>公允价值</w:t>
            </w:r>
            <w:r w:rsidRPr="00FF6B9A">
              <w:rPr>
                <w:rFonts w:eastAsiaTheme="minorEastAsia"/>
                <w:kern w:val="0"/>
                <w:sz w:val="24"/>
                <w:szCs w:val="24"/>
              </w:rPr>
              <w:t>(</w:t>
            </w:r>
            <w:r w:rsidRPr="00FF6B9A">
              <w:rPr>
                <w:rFonts w:eastAsiaTheme="minorEastAsia"/>
                <w:kern w:val="0"/>
                <w:sz w:val="24"/>
                <w:szCs w:val="24"/>
              </w:rPr>
              <w:t>元</w:t>
            </w:r>
            <w:r w:rsidRPr="00FF6B9A">
              <w:rPr>
                <w:rFonts w:eastAsiaTheme="minorEastAsia"/>
                <w:kern w:val="0"/>
                <w:sz w:val="24"/>
                <w:szCs w:val="24"/>
              </w:rPr>
              <w:t>)</w:t>
            </w:r>
          </w:p>
        </w:tc>
        <w:tc>
          <w:tcPr>
            <w:tcW w:w="161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占基金资产净值比例</w:t>
            </w:r>
            <w:r w:rsidRPr="00FF6B9A">
              <w:rPr>
                <w:rFonts w:eastAsiaTheme="minorEastAsia"/>
                <w:kern w:val="0"/>
                <w:sz w:val="24"/>
                <w:szCs w:val="24"/>
              </w:rPr>
              <w:t>(</w:t>
            </w:r>
            <w:r w:rsidRPr="00FF6B9A">
              <w:rPr>
                <w:rFonts w:eastAsiaTheme="minorEastAsia"/>
                <w:kern w:val="0"/>
                <w:sz w:val="24"/>
                <w:szCs w:val="24"/>
              </w:rPr>
              <w:t>％</w:t>
            </w:r>
            <w:r w:rsidRPr="00FF6B9A">
              <w:rPr>
                <w:rFonts w:eastAsiaTheme="minorEastAsia"/>
                <w:kern w:val="0"/>
                <w:sz w:val="24"/>
                <w:szCs w:val="24"/>
              </w:rPr>
              <w:t>)</w:t>
            </w:r>
          </w:p>
        </w:tc>
      </w:tr>
      <w:tr w:rsidR="00747D5F">
        <w:tc>
          <w:tcPr>
            <w:tcW w:w="817" w:type="dxa"/>
            <w:vAlign w:val="center"/>
          </w:tcPr>
          <w:p w:rsidR="00747D5F" w:rsidRDefault="00F8249D">
            <w:pPr>
              <w:jc w:val="center"/>
            </w:pPr>
            <w:r>
              <w:rPr>
                <w:rFonts w:eastAsiaTheme="minorEastAsia"/>
                <w:kern w:val="0"/>
                <w:sz w:val="24"/>
                <w:szCs w:val="24"/>
              </w:rPr>
              <w:lastRenderedPageBreak/>
              <w:t>1</w:t>
            </w:r>
          </w:p>
        </w:tc>
        <w:tc>
          <w:tcPr>
            <w:tcW w:w="1276" w:type="dxa"/>
            <w:vAlign w:val="center"/>
          </w:tcPr>
          <w:p w:rsidR="00747D5F" w:rsidRDefault="00F8249D">
            <w:pPr>
              <w:jc w:val="center"/>
            </w:pPr>
            <w:r>
              <w:rPr>
                <w:rFonts w:eastAsiaTheme="minorEastAsia"/>
                <w:kern w:val="0"/>
                <w:sz w:val="24"/>
                <w:szCs w:val="24"/>
              </w:rPr>
              <w:t>300750</w:t>
            </w:r>
          </w:p>
        </w:tc>
        <w:tc>
          <w:tcPr>
            <w:tcW w:w="1701" w:type="dxa"/>
            <w:vAlign w:val="center"/>
          </w:tcPr>
          <w:p w:rsidR="00747D5F" w:rsidRDefault="00F8249D">
            <w:pPr>
              <w:jc w:val="center"/>
            </w:pPr>
            <w:r>
              <w:rPr>
                <w:rFonts w:eastAsiaTheme="minorEastAsia"/>
                <w:kern w:val="0"/>
                <w:sz w:val="24"/>
                <w:szCs w:val="24"/>
              </w:rPr>
              <w:t>宁德时代</w:t>
            </w:r>
          </w:p>
        </w:tc>
        <w:tc>
          <w:tcPr>
            <w:tcW w:w="1276" w:type="dxa"/>
            <w:vAlign w:val="center"/>
          </w:tcPr>
          <w:p w:rsidR="00747D5F" w:rsidRDefault="00F8249D">
            <w:pPr>
              <w:jc w:val="right"/>
            </w:pPr>
            <w:r>
              <w:rPr>
                <w:rFonts w:eastAsiaTheme="minorEastAsia"/>
                <w:kern w:val="0"/>
                <w:sz w:val="24"/>
                <w:szCs w:val="24"/>
              </w:rPr>
              <w:t>77,016</w:t>
            </w:r>
          </w:p>
        </w:tc>
        <w:tc>
          <w:tcPr>
            <w:tcW w:w="1842" w:type="dxa"/>
            <w:vAlign w:val="center"/>
          </w:tcPr>
          <w:p w:rsidR="00747D5F" w:rsidRDefault="00F8249D">
            <w:pPr>
              <w:jc w:val="right"/>
            </w:pPr>
            <w:r>
              <w:rPr>
                <w:rFonts w:eastAsiaTheme="minorEastAsia"/>
                <w:kern w:val="0"/>
                <w:sz w:val="24"/>
                <w:szCs w:val="24"/>
              </w:rPr>
              <w:t>45,285,408.00</w:t>
            </w:r>
          </w:p>
        </w:tc>
        <w:tc>
          <w:tcPr>
            <w:tcW w:w="1616" w:type="dxa"/>
            <w:vAlign w:val="center"/>
          </w:tcPr>
          <w:p w:rsidR="00747D5F" w:rsidRDefault="00F8249D">
            <w:pPr>
              <w:jc w:val="right"/>
            </w:pPr>
            <w:r>
              <w:rPr>
                <w:rFonts w:eastAsiaTheme="minorEastAsia"/>
                <w:kern w:val="0"/>
                <w:sz w:val="24"/>
                <w:szCs w:val="24"/>
              </w:rPr>
              <w:t>6.99</w:t>
            </w:r>
          </w:p>
        </w:tc>
      </w:tr>
      <w:tr w:rsidR="00747D5F">
        <w:tc>
          <w:tcPr>
            <w:tcW w:w="817" w:type="dxa"/>
            <w:vAlign w:val="center"/>
          </w:tcPr>
          <w:p w:rsidR="00747D5F" w:rsidRDefault="00F8249D">
            <w:pPr>
              <w:jc w:val="center"/>
            </w:pPr>
            <w:r>
              <w:rPr>
                <w:rFonts w:eastAsiaTheme="minorEastAsia"/>
                <w:kern w:val="0"/>
                <w:sz w:val="24"/>
                <w:szCs w:val="24"/>
              </w:rPr>
              <w:t>2</w:t>
            </w:r>
          </w:p>
        </w:tc>
        <w:tc>
          <w:tcPr>
            <w:tcW w:w="1276" w:type="dxa"/>
            <w:vAlign w:val="center"/>
          </w:tcPr>
          <w:p w:rsidR="00747D5F" w:rsidRDefault="00F8249D">
            <w:pPr>
              <w:jc w:val="center"/>
            </w:pPr>
            <w:r>
              <w:rPr>
                <w:rFonts w:eastAsiaTheme="minorEastAsia"/>
                <w:kern w:val="0"/>
                <w:sz w:val="24"/>
                <w:szCs w:val="24"/>
              </w:rPr>
              <w:t>600519</w:t>
            </w:r>
          </w:p>
        </w:tc>
        <w:tc>
          <w:tcPr>
            <w:tcW w:w="1701" w:type="dxa"/>
            <w:vAlign w:val="center"/>
          </w:tcPr>
          <w:p w:rsidR="00747D5F" w:rsidRDefault="00F8249D">
            <w:pPr>
              <w:jc w:val="center"/>
            </w:pPr>
            <w:r>
              <w:rPr>
                <w:rFonts w:eastAsiaTheme="minorEastAsia"/>
                <w:kern w:val="0"/>
                <w:sz w:val="24"/>
                <w:szCs w:val="24"/>
              </w:rPr>
              <w:t>贵州茅台</w:t>
            </w:r>
          </w:p>
        </w:tc>
        <w:tc>
          <w:tcPr>
            <w:tcW w:w="1276" w:type="dxa"/>
            <w:vAlign w:val="center"/>
          </w:tcPr>
          <w:p w:rsidR="00747D5F" w:rsidRDefault="00F8249D">
            <w:pPr>
              <w:jc w:val="right"/>
            </w:pPr>
            <w:r>
              <w:rPr>
                <w:rFonts w:eastAsiaTheme="minorEastAsia"/>
                <w:kern w:val="0"/>
                <w:sz w:val="24"/>
                <w:szCs w:val="24"/>
              </w:rPr>
              <w:t>20,900</w:t>
            </w:r>
          </w:p>
        </w:tc>
        <w:tc>
          <w:tcPr>
            <w:tcW w:w="1842" w:type="dxa"/>
            <w:vAlign w:val="center"/>
          </w:tcPr>
          <w:p w:rsidR="00747D5F" w:rsidRDefault="00F8249D">
            <w:pPr>
              <w:jc w:val="right"/>
            </w:pPr>
            <w:r>
              <w:rPr>
                <w:rFonts w:eastAsiaTheme="minorEastAsia"/>
                <w:kern w:val="0"/>
                <w:sz w:val="24"/>
                <w:szCs w:val="24"/>
              </w:rPr>
              <w:t>42,845,000.00</w:t>
            </w:r>
          </w:p>
        </w:tc>
        <w:tc>
          <w:tcPr>
            <w:tcW w:w="1616" w:type="dxa"/>
            <w:vAlign w:val="center"/>
          </w:tcPr>
          <w:p w:rsidR="00747D5F" w:rsidRDefault="00F8249D">
            <w:pPr>
              <w:jc w:val="right"/>
            </w:pPr>
            <w:r>
              <w:rPr>
                <w:rFonts w:eastAsiaTheme="minorEastAsia"/>
                <w:kern w:val="0"/>
                <w:sz w:val="24"/>
                <w:szCs w:val="24"/>
              </w:rPr>
              <w:t>6.62</w:t>
            </w:r>
          </w:p>
        </w:tc>
      </w:tr>
      <w:tr w:rsidR="00747D5F">
        <w:tc>
          <w:tcPr>
            <w:tcW w:w="817" w:type="dxa"/>
            <w:vAlign w:val="center"/>
          </w:tcPr>
          <w:p w:rsidR="00747D5F" w:rsidRDefault="00F8249D">
            <w:pPr>
              <w:jc w:val="center"/>
            </w:pPr>
            <w:r>
              <w:rPr>
                <w:rFonts w:eastAsiaTheme="minorEastAsia"/>
                <w:kern w:val="0"/>
                <w:sz w:val="24"/>
                <w:szCs w:val="24"/>
              </w:rPr>
              <w:t>3</w:t>
            </w:r>
          </w:p>
        </w:tc>
        <w:tc>
          <w:tcPr>
            <w:tcW w:w="1276" w:type="dxa"/>
            <w:vAlign w:val="center"/>
          </w:tcPr>
          <w:p w:rsidR="00747D5F" w:rsidRDefault="00F8249D">
            <w:pPr>
              <w:jc w:val="center"/>
            </w:pPr>
            <w:r>
              <w:rPr>
                <w:rFonts w:eastAsiaTheme="minorEastAsia"/>
                <w:kern w:val="0"/>
                <w:sz w:val="24"/>
                <w:szCs w:val="24"/>
              </w:rPr>
              <w:t>603486</w:t>
            </w:r>
          </w:p>
        </w:tc>
        <w:tc>
          <w:tcPr>
            <w:tcW w:w="1701" w:type="dxa"/>
            <w:vAlign w:val="center"/>
          </w:tcPr>
          <w:p w:rsidR="00747D5F" w:rsidRDefault="00F8249D">
            <w:pPr>
              <w:jc w:val="center"/>
            </w:pPr>
            <w:r>
              <w:rPr>
                <w:rFonts w:eastAsiaTheme="minorEastAsia"/>
                <w:kern w:val="0"/>
                <w:sz w:val="24"/>
                <w:szCs w:val="24"/>
              </w:rPr>
              <w:t>科沃斯</w:t>
            </w:r>
          </w:p>
        </w:tc>
        <w:tc>
          <w:tcPr>
            <w:tcW w:w="1276" w:type="dxa"/>
            <w:vAlign w:val="center"/>
          </w:tcPr>
          <w:p w:rsidR="00747D5F" w:rsidRDefault="00F8249D">
            <w:pPr>
              <w:jc w:val="right"/>
            </w:pPr>
            <w:r>
              <w:rPr>
                <w:rFonts w:eastAsiaTheme="minorEastAsia"/>
                <w:kern w:val="0"/>
                <w:sz w:val="24"/>
                <w:szCs w:val="24"/>
              </w:rPr>
              <w:t>217,205</w:t>
            </w:r>
          </w:p>
        </w:tc>
        <w:tc>
          <w:tcPr>
            <w:tcW w:w="1842" w:type="dxa"/>
            <w:vAlign w:val="center"/>
          </w:tcPr>
          <w:p w:rsidR="00747D5F" w:rsidRDefault="00F8249D">
            <w:pPr>
              <w:jc w:val="right"/>
            </w:pPr>
            <w:r>
              <w:rPr>
                <w:rFonts w:eastAsiaTheme="minorEastAsia"/>
                <w:kern w:val="0"/>
                <w:sz w:val="24"/>
                <w:szCs w:val="24"/>
              </w:rPr>
              <w:t>32,787,094.75</w:t>
            </w:r>
          </w:p>
        </w:tc>
        <w:tc>
          <w:tcPr>
            <w:tcW w:w="1616" w:type="dxa"/>
            <w:vAlign w:val="center"/>
          </w:tcPr>
          <w:p w:rsidR="00747D5F" w:rsidRDefault="00F8249D">
            <w:pPr>
              <w:jc w:val="right"/>
            </w:pPr>
            <w:r>
              <w:rPr>
                <w:rFonts w:eastAsiaTheme="minorEastAsia"/>
                <w:kern w:val="0"/>
                <w:sz w:val="24"/>
                <w:szCs w:val="24"/>
              </w:rPr>
              <w:t>5.06</w:t>
            </w:r>
          </w:p>
        </w:tc>
      </w:tr>
      <w:tr w:rsidR="00747D5F">
        <w:tc>
          <w:tcPr>
            <w:tcW w:w="817" w:type="dxa"/>
            <w:vAlign w:val="center"/>
          </w:tcPr>
          <w:p w:rsidR="00747D5F" w:rsidRDefault="00F8249D">
            <w:pPr>
              <w:jc w:val="center"/>
            </w:pPr>
            <w:r>
              <w:rPr>
                <w:rFonts w:eastAsiaTheme="minorEastAsia"/>
                <w:kern w:val="0"/>
                <w:sz w:val="24"/>
                <w:szCs w:val="24"/>
              </w:rPr>
              <w:t>4</w:t>
            </w:r>
          </w:p>
        </w:tc>
        <w:tc>
          <w:tcPr>
            <w:tcW w:w="1276" w:type="dxa"/>
            <w:vAlign w:val="center"/>
          </w:tcPr>
          <w:p w:rsidR="00747D5F" w:rsidRDefault="00F8249D">
            <w:pPr>
              <w:jc w:val="center"/>
            </w:pPr>
            <w:r>
              <w:rPr>
                <w:rFonts w:eastAsiaTheme="minorEastAsia"/>
                <w:kern w:val="0"/>
                <w:sz w:val="24"/>
                <w:szCs w:val="24"/>
              </w:rPr>
              <w:t>300363</w:t>
            </w:r>
          </w:p>
        </w:tc>
        <w:tc>
          <w:tcPr>
            <w:tcW w:w="1701" w:type="dxa"/>
            <w:vAlign w:val="center"/>
          </w:tcPr>
          <w:p w:rsidR="00747D5F" w:rsidRDefault="00F8249D">
            <w:pPr>
              <w:jc w:val="center"/>
            </w:pPr>
            <w:r>
              <w:rPr>
                <w:rFonts w:eastAsiaTheme="minorEastAsia"/>
                <w:kern w:val="0"/>
                <w:sz w:val="24"/>
                <w:szCs w:val="24"/>
              </w:rPr>
              <w:t>博腾股份</w:t>
            </w:r>
          </w:p>
        </w:tc>
        <w:tc>
          <w:tcPr>
            <w:tcW w:w="1276" w:type="dxa"/>
            <w:vAlign w:val="center"/>
          </w:tcPr>
          <w:p w:rsidR="00747D5F" w:rsidRDefault="00F8249D">
            <w:pPr>
              <w:jc w:val="right"/>
            </w:pPr>
            <w:r>
              <w:rPr>
                <w:rFonts w:eastAsiaTheme="minorEastAsia"/>
                <w:kern w:val="0"/>
                <w:sz w:val="24"/>
                <w:szCs w:val="24"/>
              </w:rPr>
              <w:t>230,629</w:t>
            </w:r>
          </w:p>
        </w:tc>
        <w:tc>
          <w:tcPr>
            <w:tcW w:w="1842" w:type="dxa"/>
            <w:vAlign w:val="center"/>
          </w:tcPr>
          <w:p w:rsidR="00747D5F" w:rsidRDefault="00F8249D">
            <w:pPr>
              <w:jc w:val="right"/>
            </w:pPr>
            <w:r>
              <w:rPr>
                <w:rFonts w:eastAsiaTheme="minorEastAsia"/>
                <w:kern w:val="0"/>
                <w:sz w:val="24"/>
                <w:szCs w:val="24"/>
              </w:rPr>
              <w:t>20,629,764.05</w:t>
            </w:r>
          </w:p>
        </w:tc>
        <w:tc>
          <w:tcPr>
            <w:tcW w:w="1616" w:type="dxa"/>
            <w:vAlign w:val="center"/>
          </w:tcPr>
          <w:p w:rsidR="00747D5F" w:rsidRDefault="00F8249D">
            <w:pPr>
              <w:jc w:val="right"/>
            </w:pPr>
            <w:r>
              <w:rPr>
                <w:rFonts w:eastAsiaTheme="minorEastAsia"/>
                <w:kern w:val="0"/>
                <w:sz w:val="24"/>
                <w:szCs w:val="24"/>
              </w:rPr>
              <w:t>3.19</w:t>
            </w:r>
          </w:p>
        </w:tc>
      </w:tr>
      <w:tr w:rsidR="00747D5F">
        <w:tc>
          <w:tcPr>
            <w:tcW w:w="817" w:type="dxa"/>
            <w:vAlign w:val="center"/>
          </w:tcPr>
          <w:p w:rsidR="00747D5F" w:rsidRDefault="00F8249D">
            <w:pPr>
              <w:jc w:val="center"/>
            </w:pPr>
            <w:r>
              <w:rPr>
                <w:rFonts w:eastAsiaTheme="minorEastAsia"/>
                <w:kern w:val="0"/>
                <w:sz w:val="24"/>
                <w:szCs w:val="24"/>
              </w:rPr>
              <w:t>5</w:t>
            </w:r>
          </w:p>
        </w:tc>
        <w:tc>
          <w:tcPr>
            <w:tcW w:w="1276" w:type="dxa"/>
            <w:vAlign w:val="center"/>
          </w:tcPr>
          <w:p w:rsidR="00747D5F" w:rsidRDefault="00F8249D">
            <w:pPr>
              <w:jc w:val="center"/>
            </w:pPr>
            <w:r>
              <w:rPr>
                <w:rFonts w:eastAsiaTheme="minorEastAsia"/>
                <w:kern w:val="0"/>
                <w:sz w:val="24"/>
                <w:szCs w:val="24"/>
              </w:rPr>
              <w:t>600436</w:t>
            </w:r>
          </w:p>
        </w:tc>
        <w:tc>
          <w:tcPr>
            <w:tcW w:w="1701" w:type="dxa"/>
            <w:vAlign w:val="center"/>
          </w:tcPr>
          <w:p w:rsidR="00747D5F" w:rsidRDefault="00F8249D">
            <w:pPr>
              <w:jc w:val="center"/>
            </w:pPr>
            <w:r>
              <w:rPr>
                <w:rFonts w:eastAsiaTheme="minorEastAsia"/>
                <w:kern w:val="0"/>
                <w:sz w:val="24"/>
                <w:szCs w:val="24"/>
              </w:rPr>
              <w:t>片仔癀</w:t>
            </w:r>
          </w:p>
        </w:tc>
        <w:tc>
          <w:tcPr>
            <w:tcW w:w="1276" w:type="dxa"/>
            <w:vAlign w:val="center"/>
          </w:tcPr>
          <w:p w:rsidR="00747D5F" w:rsidRDefault="00F8249D">
            <w:pPr>
              <w:jc w:val="right"/>
            </w:pPr>
            <w:r>
              <w:rPr>
                <w:rFonts w:eastAsiaTheme="minorEastAsia"/>
                <w:kern w:val="0"/>
                <w:sz w:val="24"/>
                <w:szCs w:val="24"/>
              </w:rPr>
              <w:t>42,000</w:t>
            </w:r>
          </w:p>
        </w:tc>
        <w:tc>
          <w:tcPr>
            <w:tcW w:w="1842" w:type="dxa"/>
            <w:vAlign w:val="center"/>
          </w:tcPr>
          <w:p w:rsidR="00747D5F" w:rsidRDefault="00F8249D">
            <w:pPr>
              <w:jc w:val="right"/>
            </w:pPr>
            <w:r>
              <w:rPr>
                <w:rFonts w:eastAsiaTheme="minorEastAsia"/>
                <w:kern w:val="0"/>
                <w:sz w:val="24"/>
                <w:szCs w:val="24"/>
              </w:rPr>
              <w:t>18,360,300.00</w:t>
            </w:r>
          </w:p>
        </w:tc>
        <w:tc>
          <w:tcPr>
            <w:tcW w:w="1616" w:type="dxa"/>
            <w:vAlign w:val="center"/>
          </w:tcPr>
          <w:p w:rsidR="00747D5F" w:rsidRDefault="00F8249D">
            <w:pPr>
              <w:jc w:val="right"/>
            </w:pPr>
            <w:r>
              <w:rPr>
                <w:rFonts w:eastAsiaTheme="minorEastAsia"/>
                <w:kern w:val="0"/>
                <w:sz w:val="24"/>
                <w:szCs w:val="24"/>
              </w:rPr>
              <w:t>2.84</w:t>
            </w:r>
          </w:p>
        </w:tc>
      </w:tr>
      <w:tr w:rsidR="00747D5F">
        <w:tc>
          <w:tcPr>
            <w:tcW w:w="817" w:type="dxa"/>
            <w:vAlign w:val="center"/>
          </w:tcPr>
          <w:p w:rsidR="00747D5F" w:rsidRDefault="00F8249D">
            <w:pPr>
              <w:jc w:val="center"/>
            </w:pPr>
            <w:r>
              <w:rPr>
                <w:rFonts w:eastAsiaTheme="minorEastAsia"/>
                <w:kern w:val="0"/>
                <w:sz w:val="24"/>
                <w:szCs w:val="24"/>
              </w:rPr>
              <w:t>6</w:t>
            </w:r>
          </w:p>
        </w:tc>
        <w:tc>
          <w:tcPr>
            <w:tcW w:w="1276" w:type="dxa"/>
            <w:vAlign w:val="center"/>
          </w:tcPr>
          <w:p w:rsidR="00747D5F" w:rsidRDefault="00F8249D">
            <w:pPr>
              <w:jc w:val="center"/>
            </w:pPr>
            <w:r>
              <w:rPr>
                <w:rFonts w:eastAsiaTheme="minorEastAsia"/>
                <w:kern w:val="0"/>
                <w:sz w:val="24"/>
                <w:szCs w:val="24"/>
              </w:rPr>
              <w:t>300014</w:t>
            </w:r>
          </w:p>
        </w:tc>
        <w:tc>
          <w:tcPr>
            <w:tcW w:w="1701" w:type="dxa"/>
            <w:vAlign w:val="center"/>
          </w:tcPr>
          <w:p w:rsidR="00747D5F" w:rsidRDefault="00F8249D">
            <w:pPr>
              <w:jc w:val="center"/>
            </w:pPr>
            <w:r>
              <w:rPr>
                <w:rFonts w:eastAsiaTheme="minorEastAsia"/>
                <w:kern w:val="0"/>
                <w:sz w:val="24"/>
                <w:szCs w:val="24"/>
              </w:rPr>
              <w:t>亿纬锂能</w:t>
            </w:r>
          </w:p>
        </w:tc>
        <w:tc>
          <w:tcPr>
            <w:tcW w:w="1276" w:type="dxa"/>
            <w:vAlign w:val="center"/>
          </w:tcPr>
          <w:p w:rsidR="00747D5F" w:rsidRDefault="00F8249D">
            <w:pPr>
              <w:jc w:val="right"/>
            </w:pPr>
            <w:r>
              <w:rPr>
                <w:rFonts w:eastAsiaTheme="minorEastAsia"/>
                <w:kern w:val="0"/>
                <w:sz w:val="24"/>
                <w:szCs w:val="24"/>
              </w:rPr>
              <w:t>153,700</w:t>
            </w:r>
          </w:p>
        </w:tc>
        <w:tc>
          <w:tcPr>
            <w:tcW w:w="1842" w:type="dxa"/>
            <w:vAlign w:val="center"/>
          </w:tcPr>
          <w:p w:rsidR="00747D5F" w:rsidRDefault="00F8249D">
            <w:pPr>
              <w:jc w:val="right"/>
            </w:pPr>
            <w:r>
              <w:rPr>
                <w:rFonts w:eastAsiaTheme="minorEastAsia"/>
                <w:kern w:val="0"/>
                <w:sz w:val="24"/>
                <w:szCs w:val="24"/>
              </w:rPr>
              <w:t>18,164,266.00</w:t>
            </w:r>
          </w:p>
        </w:tc>
        <w:tc>
          <w:tcPr>
            <w:tcW w:w="1616" w:type="dxa"/>
            <w:vAlign w:val="center"/>
          </w:tcPr>
          <w:p w:rsidR="00747D5F" w:rsidRDefault="00F8249D">
            <w:pPr>
              <w:jc w:val="right"/>
            </w:pPr>
            <w:r>
              <w:rPr>
                <w:rFonts w:eastAsiaTheme="minorEastAsia"/>
                <w:kern w:val="0"/>
                <w:sz w:val="24"/>
                <w:szCs w:val="24"/>
              </w:rPr>
              <w:t>2.81</w:t>
            </w:r>
          </w:p>
        </w:tc>
      </w:tr>
      <w:tr w:rsidR="00747D5F">
        <w:tc>
          <w:tcPr>
            <w:tcW w:w="817" w:type="dxa"/>
            <w:vAlign w:val="center"/>
          </w:tcPr>
          <w:p w:rsidR="00747D5F" w:rsidRDefault="00F8249D">
            <w:pPr>
              <w:jc w:val="center"/>
            </w:pPr>
            <w:r>
              <w:rPr>
                <w:rFonts w:eastAsiaTheme="minorEastAsia"/>
                <w:kern w:val="0"/>
                <w:sz w:val="24"/>
                <w:szCs w:val="24"/>
              </w:rPr>
              <w:t>7</w:t>
            </w:r>
          </w:p>
        </w:tc>
        <w:tc>
          <w:tcPr>
            <w:tcW w:w="1276" w:type="dxa"/>
            <w:vAlign w:val="center"/>
          </w:tcPr>
          <w:p w:rsidR="00747D5F" w:rsidRDefault="00F8249D">
            <w:pPr>
              <w:jc w:val="center"/>
            </w:pPr>
            <w:r>
              <w:rPr>
                <w:rFonts w:eastAsiaTheme="minorEastAsia"/>
                <w:kern w:val="0"/>
                <w:sz w:val="24"/>
                <w:szCs w:val="24"/>
              </w:rPr>
              <w:t>688116</w:t>
            </w:r>
          </w:p>
        </w:tc>
        <w:tc>
          <w:tcPr>
            <w:tcW w:w="1701" w:type="dxa"/>
            <w:vAlign w:val="center"/>
          </w:tcPr>
          <w:p w:rsidR="00747D5F" w:rsidRDefault="00F8249D">
            <w:pPr>
              <w:jc w:val="center"/>
            </w:pPr>
            <w:r>
              <w:rPr>
                <w:rFonts w:eastAsiaTheme="minorEastAsia"/>
                <w:kern w:val="0"/>
                <w:sz w:val="24"/>
                <w:szCs w:val="24"/>
              </w:rPr>
              <w:t>天奈科技</w:t>
            </w:r>
          </w:p>
        </w:tc>
        <w:tc>
          <w:tcPr>
            <w:tcW w:w="1276" w:type="dxa"/>
            <w:vAlign w:val="center"/>
          </w:tcPr>
          <w:p w:rsidR="00747D5F" w:rsidRDefault="00F8249D">
            <w:pPr>
              <w:jc w:val="right"/>
            </w:pPr>
            <w:r>
              <w:rPr>
                <w:rFonts w:eastAsiaTheme="minorEastAsia"/>
                <w:kern w:val="0"/>
                <w:sz w:val="24"/>
                <w:szCs w:val="24"/>
              </w:rPr>
              <w:t>115,192</w:t>
            </w:r>
          </w:p>
        </w:tc>
        <w:tc>
          <w:tcPr>
            <w:tcW w:w="1842" w:type="dxa"/>
            <w:vAlign w:val="center"/>
          </w:tcPr>
          <w:p w:rsidR="00747D5F" w:rsidRDefault="00F8249D">
            <w:pPr>
              <w:jc w:val="right"/>
            </w:pPr>
            <w:r>
              <w:rPr>
                <w:rFonts w:eastAsiaTheme="minorEastAsia"/>
                <w:kern w:val="0"/>
                <w:sz w:val="24"/>
                <w:szCs w:val="24"/>
              </w:rPr>
              <w:t>17,197,013.68</w:t>
            </w:r>
          </w:p>
        </w:tc>
        <w:tc>
          <w:tcPr>
            <w:tcW w:w="1616" w:type="dxa"/>
            <w:vAlign w:val="center"/>
          </w:tcPr>
          <w:p w:rsidR="00747D5F" w:rsidRDefault="00F8249D">
            <w:pPr>
              <w:jc w:val="right"/>
            </w:pPr>
            <w:r>
              <w:rPr>
                <w:rFonts w:eastAsiaTheme="minorEastAsia"/>
                <w:kern w:val="0"/>
                <w:sz w:val="24"/>
                <w:szCs w:val="24"/>
              </w:rPr>
              <w:t>2.66</w:t>
            </w:r>
          </w:p>
        </w:tc>
      </w:tr>
      <w:tr w:rsidR="00747D5F">
        <w:tc>
          <w:tcPr>
            <w:tcW w:w="817" w:type="dxa"/>
            <w:vAlign w:val="center"/>
          </w:tcPr>
          <w:p w:rsidR="00747D5F" w:rsidRDefault="00F8249D">
            <w:pPr>
              <w:jc w:val="center"/>
            </w:pPr>
            <w:r>
              <w:rPr>
                <w:rFonts w:eastAsiaTheme="minorEastAsia"/>
                <w:kern w:val="0"/>
                <w:sz w:val="24"/>
                <w:szCs w:val="24"/>
              </w:rPr>
              <w:t>8</w:t>
            </w:r>
          </w:p>
        </w:tc>
        <w:tc>
          <w:tcPr>
            <w:tcW w:w="1276" w:type="dxa"/>
            <w:vAlign w:val="center"/>
          </w:tcPr>
          <w:p w:rsidR="00747D5F" w:rsidRDefault="00F8249D">
            <w:pPr>
              <w:jc w:val="center"/>
            </w:pPr>
            <w:r>
              <w:rPr>
                <w:rFonts w:eastAsiaTheme="minorEastAsia"/>
                <w:kern w:val="0"/>
                <w:sz w:val="24"/>
                <w:szCs w:val="24"/>
              </w:rPr>
              <w:t>002821</w:t>
            </w:r>
          </w:p>
        </w:tc>
        <w:tc>
          <w:tcPr>
            <w:tcW w:w="1701" w:type="dxa"/>
            <w:vAlign w:val="center"/>
          </w:tcPr>
          <w:p w:rsidR="00747D5F" w:rsidRDefault="00F8249D">
            <w:pPr>
              <w:jc w:val="center"/>
            </w:pPr>
            <w:r>
              <w:rPr>
                <w:rFonts w:eastAsiaTheme="minorEastAsia"/>
                <w:kern w:val="0"/>
                <w:sz w:val="24"/>
                <w:szCs w:val="24"/>
              </w:rPr>
              <w:t>凯莱英</w:t>
            </w:r>
          </w:p>
        </w:tc>
        <w:tc>
          <w:tcPr>
            <w:tcW w:w="1276" w:type="dxa"/>
            <w:vAlign w:val="center"/>
          </w:tcPr>
          <w:p w:rsidR="00747D5F" w:rsidRDefault="00F8249D">
            <w:pPr>
              <w:jc w:val="right"/>
            </w:pPr>
            <w:r>
              <w:rPr>
                <w:rFonts w:eastAsiaTheme="minorEastAsia"/>
                <w:kern w:val="0"/>
                <w:sz w:val="24"/>
                <w:szCs w:val="24"/>
              </w:rPr>
              <w:t>36,000</w:t>
            </w:r>
          </w:p>
        </w:tc>
        <w:tc>
          <w:tcPr>
            <w:tcW w:w="1842" w:type="dxa"/>
            <w:vAlign w:val="center"/>
          </w:tcPr>
          <w:p w:rsidR="00747D5F" w:rsidRDefault="00F8249D">
            <w:pPr>
              <w:jc w:val="right"/>
            </w:pPr>
            <w:r>
              <w:rPr>
                <w:rFonts w:eastAsiaTheme="minorEastAsia"/>
                <w:kern w:val="0"/>
                <w:sz w:val="24"/>
                <w:szCs w:val="24"/>
              </w:rPr>
              <w:t>15,660,000.00</w:t>
            </w:r>
          </w:p>
        </w:tc>
        <w:tc>
          <w:tcPr>
            <w:tcW w:w="1616" w:type="dxa"/>
            <w:vAlign w:val="center"/>
          </w:tcPr>
          <w:p w:rsidR="00747D5F" w:rsidRDefault="00F8249D">
            <w:pPr>
              <w:jc w:val="right"/>
            </w:pPr>
            <w:r>
              <w:rPr>
                <w:rFonts w:eastAsiaTheme="minorEastAsia"/>
                <w:kern w:val="0"/>
                <w:sz w:val="24"/>
                <w:szCs w:val="24"/>
              </w:rPr>
              <w:t>2.42</w:t>
            </w:r>
          </w:p>
        </w:tc>
      </w:tr>
      <w:tr w:rsidR="00747D5F">
        <w:tc>
          <w:tcPr>
            <w:tcW w:w="817" w:type="dxa"/>
            <w:vAlign w:val="center"/>
          </w:tcPr>
          <w:p w:rsidR="00747D5F" w:rsidRDefault="00F8249D">
            <w:pPr>
              <w:jc w:val="center"/>
            </w:pPr>
            <w:r>
              <w:rPr>
                <w:rFonts w:eastAsiaTheme="minorEastAsia"/>
                <w:kern w:val="0"/>
                <w:sz w:val="24"/>
                <w:szCs w:val="24"/>
              </w:rPr>
              <w:t>9</w:t>
            </w:r>
          </w:p>
        </w:tc>
        <w:tc>
          <w:tcPr>
            <w:tcW w:w="1276" w:type="dxa"/>
            <w:vAlign w:val="center"/>
          </w:tcPr>
          <w:p w:rsidR="00747D5F" w:rsidRDefault="00F8249D">
            <w:pPr>
              <w:jc w:val="center"/>
            </w:pPr>
            <w:r>
              <w:rPr>
                <w:rFonts w:eastAsiaTheme="minorEastAsia"/>
                <w:kern w:val="0"/>
                <w:sz w:val="24"/>
                <w:szCs w:val="24"/>
              </w:rPr>
              <w:t>000858</w:t>
            </w:r>
          </w:p>
        </w:tc>
        <w:tc>
          <w:tcPr>
            <w:tcW w:w="1701" w:type="dxa"/>
            <w:vAlign w:val="center"/>
          </w:tcPr>
          <w:p w:rsidR="00747D5F" w:rsidRDefault="00F8249D">
            <w:pPr>
              <w:jc w:val="center"/>
            </w:pPr>
            <w:r>
              <w:rPr>
                <w:rFonts w:eastAsiaTheme="minorEastAsia"/>
                <w:kern w:val="0"/>
                <w:sz w:val="24"/>
                <w:szCs w:val="24"/>
              </w:rPr>
              <w:t>五</w:t>
            </w:r>
            <w:r>
              <w:rPr>
                <w:rFonts w:eastAsiaTheme="minorEastAsia"/>
                <w:kern w:val="0"/>
                <w:sz w:val="24"/>
                <w:szCs w:val="24"/>
              </w:rPr>
              <w:t xml:space="preserve"> </w:t>
            </w:r>
            <w:r>
              <w:rPr>
                <w:rFonts w:eastAsiaTheme="minorEastAsia"/>
                <w:kern w:val="0"/>
                <w:sz w:val="24"/>
                <w:szCs w:val="24"/>
              </w:rPr>
              <w:t>粮</w:t>
            </w:r>
            <w:r>
              <w:rPr>
                <w:rFonts w:eastAsiaTheme="minorEastAsia"/>
                <w:kern w:val="0"/>
                <w:sz w:val="24"/>
                <w:szCs w:val="24"/>
              </w:rPr>
              <w:t xml:space="preserve"> </w:t>
            </w:r>
            <w:r>
              <w:rPr>
                <w:rFonts w:eastAsiaTheme="minorEastAsia"/>
                <w:kern w:val="0"/>
                <w:sz w:val="24"/>
                <w:szCs w:val="24"/>
              </w:rPr>
              <w:t>液</w:t>
            </w:r>
          </w:p>
        </w:tc>
        <w:tc>
          <w:tcPr>
            <w:tcW w:w="1276" w:type="dxa"/>
            <w:vAlign w:val="center"/>
          </w:tcPr>
          <w:p w:rsidR="00747D5F" w:rsidRDefault="00F8249D">
            <w:pPr>
              <w:jc w:val="right"/>
            </w:pPr>
            <w:r>
              <w:rPr>
                <w:rFonts w:eastAsiaTheme="minorEastAsia"/>
                <w:kern w:val="0"/>
                <w:sz w:val="24"/>
                <w:szCs w:val="24"/>
              </w:rPr>
              <w:t>69,000</w:t>
            </w:r>
          </w:p>
        </w:tc>
        <w:tc>
          <w:tcPr>
            <w:tcW w:w="1842" w:type="dxa"/>
            <w:vAlign w:val="center"/>
          </w:tcPr>
          <w:p w:rsidR="00747D5F" w:rsidRDefault="00F8249D">
            <w:pPr>
              <w:jc w:val="right"/>
            </w:pPr>
            <w:r>
              <w:rPr>
                <w:rFonts w:eastAsiaTheme="minorEastAsia"/>
                <w:kern w:val="0"/>
                <w:sz w:val="24"/>
                <w:szCs w:val="24"/>
              </w:rPr>
              <w:t>15,363,540.00</w:t>
            </w:r>
          </w:p>
        </w:tc>
        <w:tc>
          <w:tcPr>
            <w:tcW w:w="1616" w:type="dxa"/>
            <w:vAlign w:val="center"/>
          </w:tcPr>
          <w:p w:rsidR="00747D5F" w:rsidRDefault="00F8249D">
            <w:pPr>
              <w:jc w:val="right"/>
            </w:pPr>
            <w:r>
              <w:rPr>
                <w:rFonts w:eastAsiaTheme="minorEastAsia"/>
                <w:kern w:val="0"/>
                <w:sz w:val="24"/>
                <w:szCs w:val="24"/>
              </w:rPr>
              <w:t>2.37</w:t>
            </w:r>
          </w:p>
        </w:tc>
      </w:tr>
      <w:tr w:rsidR="00747D5F">
        <w:tc>
          <w:tcPr>
            <w:tcW w:w="817" w:type="dxa"/>
            <w:vAlign w:val="center"/>
          </w:tcPr>
          <w:p w:rsidR="00747D5F" w:rsidRDefault="00F8249D">
            <w:pPr>
              <w:jc w:val="center"/>
            </w:pPr>
            <w:r>
              <w:rPr>
                <w:rFonts w:eastAsiaTheme="minorEastAsia"/>
                <w:kern w:val="0"/>
                <w:sz w:val="24"/>
                <w:szCs w:val="24"/>
              </w:rPr>
              <w:t>10</w:t>
            </w:r>
          </w:p>
        </w:tc>
        <w:tc>
          <w:tcPr>
            <w:tcW w:w="1276" w:type="dxa"/>
            <w:vAlign w:val="center"/>
          </w:tcPr>
          <w:p w:rsidR="00747D5F" w:rsidRDefault="00F8249D">
            <w:pPr>
              <w:jc w:val="center"/>
            </w:pPr>
            <w:r>
              <w:rPr>
                <w:rFonts w:eastAsiaTheme="minorEastAsia"/>
                <w:kern w:val="0"/>
                <w:sz w:val="24"/>
                <w:szCs w:val="24"/>
              </w:rPr>
              <w:t>300957</w:t>
            </w:r>
          </w:p>
        </w:tc>
        <w:tc>
          <w:tcPr>
            <w:tcW w:w="1701" w:type="dxa"/>
            <w:vAlign w:val="center"/>
          </w:tcPr>
          <w:p w:rsidR="00747D5F" w:rsidRDefault="00F8249D">
            <w:pPr>
              <w:jc w:val="center"/>
            </w:pPr>
            <w:r>
              <w:rPr>
                <w:rFonts w:eastAsiaTheme="minorEastAsia"/>
                <w:kern w:val="0"/>
                <w:sz w:val="24"/>
                <w:szCs w:val="24"/>
              </w:rPr>
              <w:t>贝泰妮</w:t>
            </w:r>
          </w:p>
        </w:tc>
        <w:tc>
          <w:tcPr>
            <w:tcW w:w="1276" w:type="dxa"/>
            <w:vAlign w:val="center"/>
          </w:tcPr>
          <w:p w:rsidR="00747D5F" w:rsidRDefault="00F8249D">
            <w:pPr>
              <w:jc w:val="right"/>
            </w:pPr>
            <w:r>
              <w:rPr>
                <w:rFonts w:eastAsiaTheme="minorEastAsia"/>
                <w:kern w:val="0"/>
                <w:sz w:val="24"/>
                <w:szCs w:val="24"/>
              </w:rPr>
              <w:t>77,799</w:t>
            </w:r>
          </w:p>
        </w:tc>
        <w:tc>
          <w:tcPr>
            <w:tcW w:w="1842" w:type="dxa"/>
            <w:vAlign w:val="center"/>
          </w:tcPr>
          <w:p w:rsidR="00747D5F" w:rsidRDefault="00F8249D">
            <w:pPr>
              <w:jc w:val="right"/>
            </w:pPr>
            <w:r>
              <w:rPr>
                <w:rFonts w:eastAsiaTheme="minorEastAsia"/>
                <w:kern w:val="0"/>
                <w:sz w:val="24"/>
                <w:szCs w:val="24"/>
              </w:rPr>
              <w:t>14,959,191.72</w:t>
            </w:r>
          </w:p>
        </w:tc>
        <w:tc>
          <w:tcPr>
            <w:tcW w:w="1616" w:type="dxa"/>
            <w:vAlign w:val="center"/>
          </w:tcPr>
          <w:p w:rsidR="00747D5F" w:rsidRDefault="00F8249D">
            <w:pPr>
              <w:jc w:val="right"/>
            </w:pPr>
            <w:r>
              <w:rPr>
                <w:rFonts w:eastAsiaTheme="minorEastAsia"/>
                <w:kern w:val="0"/>
                <w:sz w:val="24"/>
                <w:szCs w:val="24"/>
              </w:rPr>
              <w:t>2.31</w:t>
            </w:r>
          </w:p>
        </w:tc>
      </w:tr>
      <w:bookmarkEnd w:id="1"/>
    </w:tbl>
    <w:p w:rsidR="00D06738" w:rsidRPr="00FF6B9A" w:rsidRDefault="00D06738">
      <w:pPr>
        <w:autoSpaceDE w:val="0"/>
        <w:autoSpaceDN w:val="0"/>
        <w:adjustRightInd w:val="0"/>
        <w:spacing w:line="360" w:lineRule="auto"/>
        <w:jc w:val="left"/>
        <w:rPr>
          <w:rFonts w:eastAsiaTheme="minorEastAsia"/>
          <w:b/>
          <w:bCs/>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5.4 </w:t>
      </w:r>
      <w:r w:rsidRPr="00FF6B9A">
        <w:rPr>
          <w:rFonts w:eastAsiaTheme="minorEastAsia"/>
          <w:b/>
          <w:bCs/>
          <w:color w:val="000000" w:themeColor="text1"/>
          <w:kern w:val="0"/>
          <w:sz w:val="24"/>
          <w:szCs w:val="24"/>
        </w:rPr>
        <w:t>报告期末按债券品种分类的债券投资组合</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本基金本报告期末未持有债券。</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5.5 </w:t>
      </w:r>
      <w:r w:rsidRPr="00FF6B9A">
        <w:rPr>
          <w:rFonts w:eastAsiaTheme="minorEastAsia"/>
          <w:b/>
          <w:bCs/>
          <w:color w:val="000000" w:themeColor="text1"/>
          <w:kern w:val="0"/>
          <w:sz w:val="24"/>
          <w:szCs w:val="24"/>
        </w:rPr>
        <w:t>报告期末按公允价值占基金资产净值比例大小排序的前五名债券投资明细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本基金本报告期末未持有债券。</w:t>
      </w:r>
    </w:p>
    <w:p w:rsidR="00D06738" w:rsidRPr="00FF6B9A" w:rsidRDefault="00D06738">
      <w:pPr>
        <w:autoSpaceDE w:val="0"/>
        <w:autoSpaceDN w:val="0"/>
        <w:adjustRightInd w:val="0"/>
        <w:spacing w:line="360" w:lineRule="auto"/>
        <w:jc w:val="left"/>
        <w:rPr>
          <w:rFonts w:eastAsiaTheme="minorEastAsia"/>
          <w:b/>
          <w:bCs/>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5.6 </w:t>
      </w:r>
      <w:r w:rsidRPr="00FF6B9A">
        <w:rPr>
          <w:rFonts w:eastAsiaTheme="minorEastAsia"/>
          <w:b/>
          <w:bCs/>
          <w:color w:val="000000" w:themeColor="text1"/>
          <w:kern w:val="0"/>
          <w:sz w:val="24"/>
          <w:szCs w:val="24"/>
        </w:rPr>
        <w:t>报告期末按公允价值占基金资产净值比例大小排序的前十名资产支持证券投资明细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本基金本报告期末未持有资产支持证券。</w:t>
      </w:r>
    </w:p>
    <w:p w:rsidR="00D06738" w:rsidRPr="00FF6B9A" w:rsidRDefault="00D06738">
      <w:pPr>
        <w:autoSpaceDE w:val="0"/>
        <w:autoSpaceDN w:val="0"/>
        <w:adjustRightInd w:val="0"/>
        <w:spacing w:line="360" w:lineRule="auto"/>
        <w:jc w:val="lef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5.7 </w:t>
      </w:r>
      <w:r w:rsidRPr="00FF6B9A">
        <w:rPr>
          <w:rFonts w:eastAsiaTheme="minorEastAsia"/>
          <w:b/>
          <w:bCs/>
          <w:color w:val="000000" w:themeColor="text1"/>
          <w:kern w:val="0"/>
          <w:sz w:val="24"/>
          <w:szCs w:val="24"/>
        </w:rPr>
        <w:t>报告期末按公允价值占基金资产净值比例大小排序的前五名贵金属投资明细</w:t>
      </w:r>
    </w:p>
    <w:p w:rsidR="00D06738" w:rsidRPr="00FF6B9A" w:rsidRDefault="00454D20">
      <w:pPr>
        <w:widowControl/>
        <w:spacing w:line="360" w:lineRule="auto"/>
        <w:jc w:val="left"/>
        <w:rPr>
          <w:color w:val="000000" w:themeColor="text1"/>
        </w:rPr>
      </w:pPr>
      <w:r w:rsidRPr="00FF6B9A">
        <w:rPr>
          <w:color w:val="000000" w:themeColor="text1"/>
        </w:rPr>
        <w:t>本基金本报告期末未持有贵金属。</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5.8 </w:t>
      </w:r>
      <w:r w:rsidRPr="00FF6B9A">
        <w:rPr>
          <w:rFonts w:eastAsiaTheme="minorEastAsia"/>
          <w:b/>
          <w:bCs/>
          <w:color w:val="000000" w:themeColor="text1"/>
          <w:kern w:val="0"/>
          <w:sz w:val="24"/>
          <w:szCs w:val="24"/>
        </w:rPr>
        <w:t>报告期末按公允价值占基金资产净值比例大小排序的前五名权证投资明细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本基金本报告期末未持有权证。</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5.9 </w:t>
      </w:r>
      <w:r w:rsidRPr="00FF6B9A">
        <w:rPr>
          <w:rFonts w:eastAsiaTheme="minorEastAsia"/>
          <w:b/>
          <w:bCs/>
          <w:color w:val="000000" w:themeColor="text1"/>
          <w:kern w:val="0"/>
          <w:sz w:val="24"/>
          <w:szCs w:val="24"/>
        </w:rPr>
        <w:t>报告期末本基金投资的股指期货交易情况说明</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本基金本报告期末未持有股指期货。</w:t>
      </w:r>
    </w:p>
    <w:p w:rsidR="00D06738" w:rsidRPr="00FF6B9A" w:rsidRDefault="00D06738">
      <w:pPr>
        <w:adjustRightInd w:val="0"/>
        <w:snapToGrid w:val="0"/>
        <w:spacing w:line="360" w:lineRule="exac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5.10</w:t>
      </w:r>
      <w:r w:rsidRPr="00FF6B9A">
        <w:rPr>
          <w:rFonts w:eastAsiaTheme="minorEastAsia"/>
          <w:b/>
          <w:bCs/>
          <w:color w:val="000000" w:themeColor="text1"/>
          <w:kern w:val="0"/>
          <w:sz w:val="24"/>
          <w:szCs w:val="24"/>
        </w:rPr>
        <w:t>报告期末本基金投资的国债期货交易情况说明</w:t>
      </w:r>
    </w:p>
    <w:p w:rsidR="00D06738" w:rsidRPr="00FF6B9A" w:rsidRDefault="00454D20">
      <w:pPr>
        <w:autoSpaceDE w:val="0"/>
        <w:autoSpaceDN w:val="0"/>
        <w:adjustRightInd w:val="0"/>
        <w:spacing w:line="360" w:lineRule="auto"/>
        <w:jc w:val="left"/>
        <w:rPr>
          <w:rFonts w:eastAsiaTheme="minorEastAsia"/>
          <w:color w:val="000000" w:themeColor="text1"/>
          <w:sz w:val="24"/>
          <w:szCs w:val="24"/>
        </w:rPr>
      </w:pPr>
      <w:r w:rsidRPr="00FF6B9A">
        <w:rPr>
          <w:rFonts w:eastAsiaTheme="minorEastAsia"/>
          <w:color w:val="000000" w:themeColor="text1"/>
          <w:sz w:val="24"/>
          <w:szCs w:val="24"/>
        </w:rPr>
        <w:t>本基金本报告期末未持有国债期货。</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lastRenderedPageBreak/>
        <w:t xml:space="preserve">5.11 </w:t>
      </w:r>
      <w:r w:rsidRPr="00FF6B9A">
        <w:rPr>
          <w:rFonts w:eastAsiaTheme="minorEastAsia"/>
          <w:b/>
          <w:bCs/>
          <w:color w:val="000000" w:themeColor="text1"/>
          <w:kern w:val="0"/>
          <w:sz w:val="24"/>
          <w:szCs w:val="24"/>
        </w:rPr>
        <w:t>投资组合报告附注</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5.11.1</w:t>
      </w:r>
      <w:r w:rsidRPr="00FF6B9A">
        <w:rPr>
          <w:rFonts w:eastAsiaTheme="minorEastAsia"/>
          <w:color w:val="000000" w:themeColor="text1"/>
          <w:sz w:val="24"/>
          <w:szCs w:val="24"/>
        </w:rPr>
        <w:t>报告期内本基金投资的前十名证券的发行主体本期没有出现被监管部门立案调查，或在报告编制日前一年内受到公开谴责、处罚的情形。</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5.11.2</w:t>
      </w:r>
      <w:r w:rsidRPr="00FF6B9A">
        <w:rPr>
          <w:rFonts w:eastAsiaTheme="minorEastAsia"/>
          <w:color w:val="000000" w:themeColor="text1"/>
          <w:sz w:val="24"/>
          <w:szCs w:val="24"/>
        </w:rPr>
        <w:t>报告期内本基金投资的前十名股票中没有在基金合同规定备选股票库之外的股票。</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5.11.3 </w:t>
      </w:r>
      <w:r w:rsidRPr="00FF6B9A">
        <w:rPr>
          <w:rFonts w:eastAsiaTheme="minorEastAsia"/>
          <w:b/>
          <w:bCs/>
          <w:color w:val="000000" w:themeColor="text1"/>
          <w:kern w:val="0"/>
          <w:sz w:val="24"/>
          <w:szCs w:val="24"/>
        </w:rPr>
        <w:t>其他资产构成</w:t>
      </w:r>
    </w:p>
    <w:tbl>
      <w:tblPr>
        <w:tblStyle w:val="aff4"/>
        <w:tblW w:w="8513" w:type="dxa"/>
        <w:tblInd w:w="15" w:type="dxa"/>
        <w:tblLayout w:type="fixed"/>
        <w:tblLook w:val="04A0" w:firstRow="1" w:lastRow="0" w:firstColumn="1" w:lastColumn="0" w:noHBand="0" w:noVBand="1"/>
      </w:tblPr>
      <w:tblGrid>
        <w:gridCol w:w="1235"/>
        <w:gridCol w:w="2470"/>
        <w:gridCol w:w="4808"/>
      </w:tblGrid>
      <w:tr w:rsidR="00D06738" w:rsidRPr="00FF6B9A">
        <w:tc>
          <w:tcPr>
            <w:tcW w:w="1235"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2470"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名称</w:t>
            </w:r>
          </w:p>
        </w:tc>
        <w:tc>
          <w:tcPr>
            <w:tcW w:w="4808"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金额</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1</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存出保证金</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244,327.94</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2</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应收证券清算款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3</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应收股利</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4</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应收利息</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16,043.92</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5</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应收申购款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135,350.67</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6</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其他应收款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7</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待摊费用</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8</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其他</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9</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合计</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395,722.53</w:t>
            </w:r>
          </w:p>
        </w:tc>
      </w:tr>
    </w:tbl>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5.11.4</w:t>
      </w:r>
      <w:r w:rsidRPr="00FF6B9A">
        <w:rPr>
          <w:rFonts w:eastAsiaTheme="minorEastAsia"/>
          <w:b/>
          <w:bCs/>
          <w:color w:val="000000" w:themeColor="text1"/>
          <w:kern w:val="0"/>
          <w:sz w:val="24"/>
          <w:szCs w:val="24"/>
        </w:rPr>
        <w:t>报告期末持有的处于转股期的可转换债券明细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本基金本报告期末未持有处于转股期的可转换债券。</w:t>
      </w:r>
    </w:p>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5.11.5</w:t>
      </w:r>
      <w:r w:rsidRPr="00FF6B9A">
        <w:rPr>
          <w:rFonts w:eastAsiaTheme="minorEastAsia"/>
          <w:b/>
          <w:bCs/>
          <w:color w:val="000000" w:themeColor="text1"/>
          <w:kern w:val="0"/>
          <w:sz w:val="24"/>
          <w:szCs w:val="24"/>
        </w:rPr>
        <w:t>报告期末前十名股票中存在流通受限情况的说明</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本基金本报告期末前十名股票中不存在流通受限情况。</w:t>
      </w:r>
    </w:p>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5.11.6</w:t>
      </w:r>
      <w:r w:rsidRPr="00FF6B9A">
        <w:rPr>
          <w:rFonts w:eastAsiaTheme="minorEastAsia"/>
          <w:b/>
          <w:bCs/>
          <w:color w:val="000000" w:themeColor="text1"/>
          <w:kern w:val="0"/>
          <w:sz w:val="24"/>
          <w:szCs w:val="24"/>
        </w:rPr>
        <w:t>投资组合报告附注的其他文字描述部分</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因四舍五入原因</w:t>
      </w:r>
      <w:r w:rsidRPr="00FF6B9A">
        <w:rPr>
          <w:rFonts w:eastAsiaTheme="minorEastAsia"/>
          <w:color w:val="000000" w:themeColor="text1"/>
        </w:rPr>
        <w:t>,</w:t>
      </w:r>
      <w:r w:rsidRPr="00FF6B9A">
        <w:rPr>
          <w:rFonts w:eastAsiaTheme="minorEastAsia"/>
          <w:color w:val="000000" w:themeColor="text1"/>
        </w:rPr>
        <w:t>投资组合报告中分项之和与合计可能存在尾差。</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§6  </w:t>
      </w:r>
      <w:r w:rsidRPr="00FF6B9A">
        <w:rPr>
          <w:rFonts w:eastAsiaTheme="minorEastAsia"/>
          <w:color w:val="000000" w:themeColor="text1"/>
          <w:kern w:val="0"/>
          <w:sz w:val="24"/>
          <w:szCs w:val="24"/>
        </w:rPr>
        <w:t>开放式基金份额变动</w:t>
      </w:r>
    </w:p>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sz w:val="24"/>
          <w:szCs w:val="24"/>
        </w:rPr>
      </w:pPr>
      <w:r w:rsidRPr="00FF6B9A">
        <w:rPr>
          <w:rFonts w:eastAsiaTheme="minorEastAsia"/>
          <w:color w:val="000000" w:themeColor="text1"/>
          <w:kern w:val="0"/>
          <w:sz w:val="24"/>
          <w:szCs w:val="24"/>
        </w:rPr>
        <w:t>单位：份</w:t>
      </w:r>
    </w:p>
    <w:tbl>
      <w:tblPr>
        <w:tblW w:w="8634" w:type="dxa"/>
        <w:tblInd w:w="-106" w:type="dxa"/>
        <w:tblLayout w:type="fixed"/>
        <w:tblLook w:val="04A0" w:firstRow="1" w:lastRow="0" w:firstColumn="1" w:lastColumn="0" w:noHBand="0" w:noVBand="1"/>
      </w:tblPr>
      <w:tblGrid>
        <w:gridCol w:w="4609"/>
        <w:gridCol w:w="4025"/>
      </w:tblGrid>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lastRenderedPageBreak/>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347,405,429.49</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报告期期间基金总申购份额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19,346,966.69</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减：报告期期间基金总赎回份额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37,120,642.31</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报告期期间基金拆分变动份额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329,631,753.87</w:t>
            </w:r>
          </w:p>
        </w:tc>
      </w:tr>
    </w:tbl>
    <w:p w:rsidR="00D06738" w:rsidRPr="00FF6B9A" w:rsidRDefault="00454D20">
      <w:pPr>
        <w:pStyle w:val="1"/>
        <w:tabs>
          <w:tab w:val="center" w:pos="4156"/>
          <w:tab w:val="right" w:pos="8312"/>
        </w:tabs>
        <w:spacing w:beforeLines="100" w:before="312" w:afterLines="100" w:after="312" w:line="360" w:lineRule="auto"/>
        <w:jc w:val="center"/>
        <w:rPr>
          <w:color w:val="000000" w:themeColor="text1"/>
          <w:sz w:val="24"/>
          <w:szCs w:val="24"/>
        </w:rPr>
      </w:pPr>
      <w:r w:rsidRPr="00FF6B9A">
        <w:rPr>
          <w:rFonts w:eastAsiaTheme="minorEastAsia"/>
          <w:color w:val="000000" w:themeColor="text1"/>
          <w:kern w:val="0"/>
          <w:sz w:val="24"/>
          <w:szCs w:val="24"/>
        </w:rPr>
        <w:t xml:space="preserve">§7  </w:t>
      </w:r>
      <w:r w:rsidRPr="00FF6B9A">
        <w:rPr>
          <w:color w:val="000000" w:themeColor="text1"/>
          <w:sz w:val="24"/>
          <w:szCs w:val="24"/>
        </w:rPr>
        <w:t>基金管理人运用固有资金投资本基金情况</w:t>
      </w:r>
    </w:p>
    <w:p w:rsidR="00D06738" w:rsidRPr="00FF6B9A" w:rsidRDefault="00454D20">
      <w:pPr>
        <w:spacing w:line="360" w:lineRule="auto"/>
        <w:jc w:val="left"/>
        <w:rPr>
          <w:color w:val="000000" w:themeColor="text1"/>
          <w:sz w:val="24"/>
          <w:szCs w:val="24"/>
        </w:rPr>
      </w:pPr>
      <w:r w:rsidRPr="00FF6B9A">
        <w:rPr>
          <w:b/>
          <w:color w:val="000000" w:themeColor="text1"/>
          <w:sz w:val="24"/>
        </w:rPr>
        <w:t xml:space="preserve">7.1 </w:t>
      </w:r>
      <w:r w:rsidRPr="00FF6B9A">
        <w:rPr>
          <w:b/>
          <w:color w:val="000000" w:themeColor="text1"/>
          <w:sz w:val="24"/>
        </w:rPr>
        <w:t>基金管理人持有本基金份额变动情况</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kern w:val="0"/>
        </w:rPr>
        <w:t>无。</w:t>
      </w:r>
    </w:p>
    <w:p w:rsidR="00D06738" w:rsidRPr="00FF6B9A" w:rsidRDefault="00D06738">
      <w:pPr>
        <w:autoSpaceDE w:val="0"/>
        <w:autoSpaceDN w:val="0"/>
        <w:adjustRightInd w:val="0"/>
        <w:spacing w:line="360" w:lineRule="auto"/>
        <w:jc w:val="left"/>
        <w:rPr>
          <w:rFonts w:eastAsiaTheme="minorEastAsia"/>
          <w:color w:val="000000" w:themeColor="text1"/>
          <w:kern w:val="0"/>
          <w:sz w:val="24"/>
        </w:rPr>
      </w:pP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§8  </w:t>
      </w:r>
      <w:r w:rsidRPr="00FF6B9A">
        <w:rPr>
          <w:rFonts w:eastAsiaTheme="minorEastAsia"/>
          <w:color w:val="000000" w:themeColor="text1"/>
          <w:kern w:val="0"/>
          <w:sz w:val="24"/>
          <w:szCs w:val="24"/>
        </w:rPr>
        <w:t>备查文件目录</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8.1 </w:t>
      </w:r>
      <w:r w:rsidRPr="00FF6B9A">
        <w:rPr>
          <w:rFonts w:eastAsiaTheme="minorEastAsia"/>
          <w:b/>
          <w:bCs/>
          <w:color w:val="000000" w:themeColor="text1"/>
          <w:kern w:val="0"/>
          <w:sz w:val="24"/>
          <w:szCs w:val="24"/>
        </w:rPr>
        <w:t>备查文件目录</w:t>
      </w:r>
    </w:p>
    <w:p w:rsidR="00747D5F" w:rsidRDefault="00F8249D">
      <w:pPr>
        <w:spacing w:line="360" w:lineRule="auto"/>
        <w:ind w:firstLineChars="200" w:firstLine="420"/>
        <w:rPr>
          <w:rFonts w:eastAsiaTheme="minorEastAsia"/>
          <w:color w:val="000000" w:themeColor="text1"/>
        </w:rPr>
      </w:pPr>
      <w:r>
        <w:rPr>
          <w:rFonts w:eastAsiaTheme="minorEastAsia"/>
          <w:color w:val="000000" w:themeColor="text1"/>
        </w:rPr>
        <w:t xml:space="preserve">1. </w:t>
      </w:r>
      <w:r>
        <w:rPr>
          <w:rFonts w:eastAsiaTheme="minorEastAsia"/>
          <w:color w:val="000000" w:themeColor="text1"/>
        </w:rPr>
        <w:t>中国证监会准予上投摩根安全战略股票型证券投资基金募集注册的文件；</w:t>
      </w:r>
      <w:r>
        <w:rPr>
          <w:rFonts w:eastAsiaTheme="minorEastAsia"/>
          <w:color w:val="000000" w:themeColor="text1"/>
        </w:rPr>
        <w:t xml:space="preserve"> </w:t>
      </w:r>
    </w:p>
    <w:p w:rsidR="00747D5F" w:rsidRDefault="00F8249D">
      <w:pPr>
        <w:spacing w:line="360" w:lineRule="auto"/>
        <w:ind w:firstLineChars="200" w:firstLine="420"/>
        <w:rPr>
          <w:rFonts w:eastAsiaTheme="minorEastAsia"/>
          <w:color w:val="000000" w:themeColor="text1"/>
        </w:rPr>
      </w:pPr>
      <w:r>
        <w:rPr>
          <w:rFonts w:eastAsiaTheme="minorEastAsia"/>
          <w:color w:val="000000" w:themeColor="text1"/>
        </w:rPr>
        <w:t xml:space="preserve">2. </w:t>
      </w:r>
      <w:r>
        <w:rPr>
          <w:rFonts w:eastAsiaTheme="minorEastAsia"/>
          <w:color w:val="000000" w:themeColor="text1"/>
        </w:rPr>
        <w:t>《上投摩根安全战略股票型证券投资基金基金合同》；</w:t>
      </w:r>
      <w:r>
        <w:rPr>
          <w:rFonts w:eastAsiaTheme="minorEastAsia"/>
          <w:color w:val="000000" w:themeColor="text1"/>
        </w:rPr>
        <w:t xml:space="preserve"> </w:t>
      </w:r>
    </w:p>
    <w:p w:rsidR="00747D5F" w:rsidRDefault="00F8249D">
      <w:pPr>
        <w:spacing w:line="360" w:lineRule="auto"/>
        <w:ind w:firstLineChars="200" w:firstLine="420"/>
        <w:rPr>
          <w:rFonts w:eastAsiaTheme="minorEastAsia"/>
          <w:color w:val="000000" w:themeColor="text1"/>
        </w:rPr>
      </w:pPr>
      <w:r>
        <w:rPr>
          <w:rFonts w:eastAsiaTheme="minorEastAsia"/>
          <w:color w:val="000000" w:themeColor="text1"/>
        </w:rPr>
        <w:t xml:space="preserve">3. </w:t>
      </w:r>
      <w:r>
        <w:rPr>
          <w:rFonts w:eastAsiaTheme="minorEastAsia"/>
          <w:color w:val="000000" w:themeColor="text1"/>
        </w:rPr>
        <w:t>《上投摩根安全战略股票型证券投资基金托管协议》；</w:t>
      </w:r>
    </w:p>
    <w:p w:rsidR="00747D5F" w:rsidRDefault="00F8249D">
      <w:pPr>
        <w:spacing w:line="360" w:lineRule="auto"/>
        <w:ind w:firstLineChars="200" w:firstLine="420"/>
        <w:rPr>
          <w:rFonts w:eastAsiaTheme="minorEastAsia"/>
          <w:color w:val="000000" w:themeColor="text1"/>
        </w:rPr>
      </w:pPr>
      <w:r>
        <w:rPr>
          <w:rFonts w:eastAsiaTheme="minorEastAsia"/>
          <w:color w:val="000000" w:themeColor="text1"/>
        </w:rPr>
        <w:t xml:space="preserve">4. </w:t>
      </w:r>
      <w:r>
        <w:rPr>
          <w:rFonts w:eastAsiaTheme="minorEastAsia"/>
          <w:color w:val="000000" w:themeColor="text1"/>
        </w:rPr>
        <w:t>《上投摩根开放式基金业务规则》；</w:t>
      </w:r>
      <w:r>
        <w:rPr>
          <w:rFonts w:eastAsiaTheme="minorEastAsia"/>
          <w:color w:val="000000" w:themeColor="text1"/>
        </w:rPr>
        <w:t xml:space="preserve"> </w:t>
      </w:r>
    </w:p>
    <w:p w:rsidR="00747D5F" w:rsidRDefault="00F8249D">
      <w:pPr>
        <w:spacing w:line="360" w:lineRule="auto"/>
        <w:ind w:firstLineChars="200" w:firstLine="420"/>
        <w:rPr>
          <w:rFonts w:eastAsiaTheme="minorEastAsia"/>
          <w:color w:val="000000" w:themeColor="text1"/>
        </w:rPr>
      </w:pPr>
      <w:r>
        <w:rPr>
          <w:rFonts w:eastAsiaTheme="minorEastAsia"/>
          <w:color w:val="000000" w:themeColor="text1"/>
        </w:rPr>
        <w:t xml:space="preserve">5. </w:t>
      </w:r>
      <w:r>
        <w:rPr>
          <w:rFonts w:eastAsiaTheme="minorEastAsia"/>
          <w:color w:val="000000" w:themeColor="text1"/>
        </w:rPr>
        <w:t>基金管理人业务资格批件、营业执照；</w:t>
      </w:r>
      <w:r>
        <w:rPr>
          <w:rFonts w:eastAsiaTheme="minorEastAsia"/>
          <w:color w:val="000000" w:themeColor="text1"/>
        </w:rPr>
        <w:t xml:space="preserve"> </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 xml:space="preserve">6. </w:t>
      </w:r>
      <w:r w:rsidRPr="00FF6B9A">
        <w:rPr>
          <w:rFonts w:eastAsiaTheme="minorEastAsia"/>
          <w:color w:val="000000" w:themeColor="text1"/>
        </w:rPr>
        <w:t>基金托管人业务资格批件和营业执照。</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8.2 </w:t>
      </w:r>
      <w:r w:rsidRPr="00FF6B9A">
        <w:rPr>
          <w:rFonts w:eastAsiaTheme="minorEastAsia"/>
          <w:b/>
          <w:bCs/>
          <w:color w:val="000000" w:themeColor="text1"/>
          <w:kern w:val="0"/>
          <w:sz w:val="24"/>
          <w:szCs w:val="24"/>
        </w:rPr>
        <w:t>存放地点</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基金管理人或基金托管人住所。</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8.3 </w:t>
      </w:r>
      <w:r w:rsidRPr="00FF6B9A">
        <w:rPr>
          <w:rFonts w:eastAsiaTheme="minorEastAsia"/>
          <w:b/>
          <w:bCs/>
          <w:color w:val="000000" w:themeColor="text1"/>
          <w:kern w:val="0"/>
          <w:sz w:val="24"/>
          <w:szCs w:val="24"/>
        </w:rPr>
        <w:t>查阅方式</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投资者可在营业时间免费查阅，也可按工本费购买复印件。</w:t>
      </w: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454D20">
      <w:pPr>
        <w:spacing w:line="360" w:lineRule="auto"/>
        <w:jc w:val="right"/>
        <w:rPr>
          <w:rFonts w:eastAsiaTheme="minorEastAsia"/>
          <w:b/>
          <w:bCs/>
          <w:color w:val="000000" w:themeColor="text1"/>
          <w:sz w:val="24"/>
          <w:szCs w:val="24"/>
        </w:rPr>
      </w:pPr>
      <w:r w:rsidRPr="00FF6B9A">
        <w:rPr>
          <w:rFonts w:eastAsiaTheme="minorEastAsia"/>
          <w:b/>
          <w:bCs/>
          <w:color w:val="000000" w:themeColor="text1"/>
          <w:sz w:val="24"/>
          <w:szCs w:val="24"/>
        </w:rPr>
        <w:t>上投摩根基金管理有限公司</w:t>
      </w:r>
    </w:p>
    <w:p w:rsidR="00D06738" w:rsidRPr="00FF6B9A" w:rsidRDefault="00454D20">
      <w:pPr>
        <w:spacing w:line="360" w:lineRule="auto"/>
        <w:jc w:val="right"/>
        <w:rPr>
          <w:rFonts w:eastAsiaTheme="minorEastAsia"/>
          <w:b/>
          <w:bCs/>
          <w:color w:val="000000" w:themeColor="text1"/>
          <w:sz w:val="24"/>
          <w:szCs w:val="24"/>
        </w:rPr>
      </w:pPr>
      <w:r w:rsidRPr="00FF6B9A">
        <w:rPr>
          <w:rFonts w:eastAsiaTheme="minorEastAsia"/>
          <w:b/>
          <w:bCs/>
          <w:color w:val="000000" w:themeColor="text1"/>
          <w:sz w:val="24"/>
          <w:szCs w:val="24"/>
        </w:rPr>
        <w:t>二〇二二年一月二十四日</w:t>
      </w:r>
    </w:p>
    <w:p w:rsidR="00D06738" w:rsidRPr="00FF6B9A" w:rsidRDefault="00D06738">
      <w:pPr>
        <w:spacing w:line="360" w:lineRule="auto"/>
        <w:ind w:left="840"/>
        <w:jc w:val="right"/>
        <w:rPr>
          <w:rFonts w:eastAsiaTheme="minorEastAsia"/>
          <w:b/>
          <w:bCs/>
          <w:color w:val="000000" w:themeColor="text1"/>
          <w:sz w:val="24"/>
          <w:szCs w:val="24"/>
        </w:rPr>
      </w:pPr>
    </w:p>
    <w:p w:rsidR="00D06738" w:rsidRPr="00FF6B9A" w:rsidRDefault="00D06738">
      <w:pPr>
        <w:rPr>
          <w:rFonts w:eastAsiaTheme="minorEastAsia"/>
          <w:color w:val="000000" w:themeColor="text1"/>
          <w:sz w:val="24"/>
          <w:szCs w:val="24"/>
        </w:rPr>
      </w:pPr>
    </w:p>
    <w:sectPr w:rsidR="00D06738" w:rsidRPr="00FF6B9A">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3EA" w:rsidRDefault="007573EA">
      <w:r>
        <w:separator/>
      </w:r>
    </w:p>
  </w:endnote>
  <w:endnote w:type="continuationSeparator" w:id="0">
    <w:p w:rsidR="007573EA" w:rsidRDefault="0075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tabs>
        <w:tab w:val="left" w:pos="4215"/>
        <w:tab w:val="center" w:pos="4545"/>
      </w:tabs>
    </w:pPr>
    <w:r>
      <w:ptab w:relativeTo="margin" w:alignment="center" w:leader="none"/>
    </w:r>
    <w:r>
      <w:ptab w:relativeTo="margin" w:alignment="center" w:leader="none"/>
    </w:r>
    <w:r>
      <w:fldChar w:fldCharType="begin"/>
    </w:r>
    <w:r>
      <w:instrText xml:space="preserve"> PAGE   \* MERGEFORMAT </w:instrText>
    </w:r>
    <w:r>
      <w:fldChar w:fldCharType="separate"/>
    </w:r>
    <w:r w:rsidR="00F8249D" w:rsidRPr="00F8249D">
      <w:rPr>
        <w:noProof/>
        <w:lang w:val="zh-CN"/>
      </w:rPr>
      <w:t>1</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sidR="00F8249D">
      <w:rPr>
        <w:rStyle w:val="aff"/>
        <w:noProof/>
      </w:rPr>
      <w:t>2</w:t>
    </w:r>
    <w:r>
      <w:rPr>
        <w:rStyle w:val="aff"/>
      </w:rPr>
      <w:fldChar w:fldCharType="end"/>
    </w:r>
  </w:p>
  <w:p w:rsidR="00454D20" w:rsidRDefault="00454D2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3EA" w:rsidRDefault="007573EA">
      <w:r>
        <w:separator/>
      </w:r>
    </w:p>
  </w:footnote>
  <w:footnote w:type="continuationSeparator" w:id="0">
    <w:p w:rsidR="007573EA" w:rsidRDefault="00757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6"/>
      <w:pBdr>
        <w:bottom w:val="single" w:sz="6" w:space="0" w:color="auto"/>
      </w:pBdr>
      <w:jc w:val="right"/>
    </w:pPr>
    <w:r>
      <w:rPr>
        <w:rFonts w:hint="eastAsia"/>
      </w:rPr>
      <w:t>上投摩根安全战略股票型证券投资基金</w:t>
    </w:r>
    <w:r>
      <w:rPr>
        <w:rFonts w:hint="eastAsia"/>
      </w:rPr>
      <w:t>2021</w:t>
    </w:r>
    <w:r>
      <w:rPr>
        <w:rFonts w:hint="eastAsia"/>
      </w:rPr>
      <w:t>年第</w:t>
    </w:r>
    <w:r>
      <w:rPr>
        <w:rFonts w:hint="eastAsia"/>
      </w:rPr>
      <w:t>4</w:t>
    </w:r>
    <w:r>
      <w:rPr>
        <w:rFonts w:hint="eastAsia"/>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A7FDA"/>
    <w:rsid w:val="003B6FBC"/>
    <w:rsid w:val="003C2B36"/>
    <w:rsid w:val="003C2DCA"/>
    <w:rsid w:val="003E2240"/>
    <w:rsid w:val="003E62FB"/>
    <w:rsid w:val="003F39DF"/>
    <w:rsid w:val="003F63BE"/>
    <w:rsid w:val="004061AC"/>
    <w:rsid w:val="00406C52"/>
    <w:rsid w:val="004149AC"/>
    <w:rsid w:val="0042009D"/>
    <w:rsid w:val="00427F58"/>
    <w:rsid w:val="00433805"/>
    <w:rsid w:val="00454D20"/>
    <w:rsid w:val="00465285"/>
    <w:rsid w:val="00471408"/>
    <w:rsid w:val="004858E0"/>
    <w:rsid w:val="004934E9"/>
    <w:rsid w:val="004943C2"/>
    <w:rsid w:val="004A11A7"/>
    <w:rsid w:val="004C702F"/>
    <w:rsid w:val="004D495A"/>
    <w:rsid w:val="004E5975"/>
    <w:rsid w:val="004E790A"/>
    <w:rsid w:val="004F50FD"/>
    <w:rsid w:val="00500A03"/>
    <w:rsid w:val="005120E2"/>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47D5F"/>
    <w:rsid w:val="00750CDF"/>
    <w:rsid w:val="00752BA5"/>
    <w:rsid w:val="00753A7D"/>
    <w:rsid w:val="00755D86"/>
    <w:rsid w:val="007573EA"/>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06738"/>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249D"/>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B9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A499DB7-D129-4F63-8CE1-F403A57D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uiPriority="22" w:qFormat="1"/>
    <w:lsdException w:name="Emphasis" w:uiPriority="20"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0"/>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a6"/>
    <w:uiPriority w:val="99"/>
    <w:semiHidden/>
    <w:qFormat/>
    <w:rPr>
      <w:b/>
      <w:bCs/>
    </w:rPr>
  </w:style>
  <w:style w:type="paragraph" w:styleId="a5">
    <w:name w:val="annotation text"/>
    <w:basedOn w:val="a"/>
    <w:link w:val="a7"/>
    <w:uiPriority w:val="99"/>
    <w:semiHidden/>
    <w:qFormat/>
    <w:pPr>
      <w:jc w:val="left"/>
    </w:pPr>
  </w:style>
  <w:style w:type="paragraph" w:styleId="a8">
    <w:name w:val="Document Map"/>
    <w:basedOn w:val="a"/>
    <w:link w:val="a9"/>
    <w:uiPriority w:val="99"/>
    <w:semiHidden/>
    <w:pPr>
      <w:shd w:val="clear" w:color="auto" w:fill="000080"/>
    </w:pPr>
  </w:style>
  <w:style w:type="paragraph" w:styleId="aa">
    <w:name w:val="Body Text"/>
    <w:basedOn w:val="a"/>
    <w:link w:val="ab"/>
    <w:uiPriority w:val="99"/>
    <w:qFormat/>
    <w:pPr>
      <w:spacing w:after="120"/>
    </w:pPr>
  </w:style>
  <w:style w:type="paragraph" w:styleId="ac">
    <w:name w:val="Body Text Indent"/>
    <w:basedOn w:val="a"/>
    <w:link w:val="ad"/>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e">
    <w:name w:val="Plain Text"/>
    <w:basedOn w:val="a"/>
    <w:link w:val="af"/>
    <w:uiPriority w:val="99"/>
    <w:rPr>
      <w:rFonts w:ascii="宋体" w:hAnsi="Courier New" w:cs="宋体"/>
    </w:rPr>
  </w:style>
  <w:style w:type="paragraph" w:styleId="af0">
    <w:name w:val="Date"/>
    <w:basedOn w:val="a"/>
    <w:next w:val="a"/>
    <w:link w:val="af1"/>
    <w:qFormat/>
    <w:rPr>
      <w:sz w:val="24"/>
      <w:szCs w:val="24"/>
    </w:rPr>
  </w:style>
  <w:style w:type="paragraph" w:styleId="21">
    <w:name w:val="Body Text Indent 2"/>
    <w:basedOn w:val="a"/>
    <w:link w:val="22"/>
    <w:uiPriority w:val="99"/>
    <w:qFormat/>
    <w:pPr>
      <w:spacing w:line="560" w:lineRule="exact"/>
      <w:ind w:firstLineChars="200" w:firstLine="480"/>
    </w:pPr>
    <w:rPr>
      <w:rFonts w:ascii="宋体" w:hAnsi="宋体" w:cs="宋体"/>
      <w:color w:val="FF0000"/>
      <w:sz w:val="24"/>
      <w:szCs w:val="24"/>
    </w:rPr>
  </w:style>
  <w:style w:type="paragraph" w:styleId="af2">
    <w:name w:val="Balloon Text"/>
    <w:basedOn w:val="a"/>
    <w:link w:val="af3"/>
    <w:uiPriority w:val="99"/>
    <w:semiHidden/>
    <w:qFormat/>
    <w:rPr>
      <w:sz w:val="18"/>
      <w:szCs w:val="18"/>
    </w:rPr>
  </w:style>
  <w:style w:type="paragraph" w:styleId="af4">
    <w:name w:val="footer"/>
    <w:basedOn w:val="a"/>
    <w:link w:val="af5"/>
    <w:uiPriority w:val="99"/>
    <w:qFormat/>
    <w:pPr>
      <w:tabs>
        <w:tab w:val="center" w:pos="4153"/>
        <w:tab w:val="right" w:pos="8306"/>
      </w:tabs>
      <w:snapToGrid w:val="0"/>
      <w:jc w:val="left"/>
    </w:pPr>
    <w:rPr>
      <w:sz w:val="18"/>
      <w:szCs w:val="18"/>
    </w:rPr>
  </w:style>
  <w:style w:type="paragraph" w:styleId="af6">
    <w:name w:val="header"/>
    <w:basedOn w:val="a"/>
    <w:link w:val="af7"/>
    <w:uiPriority w:val="99"/>
    <w:pPr>
      <w:pBdr>
        <w:bottom w:val="single" w:sz="6" w:space="1" w:color="auto"/>
      </w:pBdr>
      <w:tabs>
        <w:tab w:val="center" w:pos="4153"/>
        <w:tab w:val="right" w:pos="8306"/>
      </w:tabs>
      <w:snapToGrid w:val="0"/>
      <w:jc w:val="center"/>
    </w:pPr>
    <w:rPr>
      <w:sz w:val="18"/>
      <w:szCs w:val="18"/>
    </w:rPr>
  </w:style>
  <w:style w:type="paragraph" w:styleId="af8">
    <w:name w:val="List"/>
    <w:basedOn w:val="aa"/>
    <w:uiPriority w:val="99"/>
    <w:pPr>
      <w:spacing w:after="220" w:line="220" w:lineRule="atLeast"/>
      <w:ind w:left="1440" w:hanging="360"/>
    </w:pPr>
  </w:style>
  <w:style w:type="paragraph" w:styleId="af9">
    <w:name w:val="footnote text"/>
    <w:basedOn w:val="a"/>
    <w:link w:val="afa"/>
    <w:pPr>
      <w:snapToGrid w:val="0"/>
      <w:jc w:val="left"/>
    </w:pPr>
    <w:rPr>
      <w:sz w:val="18"/>
      <w:szCs w:val="18"/>
    </w:rPr>
  </w:style>
  <w:style w:type="paragraph" w:styleId="31">
    <w:name w:val="Body Text Indent 3"/>
    <w:basedOn w:val="a"/>
    <w:link w:val="32"/>
    <w:uiPriority w:val="99"/>
    <w:pPr>
      <w:spacing w:line="560" w:lineRule="exact"/>
      <w:ind w:firstLineChars="200" w:firstLine="420"/>
    </w:pPr>
    <w:rPr>
      <w:rFonts w:ascii="Arial" w:hAnsi="Arial" w:cs="Arial"/>
      <w:color w:val="FF0000"/>
    </w:rPr>
  </w:style>
  <w:style w:type="paragraph" w:styleId="afb">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uiPriority w:val="99"/>
    <w:semiHidden/>
    <w:qFormat/>
    <w:pPr>
      <w:jc w:val="right"/>
    </w:pPr>
    <w:rPr>
      <w:color w:val="008000"/>
    </w:rPr>
  </w:style>
  <w:style w:type="paragraph" w:styleId="afc">
    <w:name w:val="Title"/>
    <w:basedOn w:val="a"/>
    <w:next w:val="a"/>
    <w:link w:val="afd"/>
    <w:uiPriority w:val="99"/>
    <w:qFormat/>
    <w:pPr>
      <w:spacing w:before="240" w:after="60"/>
      <w:jc w:val="center"/>
      <w:outlineLvl w:val="0"/>
    </w:pPr>
    <w:rPr>
      <w:rFonts w:ascii="Cambria" w:hAnsi="Cambria" w:cs="Cambria"/>
      <w:b/>
      <w:bCs/>
      <w:sz w:val="32"/>
      <w:szCs w:val="32"/>
    </w:rPr>
  </w:style>
  <w:style w:type="character" w:styleId="afe">
    <w:name w:val="Strong"/>
    <w:basedOn w:val="a1"/>
    <w:uiPriority w:val="22"/>
    <w:qFormat/>
    <w:rPr>
      <w:b/>
      <w:bCs/>
    </w:rPr>
  </w:style>
  <w:style w:type="character" w:styleId="aff">
    <w:name w:val="page number"/>
    <w:basedOn w:val="a1"/>
    <w:uiPriority w:val="99"/>
  </w:style>
  <w:style w:type="character" w:styleId="aff0">
    <w:name w:val="FollowedHyperlink"/>
    <w:basedOn w:val="a1"/>
    <w:uiPriority w:val="99"/>
    <w:qFormat/>
    <w:rPr>
      <w:color w:val="800080"/>
      <w:u w:val="single"/>
    </w:rPr>
  </w:style>
  <w:style w:type="character" w:styleId="aff1">
    <w:name w:val="Hyperlink"/>
    <w:basedOn w:val="a1"/>
    <w:uiPriority w:val="99"/>
    <w:rPr>
      <w:color w:val="0000FF"/>
      <w:u w:val="single"/>
    </w:rPr>
  </w:style>
  <w:style w:type="character" w:styleId="aff2">
    <w:name w:val="annotation reference"/>
    <w:basedOn w:val="a1"/>
    <w:uiPriority w:val="99"/>
    <w:semiHidden/>
    <w:qFormat/>
    <w:rPr>
      <w:sz w:val="21"/>
      <w:szCs w:val="21"/>
    </w:rPr>
  </w:style>
  <w:style w:type="character" w:styleId="aff3">
    <w:name w:val="footnote reference"/>
    <w:basedOn w:val="a1"/>
    <w:rPr>
      <w:vertAlign w:val="superscript"/>
    </w:rPr>
  </w:style>
  <w:style w:type="table" w:styleId="aff4">
    <w:name w:val="Table Grid"/>
    <w:basedOn w:val="a2"/>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uiPriority w:val="99"/>
    <w:rPr>
      <w:rFonts w:ascii="Times New Roman" w:eastAsia="宋体" w:hAnsi="Times New Roman" w:cs="Times New Roman"/>
      <w:b/>
      <w:bCs/>
      <w:kern w:val="44"/>
      <w:sz w:val="44"/>
      <w:szCs w:val="44"/>
    </w:rPr>
  </w:style>
  <w:style w:type="character" w:customStyle="1" w:styleId="20">
    <w:name w:val="标题 2 字符"/>
    <w:basedOn w:val="a1"/>
    <w:link w:val="2"/>
    <w:uiPriority w:val="99"/>
    <w:rPr>
      <w:rFonts w:ascii="Arial" w:eastAsia="宋体" w:hAnsi="Arial" w:cs="Arial"/>
      <w:b/>
      <w:bCs/>
      <w:sz w:val="24"/>
      <w:szCs w:val="24"/>
    </w:rPr>
  </w:style>
  <w:style w:type="character" w:customStyle="1" w:styleId="30">
    <w:name w:val="标题 3 字符"/>
    <w:basedOn w:val="a1"/>
    <w:link w:val="3"/>
    <w:uiPriority w:val="99"/>
    <w:rPr>
      <w:rFonts w:ascii="Times New Roman" w:eastAsia="宋体" w:hAnsi="Times New Roman" w:cs="Times New Roman"/>
      <w:b/>
      <w:bCs/>
      <w:sz w:val="32"/>
      <w:szCs w:val="32"/>
    </w:rPr>
  </w:style>
  <w:style w:type="character" w:customStyle="1" w:styleId="ad">
    <w:name w:val="正文文本缩进 字符"/>
    <w:basedOn w:val="a1"/>
    <w:link w:val="ac"/>
    <w:uiPriority w:val="99"/>
    <w:rPr>
      <w:rFonts w:ascii="Arial Unicode MS" w:eastAsia="Arial Unicode MS" w:hAnsi="Arial Unicode MS" w:cs="Arial Unicode MS"/>
      <w:kern w:val="0"/>
      <w:sz w:val="24"/>
      <w:szCs w:val="24"/>
    </w:rPr>
  </w:style>
  <w:style w:type="character" w:customStyle="1" w:styleId="af">
    <w:name w:val="纯文本 字符"/>
    <w:basedOn w:val="a1"/>
    <w:link w:val="ae"/>
    <w:uiPriority w:val="99"/>
    <w:rPr>
      <w:rFonts w:ascii="宋体" w:eastAsia="宋体" w:hAnsi="Courier New" w:cs="宋体"/>
      <w:szCs w:val="21"/>
    </w:rPr>
  </w:style>
  <w:style w:type="character" w:customStyle="1" w:styleId="22">
    <w:name w:val="正文文本缩进 2 字符"/>
    <w:basedOn w:val="a1"/>
    <w:link w:val="21"/>
    <w:uiPriority w:val="99"/>
    <w:rPr>
      <w:rFonts w:ascii="宋体" w:eastAsia="宋体" w:hAnsi="宋体" w:cs="宋体"/>
      <w:color w:val="FF0000"/>
      <w:sz w:val="24"/>
      <w:szCs w:val="24"/>
    </w:rPr>
  </w:style>
  <w:style w:type="character" w:customStyle="1" w:styleId="af5">
    <w:name w:val="页脚 字符"/>
    <w:basedOn w:val="a1"/>
    <w:link w:val="af4"/>
    <w:uiPriority w:val="99"/>
    <w:rPr>
      <w:rFonts w:ascii="Times New Roman" w:eastAsia="宋体" w:hAnsi="Times New Roman" w:cs="Times New Roman"/>
      <w:sz w:val="18"/>
      <w:szCs w:val="18"/>
    </w:rPr>
  </w:style>
  <w:style w:type="character" w:customStyle="1" w:styleId="32">
    <w:name w:val="正文文本缩进 3 字符"/>
    <w:basedOn w:val="a1"/>
    <w:link w:val="31"/>
    <w:uiPriority w:val="99"/>
    <w:rPr>
      <w:rFonts w:ascii="Arial" w:eastAsia="宋体" w:hAnsi="Arial" w:cs="Arial"/>
      <w:color w:val="FF0000"/>
      <w:szCs w:val="21"/>
    </w:rPr>
  </w:style>
  <w:style w:type="character" w:customStyle="1" w:styleId="af7">
    <w:name w:val="页眉 字符"/>
    <w:basedOn w:val="a1"/>
    <w:link w:val="af6"/>
    <w:uiPriority w:val="99"/>
    <w:rPr>
      <w:rFonts w:ascii="Times New Roman" w:eastAsia="宋体" w:hAnsi="Times New Roman" w:cs="Times New Roman"/>
      <w:sz w:val="18"/>
      <w:szCs w:val="18"/>
    </w:rPr>
  </w:style>
  <w:style w:type="character" w:customStyle="1" w:styleId="ab">
    <w:name w:val="正文文本 字符"/>
    <w:basedOn w:val="a1"/>
    <w:link w:val="aa"/>
    <w:uiPriority w:val="99"/>
    <w:qFormat/>
    <w:rPr>
      <w:rFonts w:ascii="Times New Roman" w:eastAsia="宋体" w:hAnsi="Times New Roman" w:cs="Times New Roman"/>
      <w:szCs w:val="21"/>
    </w:rPr>
  </w:style>
  <w:style w:type="character" w:customStyle="1" w:styleId="af1">
    <w:name w:val="日期 字符"/>
    <w:basedOn w:val="a1"/>
    <w:link w:val="af0"/>
    <w:qFormat/>
    <w:rPr>
      <w:rFonts w:ascii="Times New Roman" w:eastAsia="宋体" w:hAnsi="Times New Roman" w:cs="Times New Roman"/>
      <w:sz w:val="24"/>
      <w:szCs w:val="24"/>
    </w:rPr>
  </w:style>
  <w:style w:type="character" w:customStyle="1" w:styleId="c1">
    <w:name w:val="c1"/>
    <w:basedOn w:val="a1"/>
    <w:uiPriority w:val="99"/>
    <w:qFormat/>
    <w:rPr>
      <w:color w:val="0000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af3">
    <w:name w:val="批注框文本 字符"/>
    <w:basedOn w:val="a1"/>
    <w:link w:val="af2"/>
    <w:uiPriority w:val="99"/>
    <w:semiHidden/>
    <w:qFormat/>
    <w:rPr>
      <w:rFonts w:ascii="Times New Roman" w:eastAsia="宋体" w:hAnsi="Times New Roman" w:cs="Times New Roman"/>
      <w:sz w:val="18"/>
      <w:szCs w:val="18"/>
    </w:rPr>
  </w:style>
  <w:style w:type="character" w:customStyle="1" w:styleId="a7">
    <w:name w:val="批注文字 字符"/>
    <w:basedOn w:val="a1"/>
    <w:link w:val="a5"/>
    <w:uiPriority w:val="99"/>
    <w:semiHidden/>
    <w:qFormat/>
    <w:rPr>
      <w:rFonts w:ascii="Times New Roman" w:eastAsia="宋体" w:hAnsi="Times New Roman" w:cs="Times New Roman"/>
      <w:szCs w:val="21"/>
    </w:rPr>
  </w:style>
  <w:style w:type="character" w:customStyle="1" w:styleId="a6">
    <w:name w:val="批注主题 字符"/>
    <w:basedOn w:val="a7"/>
    <w:link w:val="a4"/>
    <w:uiPriority w:val="99"/>
    <w:semiHidden/>
    <w:qFormat/>
    <w:rPr>
      <w:rFonts w:ascii="Times New Roman" w:eastAsia="宋体" w:hAnsi="Times New Roman" w:cs="Times New Roman"/>
      <w:b/>
      <w:bCs/>
      <w:szCs w:val="21"/>
    </w:rPr>
  </w:style>
  <w:style w:type="paragraph" w:customStyle="1" w:styleId="Char">
    <w:name w:val="Char"/>
    <w:basedOn w:val="a"/>
    <w:uiPriority w:val="99"/>
    <w:qFormat/>
  </w:style>
  <w:style w:type="character" w:customStyle="1" w:styleId="a9">
    <w:name w:val="文档结构图 字符"/>
    <w:basedOn w:val="a1"/>
    <w:link w:val="a8"/>
    <w:uiPriority w:val="99"/>
    <w:semiHidden/>
    <w:rPr>
      <w:rFonts w:ascii="Times New Roman" w:eastAsia="宋体" w:hAnsi="Times New Roman" w:cs="Times New Roman"/>
      <w:szCs w:val="21"/>
      <w:shd w:val="clear" w:color="auto" w:fill="000080"/>
    </w:rPr>
  </w:style>
  <w:style w:type="paragraph" w:customStyle="1" w:styleId="aff5">
    <w:name w:val="正文 + (符号) 宋体"/>
    <w:basedOn w:val="a"/>
    <w:uiPriority w:val="99"/>
    <w:pPr>
      <w:autoSpaceDE w:val="0"/>
      <w:autoSpaceDN w:val="0"/>
      <w:adjustRightInd w:val="0"/>
      <w:ind w:rightChars="671" w:right="1409" w:firstLineChars="512" w:firstLine="1229"/>
      <w:jc w:val="distribute"/>
    </w:pPr>
    <w:rPr>
      <w:sz w:val="24"/>
      <w:szCs w:val="24"/>
    </w:rPr>
  </w:style>
  <w:style w:type="character" w:customStyle="1" w:styleId="afa">
    <w:name w:val="脚注文本 字符"/>
    <w:basedOn w:val="a1"/>
    <w:link w:val="af9"/>
    <w:rPr>
      <w:rFonts w:ascii="Times New Roman" w:eastAsia="宋体" w:hAnsi="Times New Roman" w:cs="Times New Roman"/>
      <w:sz w:val="18"/>
      <w:szCs w:val="18"/>
    </w:rPr>
  </w:style>
  <w:style w:type="paragraph" w:customStyle="1" w:styleId="Char1">
    <w:name w:val="Char1"/>
    <w:basedOn w:val="a"/>
    <w:uiPriority w:val="99"/>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type="character" w:customStyle="1" w:styleId="afd">
    <w:name w:val="标题 字符"/>
    <w:basedOn w:val="a1"/>
    <w:link w:val="afc"/>
    <w:uiPriority w:val="9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2">
    <w:name w:val="无间隔1"/>
    <w:link w:val="Char0"/>
    <w:uiPriority w:val="1"/>
    <w:qFormat/>
    <w:rPr>
      <w:rFonts w:ascii="Calibri" w:eastAsia="宋体" w:hAnsi="Calibri" w:cs="Calibri"/>
      <w:sz w:val="22"/>
      <w:szCs w:val="22"/>
    </w:rPr>
  </w:style>
  <w:style w:type="character" w:customStyle="1" w:styleId="Char0">
    <w:name w:val="无间隔 Char"/>
    <w:basedOn w:val="a1"/>
    <w:link w:val="12"/>
    <w:uiPriority w:val="1"/>
    <w:locked/>
    <w:rPr>
      <w:rFonts w:ascii="Calibri" w:eastAsia="宋体" w:hAnsi="Calibri" w:cs="Calibri"/>
      <w:kern w:val="0"/>
      <w:sz w:val="22"/>
    </w:rPr>
  </w:style>
  <w:style w:type="character" w:customStyle="1" w:styleId="t1">
    <w:name w:val="t1"/>
    <w:basedOn w:val="a1"/>
    <w:uiPriority w:val="99"/>
    <w:rPr>
      <w:color w:val="auto"/>
    </w:rPr>
  </w:style>
  <w:style w:type="paragraph" w:customStyle="1" w:styleId="13">
    <w:name w:val="列表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eastAsia="宋体"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1470">
      <w:bodyDiv w:val="1"/>
      <w:marLeft w:val="0"/>
      <w:marRight w:val="0"/>
      <w:marTop w:val="0"/>
      <w:marBottom w:val="0"/>
      <w:divBdr>
        <w:top w:val="none" w:sz="0" w:space="0" w:color="auto"/>
        <w:left w:val="none" w:sz="0" w:space="0" w:color="auto"/>
        <w:bottom w:val="none" w:sz="0" w:space="0" w:color="auto"/>
        <w:right w:val="none" w:sz="0" w:space="0" w:color="auto"/>
      </w:divBdr>
    </w:div>
    <w:div w:id="1408696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A63864-56A4-43FC-9757-126C4A007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13</Pages>
  <Words>1066</Words>
  <Characters>6078</Characters>
  <Application>Microsoft Office Word</Application>
  <DocSecurity>0</DocSecurity>
  <Lines>50</Lines>
  <Paragraphs>14</Paragraphs>
  <ScaleCrop>false</ScaleCrop>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Wang,Xiaodi@FA</cp:lastModifiedBy>
  <cp:revision>268</cp:revision>
  <dcterms:created xsi:type="dcterms:W3CDTF">2012-10-16T06:07:00Z</dcterms:created>
  <dcterms:modified xsi:type="dcterms:W3CDTF">2022-01-21T03:02:00Z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