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上投摩根安全战略股票型证券投资基金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年第</w:t>
      </w:r>
      <w:r w:rsidRPr="00FF6B9A">
        <w:rPr>
          <w:rFonts w:eastAsiaTheme="minorEastAsia"/>
          <w:b/>
          <w:color w:val="000000" w:themeColor="text1"/>
          <w:sz w:val="36"/>
          <w:szCs w:val="36"/>
        </w:rPr>
        <w:t>3</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w:t>
      </w:r>
      <w:r w:rsidRPr="00FF6B9A">
        <w:rPr>
          <w:rFonts w:eastAsiaTheme="minorEastAsia"/>
          <w:b/>
          <w:color w:val="000000" w:themeColor="text1"/>
          <w:sz w:val="36"/>
          <w:szCs w:val="36"/>
        </w:rPr>
        <w:t>9</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报告送出日期：二〇二一年十月二十七日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C64DC7" w:rsidRDefault="00B01E5C">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C64DC7" w:rsidRDefault="00B01E5C">
      <w:pPr>
        <w:spacing w:line="360" w:lineRule="auto"/>
        <w:ind w:firstLineChars="200" w:firstLine="420"/>
        <w:rPr>
          <w:rFonts w:eastAsiaTheme="minorEastAsia"/>
          <w:color w:val="000000" w:themeColor="text1"/>
        </w:rPr>
      </w:pPr>
      <w:r>
        <w:rPr>
          <w:rFonts w:eastAsiaTheme="minorEastAsia"/>
          <w:color w:val="000000" w:themeColor="text1"/>
        </w:rPr>
        <w:t>基金托管人中国银行股份有限公司根据本基金合同规定，于</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26</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C64DC7" w:rsidRDefault="00B01E5C">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C64DC7" w:rsidRDefault="00B01E5C">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C64DC7" w:rsidRDefault="00B01E5C">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上投摩根安全战略股票</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001009</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001009</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2015</w:t>
            </w:r>
            <w:r w:rsidRPr="00FF6B9A">
              <w:rPr>
                <w:rFonts w:eastAsiaTheme="minorEastAsia"/>
                <w:color w:val="000000" w:themeColor="text1"/>
                <w:kern w:val="0"/>
              </w:rPr>
              <w:t>年</w:t>
            </w:r>
            <w:r w:rsidRPr="00FF6B9A">
              <w:rPr>
                <w:rFonts w:eastAsiaTheme="minorEastAsia"/>
                <w:color w:val="000000" w:themeColor="text1"/>
                <w:kern w:val="0"/>
              </w:rPr>
              <w:t>2</w:t>
            </w:r>
            <w:r w:rsidRPr="00FF6B9A">
              <w:rPr>
                <w:rFonts w:eastAsiaTheme="minorEastAsia"/>
                <w:color w:val="000000" w:themeColor="text1"/>
                <w:kern w:val="0"/>
              </w:rPr>
              <w:t>月</w:t>
            </w:r>
            <w:r w:rsidRPr="00FF6B9A">
              <w:rPr>
                <w:rFonts w:eastAsiaTheme="minorEastAsia"/>
                <w:color w:val="000000" w:themeColor="text1"/>
                <w:kern w:val="0"/>
              </w:rPr>
              <w:t>26</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347,405,429.49</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通过系统和深入的基本面研究，重点投资于与安全战略相关行业的上市公司，分享中国经济增长模式转变带来的投资机会，在控制风险的前提下力争实现基金资产的稳定增值。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C64DC7" w:rsidRDefault="00B01E5C">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C64DC7" w:rsidRDefault="00B01E5C">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w:t>
            </w:r>
            <w:r>
              <w:rPr>
                <w:rFonts w:eastAsiaTheme="minorEastAsia"/>
                <w:color w:val="000000" w:themeColor="text1"/>
                <w:kern w:val="0"/>
              </w:rPr>
              <w:lastRenderedPageBreak/>
              <w:t>等影响证券市场的重要因素进行深入分析，重点关注包括</w:t>
            </w:r>
            <w:r>
              <w:rPr>
                <w:rFonts w:eastAsiaTheme="minorEastAsia"/>
                <w:color w:val="000000" w:themeColor="text1"/>
                <w:kern w:val="0"/>
              </w:rPr>
              <w:t>GDP</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w:t>
            </w:r>
          </w:p>
          <w:p w:rsidR="00C64DC7" w:rsidRDefault="00B01E5C">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C64DC7" w:rsidRDefault="00B01E5C">
            <w:pPr>
              <w:adjustRightInd w:val="0"/>
              <w:spacing w:before="29" w:line="360" w:lineRule="auto"/>
              <w:ind w:left="17"/>
              <w:rPr>
                <w:rFonts w:eastAsiaTheme="minorEastAsia"/>
                <w:color w:val="000000" w:themeColor="text1"/>
              </w:rPr>
            </w:pPr>
            <w:r>
              <w:rPr>
                <w:rFonts w:eastAsiaTheme="minorEastAsia"/>
                <w:color w:val="000000" w:themeColor="text1"/>
                <w:kern w:val="0"/>
              </w:rPr>
              <w:t>本基金将通过系统和深入的基本面研究，重点投资于与国家安全战略相关行业的上市公司，分享中国经济增长模式转变带来的投资机会。本基金将不低于</w:t>
            </w:r>
            <w:r>
              <w:rPr>
                <w:rFonts w:eastAsiaTheme="minorEastAsia"/>
                <w:color w:val="000000" w:themeColor="text1"/>
                <w:kern w:val="0"/>
              </w:rPr>
              <w:t>80%</w:t>
            </w:r>
            <w:r>
              <w:rPr>
                <w:rFonts w:eastAsiaTheme="minorEastAsia"/>
                <w:color w:val="000000" w:themeColor="text1"/>
                <w:kern w:val="0"/>
              </w:rPr>
              <w:t>的非现金基金资产投资于国家安全战略相关行业。</w:t>
            </w:r>
          </w:p>
          <w:p w:rsidR="00C64DC7" w:rsidRDefault="00B01E5C">
            <w:pPr>
              <w:adjustRightInd w:val="0"/>
              <w:spacing w:before="29" w:line="360" w:lineRule="auto"/>
              <w:ind w:left="17"/>
              <w:rPr>
                <w:rFonts w:eastAsiaTheme="minorEastAsia"/>
                <w:color w:val="000000" w:themeColor="text1"/>
              </w:rPr>
            </w:pPr>
            <w:r>
              <w:rPr>
                <w:rFonts w:eastAsiaTheme="minorEastAsia"/>
                <w:color w:val="000000" w:themeColor="text1"/>
                <w:kern w:val="0"/>
              </w:rPr>
              <w:t>在行业配置层面，本基金将从行业生命周期、行业景气度、行业竞争格局等多角度，综合评估各个行业的投资价值，对基金资产在行业间分配进行安排。</w:t>
            </w:r>
          </w:p>
          <w:p w:rsidR="00C64DC7" w:rsidRDefault="00B01E5C">
            <w:pPr>
              <w:adjustRightInd w:val="0"/>
              <w:spacing w:before="29" w:line="360" w:lineRule="auto"/>
              <w:ind w:left="17"/>
              <w:rPr>
                <w:rFonts w:eastAsiaTheme="minorEastAsia"/>
                <w:color w:val="000000" w:themeColor="text1"/>
              </w:rPr>
            </w:pPr>
            <w:r>
              <w:rPr>
                <w:rFonts w:eastAsiaTheme="minorEastAsia"/>
                <w:color w:val="000000" w:themeColor="text1"/>
                <w:kern w:val="0"/>
              </w:rPr>
              <w:t>在个股选择层面，本基金将主要采用</w:t>
            </w:r>
            <w:r>
              <w:rPr>
                <w:rFonts w:eastAsiaTheme="minorEastAsia"/>
                <w:color w:val="000000" w:themeColor="text1"/>
                <w:kern w:val="0"/>
              </w:rPr>
              <w:t>“</w:t>
            </w:r>
            <w:r>
              <w:rPr>
                <w:rFonts w:eastAsiaTheme="minorEastAsia"/>
                <w:color w:val="000000" w:themeColor="text1"/>
                <w:kern w:val="0"/>
              </w:rPr>
              <w:t>自下而上</w:t>
            </w:r>
            <w:r>
              <w:rPr>
                <w:rFonts w:eastAsiaTheme="minorEastAsia"/>
                <w:color w:val="000000" w:themeColor="text1"/>
                <w:kern w:val="0"/>
              </w:rPr>
              <w:t>”</w:t>
            </w:r>
            <w:r>
              <w:rPr>
                <w:rFonts w:eastAsiaTheme="minorEastAsia"/>
                <w:color w:val="000000" w:themeColor="text1"/>
                <w:kern w:val="0"/>
              </w:rPr>
              <w:t>的方法，在备选行业内部通过定量与定性相结合的分析方法，综合分析上市公司的业绩质量、成长性和估值水平等各方面信息，精选具有良好成长性、估值合理的个股</w:t>
            </w:r>
            <w:r>
              <w:rPr>
                <w:rFonts w:eastAsiaTheme="minorEastAsia"/>
                <w:color w:val="000000" w:themeColor="text1"/>
                <w:kern w:val="0"/>
              </w:rPr>
              <w:t>。</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3</w:t>
            </w:r>
            <w:r w:rsidRPr="00FF6B9A">
              <w:rPr>
                <w:rFonts w:eastAsiaTheme="minorEastAsia"/>
                <w:color w:val="000000" w:themeColor="text1"/>
                <w:kern w:val="0"/>
              </w:rPr>
              <w:t>、其他投资策略：包括固定收益类投资策略、可转换债券投资策略、中小企业私募债投资策略、股指期货投资策略、资产支持证券投资策略、存托凭证投资策略。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*85%+</w:t>
            </w:r>
            <w:r w:rsidRPr="00FF6B9A">
              <w:rPr>
                <w:rFonts w:eastAsiaTheme="minorEastAsia"/>
                <w:color w:val="000000" w:themeColor="text1"/>
                <w:kern w:val="0"/>
              </w:rPr>
              <w:t>中债总指数收益率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C64DC7" w:rsidRDefault="00B01E5C">
            <w:pPr>
              <w:adjustRightInd w:val="0"/>
              <w:spacing w:before="29" w:line="360" w:lineRule="auto"/>
              <w:ind w:left="17"/>
              <w:rPr>
                <w:rFonts w:eastAsiaTheme="minorEastAsia"/>
                <w:color w:val="000000" w:themeColor="text1"/>
              </w:rPr>
            </w:pPr>
            <w:r>
              <w:rPr>
                <w:rFonts w:eastAsiaTheme="minorEastAsia"/>
                <w:color w:val="000000" w:themeColor="text1"/>
                <w:kern w:val="0"/>
              </w:rPr>
              <w:t>本基金属于股票型基金产品，预期风险和收益水平高于混合型基金、债券型基金和货币市场基金，属于较高风险收益水平的基金产品。</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B01E5C" w:rsidRPr="00FF6B9A" w:rsidTr="00B01E5C">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B01E5C" w:rsidRPr="00FF6B9A" w:rsidTr="00B01E5C">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34,725,549.16</w:t>
            </w:r>
          </w:p>
        </w:tc>
      </w:tr>
      <w:tr w:rsidR="00B01E5C" w:rsidRPr="00FF6B9A" w:rsidTr="00B01E5C">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-738,576.79</w:t>
            </w:r>
          </w:p>
        </w:tc>
      </w:tr>
      <w:tr w:rsidR="00B01E5C" w:rsidRPr="00FF6B9A" w:rsidTr="00B01E5C">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-0.0023</w:t>
            </w:r>
          </w:p>
        </w:tc>
      </w:tr>
      <w:tr w:rsidR="00B01E5C" w:rsidRPr="00FF6B9A" w:rsidTr="00B01E5C">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764,483,088.53</w:t>
            </w:r>
          </w:p>
        </w:tc>
      </w:tr>
      <w:tr w:rsidR="00B01E5C" w:rsidRPr="00FF6B9A" w:rsidTr="00B01E5C">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2.2006</w:t>
            </w:r>
          </w:p>
        </w:tc>
      </w:tr>
    </w:tbl>
    <w:p w:rsidR="00C64DC7" w:rsidRDefault="00B01E5C">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C64DC7">
        <w:tc>
          <w:tcPr>
            <w:tcW w:w="1395" w:type="dxa"/>
            <w:vAlign w:val="center"/>
          </w:tcPr>
          <w:p w:rsidR="00C64DC7" w:rsidRDefault="00B01E5C">
            <w:pPr>
              <w:jc w:val="left"/>
            </w:pPr>
            <w:r>
              <w:rPr>
                <w:rFonts w:eastAsiaTheme="minorEastAsia"/>
                <w:color w:val="000000" w:themeColor="text1"/>
                <w:kern w:val="0"/>
              </w:rPr>
              <w:t>过去三个月</w:t>
            </w:r>
          </w:p>
        </w:tc>
        <w:tc>
          <w:tcPr>
            <w:tcW w:w="1092" w:type="dxa"/>
            <w:vAlign w:val="center"/>
          </w:tcPr>
          <w:p w:rsidR="00C64DC7" w:rsidRDefault="00B01E5C">
            <w:pPr>
              <w:jc w:val="center"/>
            </w:pPr>
            <w:r>
              <w:rPr>
                <w:rFonts w:eastAsiaTheme="minorEastAsia"/>
                <w:color w:val="000000" w:themeColor="text1"/>
                <w:kern w:val="0"/>
              </w:rPr>
              <w:t>0.12%</w:t>
            </w:r>
          </w:p>
        </w:tc>
        <w:tc>
          <w:tcPr>
            <w:tcW w:w="1161" w:type="dxa"/>
            <w:vAlign w:val="center"/>
          </w:tcPr>
          <w:p w:rsidR="00C64DC7" w:rsidRDefault="00B01E5C">
            <w:pPr>
              <w:jc w:val="center"/>
            </w:pPr>
            <w:r>
              <w:rPr>
                <w:rFonts w:eastAsiaTheme="minorEastAsia"/>
                <w:color w:val="000000" w:themeColor="text1"/>
                <w:kern w:val="0"/>
              </w:rPr>
              <w:t>2.34%</w:t>
            </w:r>
          </w:p>
        </w:tc>
        <w:tc>
          <w:tcPr>
            <w:tcW w:w="1181" w:type="dxa"/>
            <w:vAlign w:val="center"/>
          </w:tcPr>
          <w:p w:rsidR="00C64DC7" w:rsidRDefault="00B01E5C">
            <w:pPr>
              <w:jc w:val="center"/>
            </w:pPr>
            <w:r>
              <w:rPr>
                <w:rFonts w:eastAsiaTheme="minorEastAsia"/>
                <w:color w:val="000000" w:themeColor="text1"/>
                <w:kern w:val="0"/>
              </w:rPr>
              <w:t>-3.51%</w:t>
            </w:r>
          </w:p>
        </w:tc>
        <w:tc>
          <w:tcPr>
            <w:tcW w:w="1188" w:type="dxa"/>
            <w:vAlign w:val="center"/>
          </w:tcPr>
          <w:p w:rsidR="00C64DC7" w:rsidRDefault="00B01E5C">
            <w:pPr>
              <w:jc w:val="center"/>
            </w:pPr>
            <w:r>
              <w:rPr>
                <w:rFonts w:eastAsiaTheme="minorEastAsia"/>
                <w:color w:val="000000" w:themeColor="text1"/>
                <w:kern w:val="0"/>
              </w:rPr>
              <w:t>0.93%</w:t>
            </w:r>
          </w:p>
        </w:tc>
        <w:tc>
          <w:tcPr>
            <w:tcW w:w="1199" w:type="dxa"/>
            <w:vAlign w:val="center"/>
          </w:tcPr>
          <w:p w:rsidR="00C64DC7" w:rsidRDefault="00B01E5C">
            <w:pPr>
              <w:jc w:val="center"/>
            </w:pPr>
            <w:r>
              <w:rPr>
                <w:rFonts w:eastAsiaTheme="minorEastAsia"/>
                <w:color w:val="000000" w:themeColor="text1"/>
                <w:kern w:val="0"/>
              </w:rPr>
              <w:t>3.63%</w:t>
            </w:r>
          </w:p>
        </w:tc>
        <w:tc>
          <w:tcPr>
            <w:tcW w:w="1204" w:type="dxa"/>
            <w:vAlign w:val="center"/>
          </w:tcPr>
          <w:p w:rsidR="00C64DC7" w:rsidRDefault="00B01E5C">
            <w:pPr>
              <w:jc w:val="center"/>
            </w:pPr>
            <w:r>
              <w:rPr>
                <w:rFonts w:eastAsiaTheme="minorEastAsia"/>
                <w:color w:val="000000" w:themeColor="text1"/>
                <w:kern w:val="0"/>
              </w:rPr>
              <w:t>1.41%</w:t>
            </w:r>
          </w:p>
        </w:tc>
      </w:tr>
      <w:tr w:rsidR="00C64DC7">
        <w:tc>
          <w:tcPr>
            <w:tcW w:w="1395" w:type="dxa"/>
            <w:vAlign w:val="center"/>
          </w:tcPr>
          <w:p w:rsidR="00C64DC7" w:rsidRDefault="00B01E5C">
            <w:pPr>
              <w:jc w:val="left"/>
            </w:pPr>
            <w:r>
              <w:rPr>
                <w:rFonts w:eastAsiaTheme="minorEastAsia"/>
                <w:color w:val="000000" w:themeColor="text1"/>
                <w:kern w:val="0"/>
              </w:rPr>
              <w:t>过去六个月</w:t>
            </w:r>
          </w:p>
        </w:tc>
        <w:tc>
          <w:tcPr>
            <w:tcW w:w="1092" w:type="dxa"/>
            <w:vAlign w:val="center"/>
          </w:tcPr>
          <w:p w:rsidR="00C64DC7" w:rsidRDefault="00B01E5C">
            <w:pPr>
              <w:jc w:val="center"/>
            </w:pPr>
            <w:r>
              <w:rPr>
                <w:rFonts w:eastAsiaTheme="minorEastAsia"/>
                <w:color w:val="000000" w:themeColor="text1"/>
                <w:kern w:val="0"/>
              </w:rPr>
              <w:t>21.39%</w:t>
            </w:r>
          </w:p>
        </w:tc>
        <w:tc>
          <w:tcPr>
            <w:tcW w:w="1161" w:type="dxa"/>
            <w:vAlign w:val="center"/>
          </w:tcPr>
          <w:p w:rsidR="00C64DC7" w:rsidRDefault="00B01E5C">
            <w:pPr>
              <w:jc w:val="center"/>
            </w:pPr>
            <w:r>
              <w:rPr>
                <w:rFonts w:eastAsiaTheme="minorEastAsia"/>
                <w:color w:val="000000" w:themeColor="text1"/>
                <w:kern w:val="0"/>
              </w:rPr>
              <w:t>1.94%</w:t>
            </w:r>
          </w:p>
        </w:tc>
        <w:tc>
          <w:tcPr>
            <w:tcW w:w="1181" w:type="dxa"/>
            <w:vAlign w:val="center"/>
          </w:tcPr>
          <w:p w:rsidR="00C64DC7" w:rsidRDefault="00B01E5C">
            <w:pPr>
              <w:jc w:val="center"/>
            </w:pPr>
            <w:r>
              <w:rPr>
                <w:rFonts w:eastAsiaTheme="minorEastAsia"/>
                <w:color w:val="000000" w:themeColor="text1"/>
                <w:kern w:val="0"/>
              </w:rPr>
              <w:t>0.36%</w:t>
            </w:r>
          </w:p>
        </w:tc>
        <w:tc>
          <w:tcPr>
            <w:tcW w:w="1188" w:type="dxa"/>
            <w:vAlign w:val="center"/>
          </w:tcPr>
          <w:p w:rsidR="00C64DC7" w:rsidRDefault="00B01E5C">
            <w:pPr>
              <w:jc w:val="center"/>
            </w:pPr>
            <w:r>
              <w:rPr>
                <w:rFonts w:eastAsiaTheme="minorEastAsia"/>
                <w:color w:val="000000" w:themeColor="text1"/>
                <w:kern w:val="0"/>
              </w:rPr>
              <w:t>0.85%</w:t>
            </w:r>
          </w:p>
        </w:tc>
        <w:tc>
          <w:tcPr>
            <w:tcW w:w="1199" w:type="dxa"/>
            <w:vAlign w:val="center"/>
          </w:tcPr>
          <w:p w:rsidR="00C64DC7" w:rsidRDefault="00B01E5C">
            <w:pPr>
              <w:jc w:val="center"/>
            </w:pPr>
            <w:r>
              <w:rPr>
                <w:rFonts w:eastAsiaTheme="minorEastAsia"/>
                <w:color w:val="000000" w:themeColor="text1"/>
                <w:kern w:val="0"/>
              </w:rPr>
              <w:t>21.03%</w:t>
            </w:r>
          </w:p>
        </w:tc>
        <w:tc>
          <w:tcPr>
            <w:tcW w:w="1204" w:type="dxa"/>
            <w:vAlign w:val="center"/>
          </w:tcPr>
          <w:p w:rsidR="00C64DC7" w:rsidRDefault="00B01E5C">
            <w:pPr>
              <w:jc w:val="center"/>
            </w:pPr>
            <w:r>
              <w:rPr>
                <w:rFonts w:eastAsiaTheme="minorEastAsia"/>
                <w:color w:val="000000" w:themeColor="text1"/>
                <w:kern w:val="0"/>
              </w:rPr>
              <w:t>1.09%</w:t>
            </w:r>
          </w:p>
        </w:tc>
      </w:tr>
      <w:tr w:rsidR="00C64DC7">
        <w:tc>
          <w:tcPr>
            <w:tcW w:w="1395" w:type="dxa"/>
            <w:vAlign w:val="center"/>
          </w:tcPr>
          <w:p w:rsidR="00C64DC7" w:rsidRDefault="00B01E5C">
            <w:pPr>
              <w:jc w:val="left"/>
            </w:pPr>
            <w:r>
              <w:rPr>
                <w:rFonts w:eastAsiaTheme="minorEastAsia"/>
                <w:color w:val="000000" w:themeColor="text1"/>
                <w:kern w:val="0"/>
              </w:rPr>
              <w:t>过去一年</w:t>
            </w:r>
          </w:p>
        </w:tc>
        <w:tc>
          <w:tcPr>
            <w:tcW w:w="1092" w:type="dxa"/>
            <w:vAlign w:val="center"/>
          </w:tcPr>
          <w:p w:rsidR="00C64DC7" w:rsidRDefault="00B01E5C">
            <w:pPr>
              <w:jc w:val="center"/>
            </w:pPr>
            <w:r>
              <w:rPr>
                <w:rFonts w:eastAsiaTheme="minorEastAsia"/>
                <w:color w:val="000000" w:themeColor="text1"/>
                <w:kern w:val="0"/>
              </w:rPr>
              <w:t>38.73%</w:t>
            </w:r>
          </w:p>
        </w:tc>
        <w:tc>
          <w:tcPr>
            <w:tcW w:w="1161" w:type="dxa"/>
            <w:vAlign w:val="center"/>
          </w:tcPr>
          <w:p w:rsidR="00C64DC7" w:rsidRDefault="00B01E5C">
            <w:pPr>
              <w:jc w:val="center"/>
            </w:pPr>
            <w:r>
              <w:rPr>
                <w:rFonts w:eastAsiaTheme="minorEastAsia"/>
                <w:color w:val="000000" w:themeColor="text1"/>
                <w:kern w:val="0"/>
              </w:rPr>
              <w:t>1.89%</w:t>
            </w:r>
          </w:p>
        </w:tc>
        <w:tc>
          <w:tcPr>
            <w:tcW w:w="1181" w:type="dxa"/>
            <w:vAlign w:val="center"/>
          </w:tcPr>
          <w:p w:rsidR="00C64DC7" w:rsidRDefault="00B01E5C">
            <w:pPr>
              <w:jc w:val="center"/>
            </w:pPr>
            <w:r>
              <w:rPr>
                <w:rFonts w:eastAsiaTheme="minorEastAsia"/>
                <w:color w:val="000000" w:themeColor="text1"/>
                <w:kern w:val="0"/>
              </w:rPr>
              <w:t>7.17%</w:t>
            </w:r>
          </w:p>
        </w:tc>
        <w:tc>
          <w:tcPr>
            <w:tcW w:w="1188" w:type="dxa"/>
            <w:vAlign w:val="center"/>
          </w:tcPr>
          <w:p w:rsidR="00C64DC7" w:rsidRDefault="00B01E5C">
            <w:pPr>
              <w:jc w:val="center"/>
            </w:pPr>
            <w:r>
              <w:rPr>
                <w:rFonts w:eastAsiaTheme="minorEastAsia"/>
                <w:color w:val="000000" w:themeColor="text1"/>
                <w:kern w:val="0"/>
              </w:rPr>
              <w:t>0.96%</w:t>
            </w:r>
          </w:p>
        </w:tc>
        <w:tc>
          <w:tcPr>
            <w:tcW w:w="1199" w:type="dxa"/>
            <w:vAlign w:val="center"/>
          </w:tcPr>
          <w:p w:rsidR="00C64DC7" w:rsidRDefault="00B01E5C">
            <w:pPr>
              <w:jc w:val="center"/>
            </w:pPr>
            <w:r>
              <w:rPr>
                <w:rFonts w:eastAsiaTheme="minorEastAsia"/>
                <w:color w:val="000000" w:themeColor="text1"/>
                <w:kern w:val="0"/>
              </w:rPr>
              <w:t>31.56%</w:t>
            </w:r>
          </w:p>
        </w:tc>
        <w:tc>
          <w:tcPr>
            <w:tcW w:w="1204" w:type="dxa"/>
            <w:vAlign w:val="center"/>
          </w:tcPr>
          <w:p w:rsidR="00C64DC7" w:rsidRDefault="00B01E5C">
            <w:pPr>
              <w:jc w:val="center"/>
            </w:pPr>
            <w:r>
              <w:rPr>
                <w:rFonts w:eastAsiaTheme="minorEastAsia"/>
                <w:color w:val="000000" w:themeColor="text1"/>
                <w:kern w:val="0"/>
              </w:rPr>
              <w:t>0.93%</w:t>
            </w:r>
          </w:p>
        </w:tc>
      </w:tr>
      <w:tr w:rsidR="00C64DC7">
        <w:tc>
          <w:tcPr>
            <w:tcW w:w="1395" w:type="dxa"/>
            <w:vAlign w:val="center"/>
          </w:tcPr>
          <w:p w:rsidR="00C64DC7" w:rsidRDefault="00B01E5C">
            <w:pPr>
              <w:jc w:val="left"/>
            </w:pPr>
            <w:r>
              <w:rPr>
                <w:rFonts w:eastAsiaTheme="minorEastAsia"/>
                <w:color w:val="000000" w:themeColor="text1"/>
                <w:kern w:val="0"/>
              </w:rPr>
              <w:t>过去三年</w:t>
            </w:r>
          </w:p>
        </w:tc>
        <w:tc>
          <w:tcPr>
            <w:tcW w:w="1092" w:type="dxa"/>
            <w:vAlign w:val="center"/>
          </w:tcPr>
          <w:p w:rsidR="00C64DC7" w:rsidRDefault="00B01E5C">
            <w:pPr>
              <w:jc w:val="center"/>
            </w:pPr>
            <w:r>
              <w:rPr>
                <w:rFonts w:eastAsiaTheme="minorEastAsia"/>
                <w:color w:val="000000" w:themeColor="text1"/>
                <w:kern w:val="0"/>
              </w:rPr>
              <w:t>209.29%</w:t>
            </w:r>
          </w:p>
        </w:tc>
        <w:tc>
          <w:tcPr>
            <w:tcW w:w="1161" w:type="dxa"/>
            <w:vAlign w:val="center"/>
          </w:tcPr>
          <w:p w:rsidR="00C64DC7" w:rsidRDefault="00B01E5C">
            <w:pPr>
              <w:jc w:val="center"/>
            </w:pPr>
            <w:r>
              <w:rPr>
                <w:rFonts w:eastAsiaTheme="minorEastAsia"/>
                <w:color w:val="000000" w:themeColor="text1"/>
                <w:kern w:val="0"/>
              </w:rPr>
              <w:t>1.73%</w:t>
            </w:r>
          </w:p>
        </w:tc>
        <w:tc>
          <w:tcPr>
            <w:tcW w:w="1181" w:type="dxa"/>
            <w:vAlign w:val="center"/>
          </w:tcPr>
          <w:p w:rsidR="00C64DC7" w:rsidRDefault="00B01E5C">
            <w:pPr>
              <w:jc w:val="center"/>
            </w:pPr>
            <w:r>
              <w:rPr>
                <w:rFonts w:eastAsiaTheme="minorEastAsia"/>
                <w:color w:val="000000" w:themeColor="text1"/>
                <w:kern w:val="0"/>
              </w:rPr>
              <w:t>37.35%</w:t>
            </w:r>
          </w:p>
        </w:tc>
        <w:tc>
          <w:tcPr>
            <w:tcW w:w="1188" w:type="dxa"/>
            <w:vAlign w:val="center"/>
          </w:tcPr>
          <w:p w:rsidR="00C64DC7" w:rsidRDefault="00B01E5C">
            <w:pPr>
              <w:jc w:val="center"/>
            </w:pPr>
            <w:r>
              <w:rPr>
                <w:rFonts w:eastAsiaTheme="minorEastAsia"/>
                <w:color w:val="000000" w:themeColor="text1"/>
                <w:kern w:val="0"/>
              </w:rPr>
              <w:t>1.14%</w:t>
            </w:r>
          </w:p>
        </w:tc>
        <w:tc>
          <w:tcPr>
            <w:tcW w:w="1199" w:type="dxa"/>
            <w:vAlign w:val="center"/>
          </w:tcPr>
          <w:p w:rsidR="00C64DC7" w:rsidRDefault="00B01E5C">
            <w:pPr>
              <w:jc w:val="center"/>
            </w:pPr>
            <w:r>
              <w:rPr>
                <w:rFonts w:eastAsiaTheme="minorEastAsia"/>
                <w:color w:val="000000" w:themeColor="text1"/>
                <w:kern w:val="0"/>
              </w:rPr>
              <w:t>171.94%</w:t>
            </w:r>
          </w:p>
        </w:tc>
        <w:tc>
          <w:tcPr>
            <w:tcW w:w="1204" w:type="dxa"/>
            <w:vAlign w:val="center"/>
          </w:tcPr>
          <w:p w:rsidR="00C64DC7" w:rsidRDefault="00B01E5C">
            <w:pPr>
              <w:jc w:val="center"/>
            </w:pPr>
            <w:r>
              <w:rPr>
                <w:rFonts w:eastAsiaTheme="minorEastAsia"/>
                <w:color w:val="000000" w:themeColor="text1"/>
                <w:kern w:val="0"/>
              </w:rPr>
              <w:t>0.59%</w:t>
            </w:r>
          </w:p>
        </w:tc>
      </w:tr>
      <w:tr w:rsidR="00C64DC7">
        <w:tc>
          <w:tcPr>
            <w:tcW w:w="1395" w:type="dxa"/>
            <w:vAlign w:val="center"/>
          </w:tcPr>
          <w:p w:rsidR="00C64DC7" w:rsidRDefault="00B01E5C">
            <w:pPr>
              <w:jc w:val="left"/>
            </w:pPr>
            <w:r>
              <w:rPr>
                <w:rFonts w:eastAsiaTheme="minorEastAsia"/>
                <w:color w:val="000000" w:themeColor="text1"/>
                <w:kern w:val="0"/>
              </w:rPr>
              <w:t>过去五年</w:t>
            </w:r>
          </w:p>
        </w:tc>
        <w:tc>
          <w:tcPr>
            <w:tcW w:w="1092" w:type="dxa"/>
            <w:vAlign w:val="center"/>
          </w:tcPr>
          <w:p w:rsidR="00C64DC7" w:rsidRDefault="00B01E5C">
            <w:pPr>
              <w:jc w:val="center"/>
            </w:pPr>
            <w:r>
              <w:rPr>
                <w:rFonts w:eastAsiaTheme="minorEastAsia"/>
                <w:color w:val="000000" w:themeColor="text1"/>
                <w:kern w:val="0"/>
              </w:rPr>
              <w:t>170.97%</w:t>
            </w:r>
          </w:p>
        </w:tc>
        <w:tc>
          <w:tcPr>
            <w:tcW w:w="1161" w:type="dxa"/>
            <w:vAlign w:val="center"/>
          </w:tcPr>
          <w:p w:rsidR="00C64DC7" w:rsidRDefault="00B01E5C">
            <w:pPr>
              <w:jc w:val="center"/>
            </w:pPr>
            <w:r>
              <w:rPr>
                <w:rFonts w:eastAsiaTheme="minorEastAsia"/>
                <w:color w:val="000000" w:themeColor="text1"/>
                <w:kern w:val="0"/>
              </w:rPr>
              <w:t>1.53%</w:t>
            </w:r>
          </w:p>
        </w:tc>
        <w:tc>
          <w:tcPr>
            <w:tcW w:w="1181" w:type="dxa"/>
            <w:vAlign w:val="center"/>
          </w:tcPr>
          <w:p w:rsidR="00C64DC7" w:rsidRDefault="00B01E5C">
            <w:pPr>
              <w:jc w:val="center"/>
            </w:pPr>
            <w:r>
              <w:rPr>
                <w:rFonts w:eastAsiaTheme="minorEastAsia"/>
                <w:color w:val="000000" w:themeColor="text1"/>
                <w:kern w:val="0"/>
              </w:rPr>
              <w:t>32.59%</w:t>
            </w:r>
          </w:p>
        </w:tc>
        <w:tc>
          <w:tcPr>
            <w:tcW w:w="1188" w:type="dxa"/>
            <w:vAlign w:val="center"/>
          </w:tcPr>
          <w:p w:rsidR="00C64DC7" w:rsidRDefault="00B01E5C">
            <w:pPr>
              <w:jc w:val="center"/>
            </w:pPr>
            <w:r>
              <w:rPr>
                <w:rFonts w:eastAsiaTheme="minorEastAsia"/>
                <w:color w:val="000000" w:themeColor="text1"/>
                <w:kern w:val="0"/>
              </w:rPr>
              <w:t>1.01%</w:t>
            </w:r>
          </w:p>
        </w:tc>
        <w:tc>
          <w:tcPr>
            <w:tcW w:w="1199" w:type="dxa"/>
            <w:vAlign w:val="center"/>
          </w:tcPr>
          <w:p w:rsidR="00C64DC7" w:rsidRDefault="00B01E5C">
            <w:pPr>
              <w:jc w:val="center"/>
            </w:pPr>
            <w:r>
              <w:rPr>
                <w:rFonts w:eastAsiaTheme="minorEastAsia"/>
                <w:color w:val="000000" w:themeColor="text1"/>
                <w:kern w:val="0"/>
              </w:rPr>
              <w:t>138.38%</w:t>
            </w:r>
          </w:p>
        </w:tc>
        <w:tc>
          <w:tcPr>
            <w:tcW w:w="1204" w:type="dxa"/>
            <w:vAlign w:val="center"/>
          </w:tcPr>
          <w:p w:rsidR="00C64DC7" w:rsidRDefault="00B01E5C">
            <w:pPr>
              <w:jc w:val="center"/>
            </w:pPr>
            <w:r>
              <w:rPr>
                <w:rFonts w:eastAsiaTheme="minorEastAsia"/>
                <w:color w:val="000000" w:themeColor="text1"/>
                <w:kern w:val="0"/>
              </w:rPr>
              <w:t>0.52%</w:t>
            </w:r>
          </w:p>
        </w:tc>
      </w:tr>
      <w:tr w:rsidR="00C64DC7">
        <w:tc>
          <w:tcPr>
            <w:tcW w:w="1395" w:type="dxa"/>
            <w:vAlign w:val="center"/>
          </w:tcPr>
          <w:p w:rsidR="00C64DC7" w:rsidRDefault="00B01E5C">
            <w:pPr>
              <w:jc w:val="left"/>
            </w:pPr>
            <w:r>
              <w:rPr>
                <w:rFonts w:eastAsiaTheme="minorEastAsia"/>
                <w:color w:val="000000" w:themeColor="text1"/>
                <w:kern w:val="0"/>
              </w:rPr>
              <w:t>自基金合同</w:t>
            </w:r>
            <w:r>
              <w:rPr>
                <w:rFonts w:eastAsiaTheme="minorEastAsia"/>
                <w:color w:val="000000" w:themeColor="text1"/>
                <w:kern w:val="0"/>
              </w:rPr>
              <w:lastRenderedPageBreak/>
              <w:t>生效起至今</w:t>
            </w:r>
          </w:p>
        </w:tc>
        <w:tc>
          <w:tcPr>
            <w:tcW w:w="1092" w:type="dxa"/>
            <w:vAlign w:val="center"/>
          </w:tcPr>
          <w:p w:rsidR="00C64DC7" w:rsidRDefault="00B01E5C">
            <w:pPr>
              <w:jc w:val="center"/>
            </w:pPr>
            <w:r>
              <w:rPr>
                <w:rFonts w:eastAsiaTheme="minorEastAsia"/>
                <w:color w:val="000000" w:themeColor="text1"/>
                <w:kern w:val="0"/>
              </w:rPr>
              <w:lastRenderedPageBreak/>
              <w:t>149.29%</w:t>
            </w:r>
          </w:p>
        </w:tc>
        <w:tc>
          <w:tcPr>
            <w:tcW w:w="1161" w:type="dxa"/>
            <w:vAlign w:val="center"/>
          </w:tcPr>
          <w:p w:rsidR="00C64DC7" w:rsidRDefault="00B01E5C">
            <w:pPr>
              <w:jc w:val="center"/>
            </w:pPr>
            <w:r>
              <w:rPr>
                <w:rFonts w:eastAsiaTheme="minorEastAsia"/>
                <w:color w:val="000000" w:themeColor="text1"/>
                <w:kern w:val="0"/>
              </w:rPr>
              <w:t>1.82%</w:t>
            </w:r>
          </w:p>
        </w:tc>
        <w:tc>
          <w:tcPr>
            <w:tcW w:w="1181" w:type="dxa"/>
            <w:vAlign w:val="center"/>
          </w:tcPr>
          <w:p w:rsidR="00C64DC7" w:rsidRDefault="00B01E5C">
            <w:pPr>
              <w:jc w:val="center"/>
            </w:pPr>
            <w:r>
              <w:rPr>
                <w:rFonts w:eastAsiaTheme="minorEastAsia"/>
                <w:color w:val="000000" w:themeColor="text1"/>
                <w:kern w:val="0"/>
              </w:rPr>
              <w:t>29.94%</w:t>
            </w:r>
          </w:p>
        </w:tc>
        <w:tc>
          <w:tcPr>
            <w:tcW w:w="1188" w:type="dxa"/>
            <w:vAlign w:val="center"/>
          </w:tcPr>
          <w:p w:rsidR="00C64DC7" w:rsidRDefault="00B01E5C">
            <w:pPr>
              <w:jc w:val="center"/>
            </w:pPr>
            <w:r>
              <w:rPr>
                <w:rFonts w:eastAsiaTheme="minorEastAsia"/>
                <w:color w:val="000000" w:themeColor="text1"/>
                <w:kern w:val="0"/>
              </w:rPr>
              <w:t>1.28%</w:t>
            </w:r>
          </w:p>
        </w:tc>
        <w:tc>
          <w:tcPr>
            <w:tcW w:w="1199" w:type="dxa"/>
            <w:vAlign w:val="center"/>
          </w:tcPr>
          <w:p w:rsidR="00C64DC7" w:rsidRDefault="00B01E5C">
            <w:pPr>
              <w:jc w:val="center"/>
            </w:pPr>
            <w:r>
              <w:rPr>
                <w:rFonts w:eastAsiaTheme="minorEastAsia"/>
                <w:color w:val="000000" w:themeColor="text1"/>
                <w:kern w:val="0"/>
              </w:rPr>
              <w:t>119.35%</w:t>
            </w:r>
          </w:p>
        </w:tc>
        <w:tc>
          <w:tcPr>
            <w:tcW w:w="1204" w:type="dxa"/>
            <w:vAlign w:val="center"/>
          </w:tcPr>
          <w:p w:rsidR="00C64DC7" w:rsidRDefault="00B01E5C">
            <w:pPr>
              <w:jc w:val="center"/>
            </w:pPr>
            <w:r>
              <w:rPr>
                <w:rFonts w:eastAsiaTheme="minorEastAsia"/>
                <w:color w:val="000000" w:themeColor="text1"/>
                <w:kern w:val="0"/>
              </w:rPr>
              <w:t>0.54%</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上投摩根安全战略股票型证券投资基金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(2015</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2</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26</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C64DC7" w:rsidRDefault="00B01E5C">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2</w:t>
      </w:r>
      <w:r>
        <w:rPr>
          <w:rFonts w:eastAsiaTheme="minorEastAsia"/>
          <w:color w:val="000000" w:themeColor="text1"/>
        </w:rPr>
        <w:t>月</w:t>
      </w:r>
      <w:r>
        <w:rPr>
          <w:rFonts w:eastAsiaTheme="minorEastAsia"/>
          <w:color w:val="000000" w:themeColor="text1"/>
        </w:rPr>
        <w:t>26</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C64DC7">
        <w:tc>
          <w:tcPr>
            <w:tcW w:w="851" w:type="dxa"/>
            <w:vAlign w:val="center"/>
          </w:tcPr>
          <w:p w:rsidR="00C64DC7" w:rsidRDefault="00B01E5C">
            <w:pPr>
              <w:jc w:val="center"/>
            </w:pPr>
            <w:r>
              <w:rPr>
                <w:rFonts w:eastAsiaTheme="minorEastAsia"/>
                <w:color w:val="000000" w:themeColor="text1"/>
              </w:rPr>
              <w:t>陈思郁</w:t>
            </w:r>
          </w:p>
        </w:tc>
        <w:tc>
          <w:tcPr>
            <w:tcW w:w="850" w:type="dxa"/>
            <w:vAlign w:val="center"/>
          </w:tcPr>
          <w:p w:rsidR="00C64DC7" w:rsidRDefault="00B01E5C">
            <w:pPr>
              <w:jc w:val="center"/>
            </w:pPr>
            <w:r>
              <w:rPr>
                <w:rFonts w:eastAsiaTheme="minorEastAsia"/>
                <w:color w:val="000000" w:themeColor="text1"/>
              </w:rPr>
              <w:t>本基金基金经理</w:t>
            </w:r>
          </w:p>
        </w:tc>
        <w:tc>
          <w:tcPr>
            <w:tcW w:w="1560" w:type="dxa"/>
            <w:vAlign w:val="center"/>
          </w:tcPr>
          <w:p w:rsidR="00C64DC7" w:rsidRDefault="00B01E5C">
            <w:pPr>
              <w:jc w:val="center"/>
            </w:pPr>
            <w:r>
              <w:rPr>
                <w:rFonts w:eastAsiaTheme="minorEastAsia"/>
                <w:color w:val="000000" w:themeColor="text1"/>
              </w:rPr>
              <w:t>2016-10-21</w:t>
            </w:r>
          </w:p>
        </w:tc>
        <w:tc>
          <w:tcPr>
            <w:tcW w:w="1559" w:type="dxa"/>
            <w:vAlign w:val="center"/>
          </w:tcPr>
          <w:p w:rsidR="00C64DC7" w:rsidRDefault="00B01E5C">
            <w:pPr>
              <w:jc w:val="center"/>
            </w:pPr>
            <w:r>
              <w:rPr>
                <w:rFonts w:eastAsiaTheme="minorEastAsia"/>
                <w:color w:val="000000" w:themeColor="text1"/>
              </w:rPr>
              <w:t>-</w:t>
            </w:r>
          </w:p>
        </w:tc>
        <w:tc>
          <w:tcPr>
            <w:tcW w:w="1417" w:type="dxa"/>
            <w:vAlign w:val="center"/>
          </w:tcPr>
          <w:p w:rsidR="00C64DC7" w:rsidRDefault="00B01E5C">
            <w:pPr>
              <w:jc w:val="center"/>
            </w:pPr>
            <w:r>
              <w:rPr>
                <w:rFonts w:eastAsiaTheme="minorEastAsia"/>
                <w:color w:val="000000" w:themeColor="text1"/>
              </w:rPr>
              <w:t>14</w:t>
            </w:r>
            <w:r>
              <w:rPr>
                <w:rFonts w:eastAsiaTheme="minorEastAsia"/>
                <w:color w:val="000000" w:themeColor="text1"/>
              </w:rPr>
              <w:t>年</w:t>
            </w:r>
          </w:p>
        </w:tc>
        <w:tc>
          <w:tcPr>
            <w:tcW w:w="2694" w:type="dxa"/>
            <w:vAlign w:val="center"/>
          </w:tcPr>
          <w:p w:rsidR="00C64DC7" w:rsidRDefault="00B01E5C">
            <w:r>
              <w:rPr>
                <w:rFonts w:eastAsiaTheme="minorEastAsia"/>
                <w:color w:val="000000" w:themeColor="text1"/>
              </w:rPr>
              <w:t>陈思郁女士，英国伦敦大学学院经济学硕士，</w:t>
            </w:r>
            <w:r>
              <w:rPr>
                <w:rFonts w:eastAsiaTheme="minorEastAsia"/>
                <w:color w:val="000000" w:themeColor="text1"/>
              </w:rPr>
              <w:t>2007</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月至</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月在国泰君</w:t>
            </w:r>
            <w:r>
              <w:rPr>
                <w:rFonts w:eastAsiaTheme="minorEastAsia"/>
                <w:color w:val="000000" w:themeColor="text1"/>
              </w:rPr>
              <w:lastRenderedPageBreak/>
              <w:t>安研究所担任研究员。自</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月起加入上投摩根基金管理有限公司，历任行业专家、基金经理助理，现任国内权益投资部基金经理，自</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月起担任上投摩根双核平衡混合型证券投资基金基金经理，自</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月起同时担任上投摩根安全战略股票型证券投资基金基金经理，自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月起同时担任上投摩根景气甄选混合型证券投资基金基金经理。</w:t>
            </w:r>
          </w:p>
        </w:tc>
      </w:tr>
    </w:tbl>
    <w:p w:rsidR="00C64DC7" w:rsidRDefault="00B01E5C">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安全战略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C64DC7" w:rsidRDefault="00B01E5C">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64DC7" w:rsidRDefault="00B01E5C">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w:t>
      </w:r>
      <w:r>
        <w:rPr>
          <w:rFonts w:eastAsiaTheme="minorEastAsia"/>
          <w:color w:val="000000" w:themeColor="text1"/>
        </w:rPr>
        <w:lastRenderedPageBreak/>
        <w:t>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C64DC7" w:rsidRDefault="00B01E5C">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C64DC7" w:rsidRDefault="00B01E5C">
      <w:pPr>
        <w:spacing w:line="360" w:lineRule="auto"/>
        <w:ind w:firstLineChars="200" w:firstLine="420"/>
        <w:rPr>
          <w:rFonts w:eastAsiaTheme="minorEastAsia"/>
          <w:color w:val="000000" w:themeColor="text1"/>
        </w:rPr>
      </w:pPr>
      <w:r>
        <w:rPr>
          <w:rFonts w:eastAsiaTheme="minorEastAsia"/>
          <w:color w:val="000000" w:themeColor="text1"/>
        </w:rPr>
        <w:t>进入三季度，经济增长稳健，流动性维持中性偏宽松局面，宏观经济为市场提供了较好的环境，并且伴随着中报的披露，很多景气度高的板块业绩较好，提振了市场信心，因此三季度的前半部分，市场赚钱效应明显，本基金也是获得了不错表现；然而进入九月，随着全球能源价格飙涨，一煤难求的局面出现，各地拉闸限电，紧接着公布的</w:t>
      </w:r>
      <w:r>
        <w:rPr>
          <w:rFonts w:eastAsiaTheme="minorEastAsia"/>
          <w:color w:val="000000" w:themeColor="text1"/>
        </w:rPr>
        <w:t>PMI</w:t>
      </w:r>
      <w:r>
        <w:rPr>
          <w:rFonts w:eastAsiaTheme="minorEastAsia"/>
          <w:color w:val="000000" w:themeColor="text1"/>
        </w:rPr>
        <w:t>数据开始承压，</w:t>
      </w:r>
      <w:r>
        <w:rPr>
          <w:rFonts w:eastAsiaTheme="minorEastAsia"/>
          <w:color w:val="000000" w:themeColor="text1"/>
        </w:rPr>
        <w:t>PPI</w:t>
      </w:r>
      <w:r>
        <w:rPr>
          <w:rFonts w:eastAsiaTheme="minorEastAsia"/>
          <w:color w:val="000000" w:themeColor="text1"/>
        </w:rPr>
        <w:t>预期持续上调，这种类</w:t>
      </w:r>
      <w:r>
        <w:rPr>
          <w:rFonts w:eastAsiaTheme="minorEastAsia"/>
          <w:color w:val="000000" w:themeColor="text1"/>
        </w:rPr>
        <w:t>“</w:t>
      </w:r>
      <w:r>
        <w:rPr>
          <w:rFonts w:eastAsiaTheme="minorEastAsia"/>
          <w:color w:val="000000" w:themeColor="text1"/>
        </w:rPr>
        <w:t>滞涨</w:t>
      </w:r>
      <w:r>
        <w:rPr>
          <w:rFonts w:eastAsiaTheme="minorEastAsia"/>
          <w:color w:val="000000" w:themeColor="text1"/>
        </w:rPr>
        <w:t>”</w:t>
      </w:r>
      <w:r>
        <w:rPr>
          <w:rFonts w:eastAsiaTheme="minorEastAsia"/>
          <w:color w:val="000000" w:themeColor="text1"/>
        </w:rPr>
        <w:t>的宏观环境也对市场有了较大冲击，前期强势个股纷纷调整，本基金也出现了一定回撤。</w:t>
      </w:r>
    </w:p>
    <w:p w:rsidR="00C64DC7" w:rsidRDefault="00B01E5C">
      <w:pPr>
        <w:spacing w:line="360" w:lineRule="auto"/>
        <w:ind w:firstLineChars="200" w:firstLine="420"/>
        <w:rPr>
          <w:rFonts w:eastAsiaTheme="minorEastAsia"/>
          <w:color w:val="000000" w:themeColor="text1"/>
        </w:rPr>
      </w:pPr>
      <w:r>
        <w:rPr>
          <w:rFonts w:eastAsiaTheme="minorEastAsia"/>
          <w:color w:val="000000" w:themeColor="text1"/>
        </w:rPr>
        <w:t>展望未来，中长期而言，个人依然看好市场，在经济下行压力显现的背景下，我国流动性会</w:t>
      </w:r>
      <w:r>
        <w:rPr>
          <w:rFonts w:eastAsiaTheme="minorEastAsia"/>
          <w:color w:val="000000" w:themeColor="text1"/>
        </w:rPr>
        <w:t>保持中性偏宽松，明年美国进入中期选举，预计对内和对外政策上会偏鸽派，也给我国创造了温和的外部环境。明年我国经济会略有压力，但政策后手还有很多，财政政策仍有发力空间。随着特效药的陆续面世，后疫情时代，服务业也有望恢复，这些都为明年的市场提供较好的环境。</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但今年四季度，能源问题能不能较好解决，地产的债务违约能否缓解，美债收益率还会否上行，经济能否平稳运行，都仍有不确定性。因此本基金于三季度适当的增加了电力等历史表现相对稳健的标的，如果未来这些宏观面因素有所改善，我们会择机加仓。结构上，依然看好短期业绩高增长，中长期逻辑通顺，天花板广阔的行业龙头，如新能源汽车和部分新兴消费等。</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本报告期上投摩根安全战略股票份额净值增长率为</w:t>
      </w:r>
      <w:r w:rsidRPr="00FF6B9A">
        <w:rPr>
          <w:rFonts w:eastAsiaTheme="minorEastAsia"/>
          <w:color w:val="000000" w:themeColor="text1"/>
        </w:rPr>
        <w:t>:0.12%</w:t>
      </w:r>
      <w:r w:rsidRPr="00FF6B9A">
        <w:rPr>
          <w:rFonts w:eastAsiaTheme="minorEastAsia"/>
          <w:color w:val="000000" w:themeColor="text1"/>
        </w:rPr>
        <w:t>，同期业绩比较基准收益率</w:t>
      </w:r>
      <w:r w:rsidRPr="00FF6B9A">
        <w:rPr>
          <w:rFonts w:eastAsiaTheme="minorEastAsia"/>
          <w:color w:val="000000" w:themeColor="text1"/>
        </w:rPr>
        <w:lastRenderedPageBreak/>
        <w:t>为</w:t>
      </w:r>
      <w:r w:rsidRPr="00FF6B9A">
        <w:rPr>
          <w:rFonts w:eastAsiaTheme="minorEastAsia"/>
          <w:color w:val="000000" w:themeColor="text1"/>
        </w:rPr>
        <w:t>:-3.51%</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629,620,365.22</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81.33</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629,620,365.22</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81.33</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383,430.64</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0.05</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383,430.64</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0.05</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143,005,808.08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18.47</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1,154,250.75</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0.15</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774,163,854.69</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3,242,673.00</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0.42</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447,862,680.87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58.58</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90,527,042.00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11.84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20,183.39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26,453.25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40,233.44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9,957,249.49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37,784,506.32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4.94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40,146,345.75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5.25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9,072.49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3,925.22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629,620,365.22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82.36</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C64DC7">
        <w:tc>
          <w:tcPr>
            <w:tcW w:w="817" w:type="dxa"/>
            <w:vAlign w:val="center"/>
          </w:tcPr>
          <w:p w:rsidR="00C64DC7" w:rsidRDefault="00B01E5C">
            <w:pPr>
              <w:jc w:val="center"/>
            </w:pPr>
            <w:r>
              <w:rPr>
                <w:rFonts w:eastAsiaTheme="minorEastAsia"/>
                <w:kern w:val="0"/>
                <w:sz w:val="24"/>
                <w:szCs w:val="24"/>
              </w:rPr>
              <w:t>1</w:t>
            </w:r>
          </w:p>
        </w:tc>
        <w:tc>
          <w:tcPr>
            <w:tcW w:w="1276" w:type="dxa"/>
            <w:vAlign w:val="center"/>
          </w:tcPr>
          <w:p w:rsidR="00C64DC7" w:rsidRDefault="00B01E5C">
            <w:pPr>
              <w:jc w:val="center"/>
            </w:pPr>
            <w:r>
              <w:rPr>
                <w:rFonts w:eastAsiaTheme="minorEastAsia"/>
                <w:kern w:val="0"/>
                <w:sz w:val="24"/>
                <w:szCs w:val="24"/>
              </w:rPr>
              <w:t>600900</w:t>
            </w:r>
          </w:p>
        </w:tc>
        <w:tc>
          <w:tcPr>
            <w:tcW w:w="1701" w:type="dxa"/>
            <w:vAlign w:val="center"/>
          </w:tcPr>
          <w:p w:rsidR="00C64DC7" w:rsidRDefault="00B01E5C">
            <w:pPr>
              <w:jc w:val="center"/>
            </w:pPr>
            <w:r>
              <w:rPr>
                <w:rFonts w:eastAsiaTheme="minorEastAsia"/>
                <w:kern w:val="0"/>
                <w:sz w:val="24"/>
                <w:szCs w:val="24"/>
              </w:rPr>
              <w:t>长江电力</w:t>
            </w:r>
          </w:p>
        </w:tc>
        <w:tc>
          <w:tcPr>
            <w:tcW w:w="1276" w:type="dxa"/>
            <w:vAlign w:val="center"/>
          </w:tcPr>
          <w:p w:rsidR="00C64DC7" w:rsidRDefault="00B01E5C">
            <w:pPr>
              <w:jc w:val="right"/>
            </w:pPr>
            <w:r>
              <w:rPr>
                <w:rFonts w:eastAsiaTheme="minorEastAsia"/>
                <w:kern w:val="0"/>
                <w:sz w:val="24"/>
                <w:szCs w:val="24"/>
              </w:rPr>
              <w:t>2,458,600</w:t>
            </w:r>
          </w:p>
        </w:tc>
        <w:tc>
          <w:tcPr>
            <w:tcW w:w="1842" w:type="dxa"/>
            <w:vAlign w:val="center"/>
          </w:tcPr>
          <w:p w:rsidR="00C64DC7" w:rsidRDefault="00B01E5C">
            <w:pPr>
              <w:jc w:val="right"/>
            </w:pPr>
            <w:r>
              <w:rPr>
                <w:rFonts w:eastAsiaTheme="minorEastAsia"/>
                <w:kern w:val="0"/>
                <w:sz w:val="24"/>
                <w:szCs w:val="24"/>
              </w:rPr>
              <w:t>54,089,200.00</w:t>
            </w:r>
          </w:p>
        </w:tc>
        <w:tc>
          <w:tcPr>
            <w:tcW w:w="1616" w:type="dxa"/>
            <w:vAlign w:val="center"/>
          </w:tcPr>
          <w:p w:rsidR="00C64DC7" w:rsidRDefault="00B01E5C">
            <w:pPr>
              <w:jc w:val="right"/>
            </w:pPr>
            <w:r>
              <w:rPr>
                <w:rFonts w:eastAsiaTheme="minorEastAsia"/>
                <w:kern w:val="0"/>
                <w:sz w:val="24"/>
                <w:szCs w:val="24"/>
              </w:rPr>
              <w:t>7.08</w:t>
            </w:r>
          </w:p>
        </w:tc>
      </w:tr>
      <w:tr w:rsidR="00C64DC7">
        <w:tc>
          <w:tcPr>
            <w:tcW w:w="817" w:type="dxa"/>
            <w:vAlign w:val="center"/>
          </w:tcPr>
          <w:p w:rsidR="00C64DC7" w:rsidRDefault="00B01E5C">
            <w:pPr>
              <w:jc w:val="center"/>
            </w:pPr>
            <w:r>
              <w:rPr>
                <w:rFonts w:eastAsiaTheme="minorEastAsia"/>
                <w:kern w:val="0"/>
                <w:sz w:val="24"/>
                <w:szCs w:val="24"/>
              </w:rPr>
              <w:t>2</w:t>
            </w:r>
          </w:p>
        </w:tc>
        <w:tc>
          <w:tcPr>
            <w:tcW w:w="1276" w:type="dxa"/>
            <w:vAlign w:val="center"/>
          </w:tcPr>
          <w:p w:rsidR="00C64DC7" w:rsidRDefault="00B01E5C">
            <w:pPr>
              <w:jc w:val="center"/>
            </w:pPr>
            <w:r>
              <w:rPr>
                <w:rFonts w:eastAsiaTheme="minorEastAsia"/>
                <w:kern w:val="0"/>
                <w:sz w:val="24"/>
                <w:szCs w:val="24"/>
              </w:rPr>
              <w:t>300390</w:t>
            </w:r>
          </w:p>
        </w:tc>
        <w:tc>
          <w:tcPr>
            <w:tcW w:w="1701" w:type="dxa"/>
            <w:vAlign w:val="center"/>
          </w:tcPr>
          <w:p w:rsidR="00C64DC7" w:rsidRDefault="00B01E5C">
            <w:pPr>
              <w:jc w:val="center"/>
            </w:pPr>
            <w:r>
              <w:rPr>
                <w:rFonts w:eastAsiaTheme="minorEastAsia"/>
                <w:kern w:val="0"/>
                <w:sz w:val="24"/>
                <w:szCs w:val="24"/>
              </w:rPr>
              <w:t>天华超净</w:t>
            </w:r>
          </w:p>
        </w:tc>
        <w:tc>
          <w:tcPr>
            <w:tcW w:w="1276" w:type="dxa"/>
            <w:vAlign w:val="center"/>
          </w:tcPr>
          <w:p w:rsidR="00C64DC7" w:rsidRDefault="00B01E5C">
            <w:pPr>
              <w:jc w:val="right"/>
            </w:pPr>
            <w:r>
              <w:rPr>
                <w:rFonts w:eastAsiaTheme="minorEastAsia"/>
                <w:kern w:val="0"/>
                <w:sz w:val="24"/>
                <w:szCs w:val="24"/>
              </w:rPr>
              <w:t>447,984</w:t>
            </w:r>
          </w:p>
        </w:tc>
        <w:tc>
          <w:tcPr>
            <w:tcW w:w="1842" w:type="dxa"/>
            <w:vAlign w:val="center"/>
          </w:tcPr>
          <w:p w:rsidR="00C64DC7" w:rsidRDefault="00B01E5C">
            <w:pPr>
              <w:jc w:val="right"/>
            </w:pPr>
            <w:r>
              <w:rPr>
                <w:rFonts w:eastAsiaTheme="minorEastAsia"/>
                <w:kern w:val="0"/>
                <w:sz w:val="24"/>
                <w:szCs w:val="24"/>
              </w:rPr>
              <w:t>48,091,082.40</w:t>
            </w:r>
          </w:p>
        </w:tc>
        <w:tc>
          <w:tcPr>
            <w:tcW w:w="1616" w:type="dxa"/>
            <w:vAlign w:val="center"/>
          </w:tcPr>
          <w:p w:rsidR="00C64DC7" w:rsidRDefault="00B01E5C">
            <w:pPr>
              <w:jc w:val="right"/>
            </w:pPr>
            <w:r>
              <w:rPr>
                <w:rFonts w:eastAsiaTheme="minorEastAsia"/>
                <w:kern w:val="0"/>
                <w:sz w:val="24"/>
                <w:szCs w:val="24"/>
              </w:rPr>
              <w:t>6.29</w:t>
            </w:r>
          </w:p>
        </w:tc>
      </w:tr>
      <w:tr w:rsidR="00C64DC7">
        <w:tc>
          <w:tcPr>
            <w:tcW w:w="817" w:type="dxa"/>
            <w:vAlign w:val="center"/>
          </w:tcPr>
          <w:p w:rsidR="00C64DC7" w:rsidRDefault="00B01E5C">
            <w:pPr>
              <w:jc w:val="center"/>
            </w:pPr>
            <w:r>
              <w:rPr>
                <w:rFonts w:eastAsiaTheme="minorEastAsia"/>
                <w:kern w:val="0"/>
                <w:sz w:val="24"/>
                <w:szCs w:val="24"/>
              </w:rPr>
              <w:t>3</w:t>
            </w:r>
          </w:p>
        </w:tc>
        <w:tc>
          <w:tcPr>
            <w:tcW w:w="1276" w:type="dxa"/>
            <w:vAlign w:val="center"/>
          </w:tcPr>
          <w:p w:rsidR="00C64DC7" w:rsidRDefault="00B01E5C">
            <w:pPr>
              <w:jc w:val="center"/>
            </w:pPr>
            <w:r>
              <w:rPr>
                <w:rFonts w:eastAsiaTheme="minorEastAsia"/>
                <w:kern w:val="0"/>
                <w:sz w:val="24"/>
                <w:szCs w:val="24"/>
              </w:rPr>
              <w:t>002812</w:t>
            </w:r>
          </w:p>
        </w:tc>
        <w:tc>
          <w:tcPr>
            <w:tcW w:w="1701" w:type="dxa"/>
            <w:vAlign w:val="center"/>
          </w:tcPr>
          <w:p w:rsidR="00C64DC7" w:rsidRDefault="00B01E5C">
            <w:pPr>
              <w:jc w:val="center"/>
            </w:pPr>
            <w:r>
              <w:rPr>
                <w:rFonts w:eastAsiaTheme="minorEastAsia"/>
                <w:kern w:val="0"/>
                <w:sz w:val="24"/>
                <w:szCs w:val="24"/>
              </w:rPr>
              <w:t>恩捷股份</w:t>
            </w:r>
          </w:p>
        </w:tc>
        <w:tc>
          <w:tcPr>
            <w:tcW w:w="1276" w:type="dxa"/>
            <w:vAlign w:val="center"/>
          </w:tcPr>
          <w:p w:rsidR="00C64DC7" w:rsidRDefault="00B01E5C">
            <w:pPr>
              <w:jc w:val="right"/>
            </w:pPr>
            <w:r>
              <w:rPr>
                <w:rFonts w:eastAsiaTheme="minorEastAsia"/>
                <w:kern w:val="0"/>
                <w:sz w:val="24"/>
                <w:szCs w:val="24"/>
              </w:rPr>
              <w:t>158,732</w:t>
            </w:r>
          </w:p>
        </w:tc>
        <w:tc>
          <w:tcPr>
            <w:tcW w:w="1842" w:type="dxa"/>
            <w:vAlign w:val="center"/>
          </w:tcPr>
          <w:p w:rsidR="00C64DC7" w:rsidRDefault="00B01E5C">
            <w:pPr>
              <w:jc w:val="right"/>
            </w:pPr>
            <w:r>
              <w:rPr>
                <w:rFonts w:eastAsiaTheme="minorEastAsia"/>
                <w:kern w:val="0"/>
                <w:sz w:val="24"/>
                <w:szCs w:val="24"/>
              </w:rPr>
              <w:t>44,464,007.84</w:t>
            </w:r>
          </w:p>
        </w:tc>
        <w:tc>
          <w:tcPr>
            <w:tcW w:w="1616" w:type="dxa"/>
            <w:vAlign w:val="center"/>
          </w:tcPr>
          <w:p w:rsidR="00C64DC7" w:rsidRDefault="00B01E5C">
            <w:pPr>
              <w:jc w:val="right"/>
            </w:pPr>
            <w:r>
              <w:rPr>
                <w:rFonts w:eastAsiaTheme="minorEastAsia"/>
                <w:kern w:val="0"/>
                <w:sz w:val="24"/>
                <w:szCs w:val="24"/>
              </w:rPr>
              <w:t>5.82</w:t>
            </w:r>
          </w:p>
        </w:tc>
      </w:tr>
      <w:tr w:rsidR="00C64DC7">
        <w:tc>
          <w:tcPr>
            <w:tcW w:w="817" w:type="dxa"/>
            <w:vAlign w:val="center"/>
          </w:tcPr>
          <w:p w:rsidR="00C64DC7" w:rsidRDefault="00B01E5C">
            <w:pPr>
              <w:jc w:val="center"/>
            </w:pPr>
            <w:r>
              <w:rPr>
                <w:rFonts w:eastAsiaTheme="minorEastAsia"/>
                <w:kern w:val="0"/>
                <w:sz w:val="24"/>
                <w:szCs w:val="24"/>
              </w:rPr>
              <w:t>4</w:t>
            </w:r>
          </w:p>
        </w:tc>
        <w:tc>
          <w:tcPr>
            <w:tcW w:w="1276" w:type="dxa"/>
            <w:vAlign w:val="center"/>
          </w:tcPr>
          <w:p w:rsidR="00C64DC7" w:rsidRDefault="00B01E5C">
            <w:pPr>
              <w:jc w:val="center"/>
            </w:pPr>
            <w:r>
              <w:rPr>
                <w:rFonts w:eastAsiaTheme="minorEastAsia"/>
                <w:kern w:val="0"/>
                <w:sz w:val="24"/>
                <w:szCs w:val="24"/>
              </w:rPr>
              <w:t>002709</w:t>
            </w:r>
          </w:p>
        </w:tc>
        <w:tc>
          <w:tcPr>
            <w:tcW w:w="1701" w:type="dxa"/>
            <w:vAlign w:val="center"/>
          </w:tcPr>
          <w:p w:rsidR="00C64DC7" w:rsidRDefault="00B01E5C">
            <w:pPr>
              <w:jc w:val="center"/>
            </w:pPr>
            <w:r>
              <w:rPr>
                <w:rFonts w:eastAsiaTheme="minorEastAsia"/>
                <w:kern w:val="0"/>
                <w:sz w:val="24"/>
                <w:szCs w:val="24"/>
              </w:rPr>
              <w:t>天赐材料</w:t>
            </w:r>
          </w:p>
        </w:tc>
        <w:tc>
          <w:tcPr>
            <w:tcW w:w="1276" w:type="dxa"/>
            <w:vAlign w:val="center"/>
          </w:tcPr>
          <w:p w:rsidR="00C64DC7" w:rsidRDefault="00B01E5C">
            <w:pPr>
              <w:jc w:val="right"/>
            </w:pPr>
            <w:r>
              <w:rPr>
                <w:rFonts w:eastAsiaTheme="minorEastAsia"/>
                <w:kern w:val="0"/>
                <w:sz w:val="24"/>
                <w:szCs w:val="24"/>
              </w:rPr>
              <w:t>169,210</w:t>
            </w:r>
          </w:p>
        </w:tc>
        <w:tc>
          <w:tcPr>
            <w:tcW w:w="1842" w:type="dxa"/>
            <w:vAlign w:val="center"/>
          </w:tcPr>
          <w:p w:rsidR="00C64DC7" w:rsidRDefault="00B01E5C">
            <w:pPr>
              <w:jc w:val="right"/>
            </w:pPr>
            <w:r>
              <w:rPr>
                <w:rFonts w:eastAsiaTheme="minorEastAsia"/>
                <w:kern w:val="0"/>
                <w:sz w:val="24"/>
                <w:szCs w:val="24"/>
              </w:rPr>
              <w:t>25,740,225.20</w:t>
            </w:r>
          </w:p>
        </w:tc>
        <w:tc>
          <w:tcPr>
            <w:tcW w:w="1616" w:type="dxa"/>
            <w:vAlign w:val="center"/>
          </w:tcPr>
          <w:p w:rsidR="00C64DC7" w:rsidRDefault="00B01E5C">
            <w:pPr>
              <w:jc w:val="right"/>
            </w:pPr>
            <w:r>
              <w:rPr>
                <w:rFonts w:eastAsiaTheme="minorEastAsia"/>
                <w:kern w:val="0"/>
                <w:sz w:val="24"/>
                <w:szCs w:val="24"/>
              </w:rPr>
              <w:t>3.37</w:t>
            </w:r>
          </w:p>
        </w:tc>
      </w:tr>
      <w:tr w:rsidR="00C64DC7">
        <w:tc>
          <w:tcPr>
            <w:tcW w:w="817" w:type="dxa"/>
            <w:vAlign w:val="center"/>
          </w:tcPr>
          <w:p w:rsidR="00C64DC7" w:rsidRDefault="00B01E5C">
            <w:pPr>
              <w:jc w:val="center"/>
            </w:pPr>
            <w:r>
              <w:rPr>
                <w:rFonts w:eastAsiaTheme="minorEastAsia"/>
                <w:kern w:val="0"/>
                <w:sz w:val="24"/>
                <w:szCs w:val="24"/>
              </w:rPr>
              <w:t>5</w:t>
            </w:r>
          </w:p>
        </w:tc>
        <w:tc>
          <w:tcPr>
            <w:tcW w:w="1276" w:type="dxa"/>
            <w:vAlign w:val="center"/>
          </w:tcPr>
          <w:p w:rsidR="00C64DC7" w:rsidRDefault="00B01E5C">
            <w:pPr>
              <w:jc w:val="center"/>
            </w:pPr>
            <w:r>
              <w:rPr>
                <w:rFonts w:eastAsiaTheme="minorEastAsia"/>
                <w:kern w:val="0"/>
                <w:sz w:val="24"/>
                <w:szCs w:val="24"/>
              </w:rPr>
              <w:t>600110</w:t>
            </w:r>
          </w:p>
        </w:tc>
        <w:tc>
          <w:tcPr>
            <w:tcW w:w="1701" w:type="dxa"/>
            <w:vAlign w:val="center"/>
          </w:tcPr>
          <w:p w:rsidR="00C64DC7" w:rsidRDefault="00B01E5C">
            <w:pPr>
              <w:jc w:val="center"/>
            </w:pPr>
            <w:r>
              <w:rPr>
                <w:rFonts w:eastAsiaTheme="minorEastAsia"/>
                <w:kern w:val="0"/>
                <w:sz w:val="24"/>
                <w:szCs w:val="24"/>
              </w:rPr>
              <w:t>诺德股份</w:t>
            </w:r>
          </w:p>
        </w:tc>
        <w:tc>
          <w:tcPr>
            <w:tcW w:w="1276" w:type="dxa"/>
            <w:vAlign w:val="center"/>
          </w:tcPr>
          <w:p w:rsidR="00C64DC7" w:rsidRDefault="00B01E5C">
            <w:pPr>
              <w:jc w:val="right"/>
            </w:pPr>
            <w:r>
              <w:rPr>
                <w:rFonts w:eastAsiaTheme="minorEastAsia"/>
                <w:kern w:val="0"/>
                <w:sz w:val="24"/>
                <w:szCs w:val="24"/>
              </w:rPr>
              <w:t>1,167,908</w:t>
            </w:r>
          </w:p>
        </w:tc>
        <w:tc>
          <w:tcPr>
            <w:tcW w:w="1842" w:type="dxa"/>
            <w:vAlign w:val="center"/>
          </w:tcPr>
          <w:p w:rsidR="00C64DC7" w:rsidRDefault="00B01E5C">
            <w:pPr>
              <w:jc w:val="right"/>
            </w:pPr>
            <w:r>
              <w:rPr>
                <w:rFonts w:eastAsiaTheme="minorEastAsia"/>
                <w:kern w:val="0"/>
                <w:sz w:val="24"/>
                <w:szCs w:val="24"/>
              </w:rPr>
              <w:t>25,004,910.28</w:t>
            </w:r>
          </w:p>
        </w:tc>
        <w:tc>
          <w:tcPr>
            <w:tcW w:w="1616" w:type="dxa"/>
            <w:vAlign w:val="center"/>
          </w:tcPr>
          <w:p w:rsidR="00C64DC7" w:rsidRDefault="00B01E5C">
            <w:pPr>
              <w:jc w:val="right"/>
            </w:pPr>
            <w:r>
              <w:rPr>
                <w:rFonts w:eastAsiaTheme="minorEastAsia"/>
                <w:kern w:val="0"/>
                <w:sz w:val="24"/>
                <w:szCs w:val="24"/>
              </w:rPr>
              <w:t>3.27</w:t>
            </w:r>
          </w:p>
        </w:tc>
      </w:tr>
      <w:tr w:rsidR="00C64DC7">
        <w:tc>
          <w:tcPr>
            <w:tcW w:w="817" w:type="dxa"/>
            <w:vAlign w:val="center"/>
          </w:tcPr>
          <w:p w:rsidR="00C64DC7" w:rsidRDefault="00B01E5C">
            <w:pPr>
              <w:jc w:val="center"/>
            </w:pPr>
            <w:r>
              <w:rPr>
                <w:rFonts w:eastAsiaTheme="minorEastAsia"/>
                <w:kern w:val="0"/>
                <w:sz w:val="24"/>
                <w:szCs w:val="24"/>
              </w:rPr>
              <w:t>6</w:t>
            </w:r>
          </w:p>
        </w:tc>
        <w:tc>
          <w:tcPr>
            <w:tcW w:w="1276" w:type="dxa"/>
            <w:vAlign w:val="center"/>
          </w:tcPr>
          <w:p w:rsidR="00C64DC7" w:rsidRDefault="00B01E5C">
            <w:pPr>
              <w:jc w:val="center"/>
            </w:pPr>
            <w:r>
              <w:rPr>
                <w:rFonts w:eastAsiaTheme="minorEastAsia"/>
                <w:kern w:val="0"/>
                <w:sz w:val="24"/>
                <w:szCs w:val="24"/>
              </w:rPr>
              <w:t>603659</w:t>
            </w:r>
          </w:p>
        </w:tc>
        <w:tc>
          <w:tcPr>
            <w:tcW w:w="1701" w:type="dxa"/>
            <w:vAlign w:val="center"/>
          </w:tcPr>
          <w:p w:rsidR="00C64DC7" w:rsidRDefault="00B01E5C">
            <w:pPr>
              <w:jc w:val="center"/>
            </w:pPr>
            <w:r>
              <w:rPr>
                <w:rFonts w:eastAsiaTheme="minorEastAsia"/>
                <w:kern w:val="0"/>
                <w:sz w:val="24"/>
                <w:szCs w:val="24"/>
              </w:rPr>
              <w:t>璞泰来</w:t>
            </w:r>
          </w:p>
        </w:tc>
        <w:tc>
          <w:tcPr>
            <w:tcW w:w="1276" w:type="dxa"/>
            <w:vAlign w:val="center"/>
          </w:tcPr>
          <w:p w:rsidR="00C64DC7" w:rsidRDefault="00B01E5C">
            <w:pPr>
              <w:jc w:val="right"/>
            </w:pPr>
            <w:r>
              <w:rPr>
                <w:rFonts w:eastAsiaTheme="minorEastAsia"/>
                <w:kern w:val="0"/>
                <w:sz w:val="24"/>
                <w:szCs w:val="24"/>
              </w:rPr>
              <w:t>145,050</w:t>
            </w:r>
          </w:p>
        </w:tc>
        <w:tc>
          <w:tcPr>
            <w:tcW w:w="1842" w:type="dxa"/>
            <w:vAlign w:val="center"/>
          </w:tcPr>
          <w:p w:rsidR="00C64DC7" w:rsidRDefault="00B01E5C">
            <w:pPr>
              <w:jc w:val="right"/>
            </w:pPr>
            <w:r>
              <w:rPr>
                <w:rFonts w:eastAsiaTheme="minorEastAsia"/>
                <w:kern w:val="0"/>
                <w:sz w:val="24"/>
                <w:szCs w:val="24"/>
              </w:rPr>
              <w:t>24,948,600.00</w:t>
            </w:r>
          </w:p>
        </w:tc>
        <w:tc>
          <w:tcPr>
            <w:tcW w:w="1616" w:type="dxa"/>
            <w:vAlign w:val="center"/>
          </w:tcPr>
          <w:p w:rsidR="00C64DC7" w:rsidRDefault="00B01E5C">
            <w:pPr>
              <w:jc w:val="right"/>
            </w:pPr>
            <w:r>
              <w:rPr>
                <w:rFonts w:eastAsiaTheme="minorEastAsia"/>
                <w:kern w:val="0"/>
                <w:sz w:val="24"/>
                <w:szCs w:val="24"/>
              </w:rPr>
              <w:t>3.26</w:t>
            </w:r>
          </w:p>
        </w:tc>
      </w:tr>
      <w:tr w:rsidR="00C64DC7">
        <w:tc>
          <w:tcPr>
            <w:tcW w:w="817" w:type="dxa"/>
            <w:vAlign w:val="center"/>
          </w:tcPr>
          <w:p w:rsidR="00C64DC7" w:rsidRDefault="00B01E5C">
            <w:pPr>
              <w:jc w:val="center"/>
            </w:pPr>
            <w:r>
              <w:rPr>
                <w:rFonts w:eastAsiaTheme="minorEastAsia"/>
                <w:kern w:val="0"/>
                <w:sz w:val="24"/>
                <w:szCs w:val="24"/>
              </w:rPr>
              <w:t>7</w:t>
            </w:r>
          </w:p>
        </w:tc>
        <w:tc>
          <w:tcPr>
            <w:tcW w:w="1276" w:type="dxa"/>
            <w:vAlign w:val="center"/>
          </w:tcPr>
          <w:p w:rsidR="00C64DC7" w:rsidRDefault="00B01E5C">
            <w:pPr>
              <w:jc w:val="center"/>
            </w:pPr>
            <w:r>
              <w:rPr>
                <w:rFonts w:eastAsiaTheme="minorEastAsia"/>
                <w:kern w:val="0"/>
                <w:sz w:val="24"/>
                <w:szCs w:val="24"/>
              </w:rPr>
              <w:t>600461</w:t>
            </w:r>
          </w:p>
        </w:tc>
        <w:tc>
          <w:tcPr>
            <w:tcW w:w="1701" w:type="dxa"/>
            <w:vAlign w:val="center"/>
          </w:tcPr>
          <w:p w:rsidR="00C64DC7" w:rsidRDefault="00B01E5C">
            <w:pPr>
              <w:jc w:val="center"/>
            </w:pPr>
            <w:r>
              <w:rPr>
                <w:rFonts w:eastAsiaTheme="minorEastAsia"/>
                <w:kern w:val="0"/>
                <w:sz w:val="24"/>
                <w:szCs w:val="24"/>
              </w:rPr>
              <w:t>洪城环境</w:t>
            </w:r>
          </w:p>
        </w:tc>
        <w:tc>
          <w:tcPr>
            <w:tcW w:w="1276" w:type="dxa"/>
            <w:vAlign w:val="center"/>
          </w:tcPr>
          <w:p w:rsidR="00C64DC7" w:rsidRDefault="00B01E5C">
            <w:pPr>
              <w:jc w:val="right"/>
            </w:pPr>
            <w:r>
              <w:rPr>
                <w:rFonts w:eastAsiaTheme="minorEastAsia"/>
                <w:kern w:val="0"/>
                <w:sz w:val="24"/>
                <w:szCs w:val="24"/>
              </w:rPr>
              <w:t>2,646,100</w:t>
            </w:r>
          </w:p>
        </w:tc>
        <w:tc>
          <w:tcPr>
            <w:tcW w:w="1842" w:type="dxa"/>
            <w:vAlign w:val="center"/>
          </w:tcPr>
          <w:p w:rsidR="00C64DC7" w:rsidRDefault="00B01E5C">
            <w:pPr>
              <w:jc w:val="right"/>
            </w:pPr>
            <w:r>
              <w:rPr>
                <w:rFonts w:eastAsiaTheme="minorEastAsia"/>
                <w:kern w:val="0"/>
                <w:sz w:val="24"/>
                <w:szCs w:val="24"/>
              </w:rPr>
              <w:t>22,386,006.00</w:t>
            </w:r>
          </w:p>
        </w:tc>
        <w:tc>
          <w:tcPr>
            <w:tcW w:w="1616" w:type="dxa"/>
            <w:vAlign w:val="center"/>
          </w:tcPr>
          <w:p w:rsidR="00C64DC7" w:rsidRDefault="00B01E5C">
            <w:pPr>
              <w:jc w:val="right"/>
            </w:pPr>
            <w:r>
              <w:rPr>
                <w:rFonts w:eastAsiaTheme="minorEastAsia"/>
                <w:kern w:val="0"/>
                <w:sz w:val="24"/>
                <w:szCs w:val="24"/>
              </w:rPr>
              <w:t>2.93</w:t>
            </w:r>
          </w:p>
        </w:tc>
      </w:tr>
      <w:tr w:rsidR="00C64DC7">
        <w:tc>
          <w:tcPr>
            <w:tcW w:w="817" w:type="dxa"/>
            <w:vAlign w:val="center"/>
          </w:tcPr>
          <w:p w:rsidR="00C64DC7" w:rsidRDefault="00B01E5C">
            <w:pPr>
              <w:jc w:val="center"/>
            </w:pPr>
            <w:r>
              <w:rPr>
                <w:rFonts w:eastAsiaTheme="minorEastAsia"/>
                <w:kern w:val="0"/>
                <w:sz w:val="24"/>
                <w:szCs w:val="24"/>
              </w:rPr>
              <w:t>8</w:t>
            </w:r>
          </w:p>
        </w:tc>
        <w:tc>
          <w:tcPr>
            <w:tcW w:w="1276" w:type="dxa"/>
            <w:vAlign w:val="center"/>
          </w:tcPr>
          <w:p w:rsidR="00C64DC7" w:rsidRDefault="00B01E5C">
            <w:pPr>
              <w:jc w:val="center"/>
            </w:pPr>
            <w:r>
              <w:rPr>
                <w:rFonts w:eastAsiaTheme="minorEastAsia"/>
                <w:kern w:val="0"/>
                <w:sz w:val="24"/>
                <w:szCs w:val="24"/>
              </w:rPr>
              <w:t>300363</w:t>
            </w:r>
          </w:p>
        </w:tc>
        <w:tc>
          <w:tcPr>
            <w:tcW w:w="1701" w:type="dxa"/>
            <w:vAlign w:val="center"/>
          </w:tcPr>
          <w:p w:rsidR="00C64DC7" w:rsidRDefault="00B01E5C">
            <w:pPr>
              <w:jc w:val="center"/>
            </w:pPr>
            <w:r>
              <w:rPr>
                <w:rFonts w:eastAsiaTheme="minorEastAsia"/>
                <w:kern w:val="0"/>
                <w:sz w:val="24"/>
                <w:szCs w:val="24"/>
              </w:rPr>
              <w:t>博腾股份</w:t>
            </w:r>
          </w:p>
        </w:tc>
        <w:tc>
          <w:tcPr>
            <w:tcW w:w="1276" w:type="dxa"/>
            <w:vAlign w:val="center"/>
          </w:tcPr>
          <w:p w:rsidR="00C64DC7" w:rsidRDefault="00B01E5C">
            <w:pPr>
              <w:jc w:val="right"/>
            </w:pPr>
            <w:r>
              <w:rPr>
                <w:rFonts w:eastAsiaTheme="minorEastAsia"/>
                <w:kern w:val="0"/>
                <w:sz w:val="24"/>
                <w:szCs w:val="24"/>
              </w:rPr>
              <w:t>213,653</w:t>
            </w:r>
          </w:p>
        </w:tc>
        <w:tc>
          <w:tcPr>
            <w:tcW w:w="1842" w:type="dxa"/>
            <w:vAlign w:val="center"/>
          </w:tcPr>
          <w:p w:rsidR="00C64DC7" w:rsidRDefault="00B01E5C">
            <w:pPr>
              <w:jc w:val="right"/>
            </w:pPr>
            <w:r>
              <w:rPr>
                <w:rFonts w:eastAsiaTheme="minorEastAsia"/>
                <w:kern w:val="0"/>
                <w:sz w:val="24"/>
                <w:szCs w:val="24"/>
              </w:rPr>
              <w:t>20,352,584.78</w:t>
            </w:r>
          </w:p>
        </w:tc>
        <w:tc>
          <w:tcPr>
            <w:tcW w:w="1616" w:type="dxa"/>
            <w:vAlign w:val="center"/>
          </w:tcPr>
          <w:p w:rsidR="00C64DC7" w:rsidRDefault="00B01E5C">
            <w:pPr>
              <w:jc w:val="right"/>
            </w:pPr>
            <w:r>
              <w:rPr>
                <w:rFonts w:eastAsiaTheme="minorEastAsia"/>
                <w:kern w:val="0"/>
                <w:sz w:val="24"/>
                <w:szCs w:val="24"/>
              </w:rPr>
              <w:t>2.66</w:t>
            </w:r>
          </w:p>
        </w:tc>
      </w:tr>
      <w:tr w:rsidR="00C64DC7">
        <w:tc>
          <w:tcPr>
            <w:tcW w:w="817" w:type="dxa"/>
            <w:vAlign w:val="center"/>
          </w:tcPr>
          <w:p w:rsidR="00C64DC7" w:rsidRDefault="00B01E5C">
            <w:pPr>
              <w:jc w:val="center"/>
            </w:pPr>
            <w:r>
              <w:rPr>
                <w:rFonts w:eastAsiaTheme="minorEastAsia"/>
                <w:kern w:val="0"/>
                <w:sz w:val="24"/>
                <w:szCs w:val="24"/>
              </w:rPr>
              <w:t>9</w:t>
            </w:r>
          </w:p>
        </w:tc>
        <w:tc>
          <w:tcPr>
            <w:tcW w:w="1276" w:type="dxa"/>
            <w:vAlign w:val="center"/>
          </w:tcPr>
          <w:p w:rsidR="00C64DC7" w:rsidRDefault="00B01E5C">
            <w:pPr>
              <w:jc w:val="center"/>
            </w:pPr>
            <w:r>
              <w:rPr>
                <w:rFonts w:eastAsiaTheme="minorEastAsia"/>
                <w:kern w:val="0"/>
                <w:sz w:val="24"/>
                <w:szCs w:val="24"/>
              </w:rPr>
              <w:t>003022</w:t>
            </w:r>
          </w:p>
        </w:tc>
        <w:tc>
          <w:tcPr>
            <w:tcW w:w="1701" w:type="dxa"/>
            <w:vAlign w:val="center"/>
          </w:tcPr>
          <w:p w:rsidR="00C64DC7" w:rsidRDefault="00B01E5C">
            <w:pPr>
              <w:jc w:val="center"/>
            </w:pPr>
            <w:r>
              <w:rPr>
                <w:rFonts w:eastAsiaTheme="minorEastAsia"/>
                <w:kern w:val="0"/>
                <w:sz w:val="24"/>
                <w:szCs w:val="24"/>
              </w:rPr>
              <w:t>联泓新科</w:t>
            </w:r>
          </w:p>
        </w:tc>
        <w:tc>
          <w:tcPr>
            <w:tcW w:w="1276" w:type="dxa"/>
            <w:vAlign w:val="center"/>
          </w:tcPr>
          <w:p w:rsidR="00C64DC7" w:rsidRDefault="00B01E5C">
            <w:pPr>
              <w:jc w:val="right"/>
            </w:pPr>
            <w:r>
              <w:rPr>
                <w:rFonts w:eastAsiaTheme="minorEastAsia"/>
                <w:kern w:val="0"/>
                <w:sz w:val="24"/>
                <w:szCs w:val="24"/>
              </w:rPr>
              <w:t>324,141</w:t>
            </w:r>
          </w:p>
        </w:tc>
        <w:tc>
          <w:tcPr>
            <w:tcW w:w="1842" w:type="dxa"/>
            <w:vAlign w:val="center"/>
          </w:tcPr>
          <w:p w:rsidR="00C64DC7" w:rsidRDefault="00B01E5C">
            <w:pPr>
              <w:jc w:val="right"/>
            </w:pPr>
            <w:r>
              <w:rPr>
                <w:rFonts w:eastAsiaTheme="minorEastAsia"/>
                <w:kern w:val="0"/>
                <w:sz w:val="24"/>
                <w:szCs w:val="24"/>
              </w:rPr>
              <w:t>17,772,651.03</w:t>
            </w:r>
          </w:p>
        </w:tc>
        <w:tc>
          <w:tcPr>
            <w:tcW w:w="1616" w:type="dxa"/>
            <w:vAlign w:val="center"/>
          </w:tcPr>
          <w:p w:rsidR="00C64DC7" w:rsidRDefault="00B01E5C">
            <w:pPr>
              <w:jc w:val="right"/>
            </w:pPr>
            <w:r>
              <w:rPr>
                <w:rFonts w:eastAsiaTheme="minorEastAsia"/>
                <w:kern w:val="0"/>
                <w:sz w:val="24"/>
                <w:szCs w:val="24"/>
              </w:rPr>
              <w:t>2.32</w:t>
            </w:r>
          </w:p>
        </w:tc>
      </w:tr>
      <w:tr w:rsidR="00C64DC7">
        <w:tc>
          <w:tcPr>
            <w:tcW w:w="817" w:type="dxa"/>
            <w:vAlign w:val="center"/>
          </w:tcPr>
          <w:p w:rsidR="00C64DC7" w:rsidRDefault="00B01E5C">
            <w:pPr>
              <w:jc w:val="center"/>
            </w:pPr>
            <w:r>
              <w:rPr>
                <w:rFonts w:eastAsiaTheme="minorEastAsia"/>
                <w:kern w:val="0"/>
                <w:sz w:val="24"/>
                <w:szCs w:val="24"/>
              </w:rPr>
              <w:t>10</w:t>
            </w:r>
          </w:p>
        </w:tc>
        <w:tc>
          <w:tcPr>
            <w:tcW w:w="1276" w:type="dxa"/>
            <w:vAlign w:val="center"/>
          </w:tcPr>
          <w:p w:rsidR="00C64DC7" w:rsidRDefault="00B01E5C">
            <w:pPr>
              <w:jc w:val="center"/>
            </w:pPr>
            <w:r>
              <w:rPr>
                <w:rFonts w:eastAsiaTheme="minorEastAsia"/>
                <w:kern w:val="0"/>
                <w:sz w:val="24"/>
                <w:szCs w:val="24"/>
              </w:rPr>
              <w:t>300750</w:t>
            </w:r>
          </w:p>
        </w:tc>
        <w:tc>
          <w:tcPr>
            <w:tcW w:w="1701" w:type="dxa"/>
            <w:vAlign w:val="center"/>
          </w:tcPr>
          <w:p w:rsidR="00C64DC7" w:rsidRDefault="00B01E5C">
            <w:pPr>
              <w:jc w:val="center"/>
            </w:pPr>
            <w:r>
              <w:rPr>
                <w:rFonts w:eastAsiaTheme="minorEastAsia"/>
                <w:kern w:val="0"/>
                <w:sz w:val="24"/>
                <w:szCs w:val="24"/>
              </w:rPr>
              <w:t>宁德时代</w:t>
            </w:r>
          </w:p>
        </w:tc>
        <w:tc>
          <w:tcPr>
            <w:tcW w:w="1276" w:type="dxa"/>
            <w:vAlign w:val="center"/>
          </w:tcPr>
          <w:p w:rsidR="00C64DC7" w:rsidRDefault="00B01E5C">
            <w:pPr>
              <w:jc w:val="right"/>
            </w:pPr>
            <w:r>
              <w:rPr>
                <w:rFonts w:eastAsiaTheme="minorEastAsia"/>
                <w:kern w:val="0"/>
                <w:sz w:val="24"/>
                <w:szCs w:val="24"/>
              </w:rPr>
              <w:t>30,516</w:t>
            </w:r>
          </w:p>
        </w:tc>
        <w:tc>
          <w:tcPr>
            <w:tcW w:w="1842" w:type="dxa"/>
            <w:vAlign w:val="center"/>
          </w:tcPr>
          <w:p w:rsidR="00C64DC7" w:rsidRDefault="00B01E5C">
            <w:pPr>
              <w:jc w:val="right"/>
            </w:pPr>
            <w:r>
              <w:rPr>
                <w:rFonts w:eastAsiaTheme="minorEastAsia"/>
                <w:kern w:val="0"/>
                <w:sz w:val="24"/>
                <w:szCs w:val="24"/>
              </w:rPr>
              <w:t>16,043,176.68</w:t>
            </w:r>
          </w:p>
        </w:tc>
        <w:tc>
          <w:tcPr>
            <w:tcW w:w="1616" w:type="dxa"/>
            <w:vAlign w:val="center"/>
          </w:tcPr>
          <w:p w:rsidR="00C64DC7" w:rsidRDefault="00B01E5C">
            <w:pPr>
              <w:jc w:val="right"/>
            </w:pPr>
            <w:r>
              <w:rPr>
                <w:rFonts w:eastAsiaTheme="minorEastAsia"/>
                <w:kern w:val="0"/>
                <w:sz w:val="24"/>
                <w:szCs w:val="24"/>
              </w:rPr>
              <w:t>2.10</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383,430.64</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0.05</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383,430.64</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0.05</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C64DC7">
        <w:tc>
          <w:tcPr>
            <w:tcW w:w="1252" w:type="dxa"/>
            <w:vAlign w:val="center"/>
          </w:tcPr>
          <w:p w:rsidR="00C64DC7" w:rsidRDefault="00B01E5C">
            <w:pPr>
              <w:jc w:val="center"/>
            </w:pPr>
            <w:r>
              <w:rPr>
                <w:rFonts w:eastAsiaTheme="minorEastAsia"/>
                <w:color w:val="000000" w:themeColor="text1"/>
                <w:kern w:val="0"/>
              </w:rPr>
              <w:t>1</w:t>
            </w:r>
          </w:p>
        </w:tc>
        <w:tc>
          <w:tcPr>
            <w:tcW w:w="1310" w:type="dxa"/>
            <w:vAlign w:val="center"/>
          </w:tcPr>
          <w:p w:rsidR="00C64DC7" w:rsidRDefault="00B01E5C">
            <w:pPr>
              <w:jc w:val="center"/>
            </w:pPr>
            <w:r>
              <w:rPr>
                <w:rFonts w:eastAsiaTheme="minorEastAsia"/>
                <w:color w:val="000000" w:themeColor="text1"/>
                <w:kern w:val="0"/>
              </w:rPr>
              <w:t>128136</w:t>
            </w:r>
          </w:p>
        </w:tc>
        <w:tc>
          <w:tcPr>
            <w:tcW w:w="1282" w:type="dxa"/>
            <w:vAlign w:val="center"/>
          </w:tcPr>
          <w:p w:rsidR="00C64DC7" w:rsidRDefault="00B01E5C">
            <w:pPr>
              <w:jc w:val="center"/>
            </w:pPr>
            <w:r>
              <w:rPr>
                <w:rFonts w:eastAsiaTheme="minorEastAsia"/>
                <w:color w:val="000000" w:themeColor="text1"/>
                <w:kern w:val="0"/>
              </w:rPr>
              <w:t>立讯转债</w:t>
            </w:r>
          </w:p>
        </w:tc>
        <w:tc>
          <w:tcPr>
            <w:tcW w:w="1426" w:type="dxa"/>
            <w:vAlign w:val="center"/>
          </w:tcPr>
          <w:p w:rsidR="00C64DC7" w:rsidRDefault="00B01E5C">
            <w:pPr>
              <w:jc w:val="right"/>
            </w:pPr>
            <w:r>
              <w:rPr>
                <w:rFonts w:eastAsiaTheme="minorEastAsia"/>
                <w:color w:val="000000" w:themeColor="text1"/>
                <w:kern w:val="0"/>
              </w:rPr>
              <w:t>3,386</w:t>
            </w:r>
          </w:p>
        </w:tc>
        <w:tc>
          <w:tcPr>
            <w:tcW w:w="1646" w:type="dxa"/>
            <w:vAlign w:val="center"/>
          </w:tcPr>
          <w:p w:rsidR="00C64DC7" w:rsidRDefault="00B01E5C">
            <w:pPr>
              <w:jc w:val="right"/>
            </w:pPr>
            <w:r>
              <w:rPr>
                <w:rFonts w:eastAsiaTheme="minorEastAsia"/>
                <w:color w:val="000000" w:themeColor="text1"/>
                <w:kern w:val="0"/>
              </w:rPr>
              <w:t>383,430.64</w:t>
            </w:r>
          </w:p>
        </w:tc>
        <w:tc>
          <w:tcPr>
            <w:tcW w:w="1612" w:type="dxa"/>
            <w:vAlign w:val="center"/>
          </w:tcPr>
          <w:p w:rsidR="00C64DC7" w:rsidRDefault="00B01E5C">
            <w:pPr>
              <w:jc w:val="right"/>
            </w:pPr>
            <w:r>
              <w:rPr>
                <w:rFonts w:eastAsiaTheme="minorEastAsia"/>
                <w:color w:val="000000" w:themeColor="text1"/>
                <w:kern w:val="0"/>
              </w:rPr>
              <w:t>0.05</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176,996.23</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21,438.73</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955,815.79</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1,154,250.75</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tbl>
      <w:tblPr>
        <w:tblStyle w:val="aff4"/>
        <w:tblW w:w="8513" w:type="dxa"/>
        <w:tblInd w:w="15" w:type="dxa"/>
        <w:tblLayout w:type="fixed"/>
        <w:tblLook w:val="04A0" w:firstRow="1" w:lastRow="0" w:firstColumn="1" w:lastColumn="0" w:noHBand="0" w:noVBand="1"/>
      </w:tblPr>
      <w:tblGrid>
        <w:gridCol w:w="1808"/>
        <w:gridCol w:w="1729"/>
        <w:gridCol w:w="1658"/>
        <w:gridCol w:w="1697"/>
        <w:gridCol w:w="1621"/>
      </w:tblGrid>
      <w:tr w:rsidR="00D06738" w:rsidRPr="00FF6B9A">
        <w:tc>
          <w:tcPr>
            <w:tcW w:w="180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65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6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21"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p>
        </w:tc>
      </w:tr>
      <w:tr w:rsidR="00C64DC7">
        <w:tc>
          <w:tcPr>
            <w:tcW w:w="1808" w:type="dxa"/>
            <w:vAlign w:val="center"/>
          </w:tcPr>
          <w:p w:rsidR="00C64DC7" w:rsidRDefault="00B01E5C">
            <w:pPr>
              <w:jc w:val="center"/>
            </w:pPr>
            <w:r>
              <w:rPr>
                <w:rFonts w:eastAsiaTheme="minorEastAsia"/>
                <w:color w:val="000000" w:themeColor="text1"/>
                <w:kern w:val="0"/>
              </w:rPr>
              <w:t>1</w:t>
            </w:r>
          </w:p>
        </w:tc>
        <w:tc>
          <w:tcPr>
            <w:tcW w:w="1729" w:type="dxa"/>
            <w:vAlign w:val="center"/>
          </w:tcPr>
          <w:p w:rsidR="00C64DC7" w:rsidRDefault="00B01E5C">
            <w:pPr>
              <w:jc w:val="center"/>
            </w:pPr>
            <w:r>
              <w:rPr>
                <w:rFonts w:eastAsiaTheme="minorEastAsia"/>
                <w:color w:val="000000" w:themeColor="text1"/>
                <w:kern w:val="0"/>
              </w:rPr>
              <w:t>128136</w:t>
            </w:r>
          </w:p>
        </w:tc>
        <w:tc>
          <w:tcPr>
            <w:tcW w:w="1658" w:type="dxa"/>
            <w:vAlign w:val="center"/>
          </w:tcPr>
          <w:p w:rsidR="00C64DC7" w:rsidRDefault="00B01E5C">
            <w:pPr>
              <w:jc w:val="center"/>
            </w:pPr>
            <w:r>
              <w:rPr>
                <w:rFonts w:eastAsiaTheme="minorEastAsia"/>
                <w:color w:val="000000" w:themeColor="text1"/>
                <w:kern w:val="0"/>
              </w:rPr>
              <w:t>立讯转债</w:t>
            </w:r>
          </w:p>
        </w:tc>
        <w:tc>
          <w:tcPr>
            <w:tcW w:w="1697" w:type="dxa"/>
            <w:vAlign w:val="center"/>
          </w:tcPr>
          <w:p w:rsidR="00C64DC7" w:rsidRDefault="00B01E5C">
            <w:pPr>
              <w:jc w:val="right"/>
            </w:pPr>
            <w:r>
              <w:rPr>
                <w:rFonts w:eastAsiaTheme="minorEastAsia"/>
                <w:color w:val="000000" w:themeColor="text1"/>
                <w:kern w:val="0"/>
              </w:rPr>
              <w:t>383,430.64</w:t>
            </w:r>
          </w:p>
        </w:tc>
        <w:tc>
          <w:tcPr>
            <w:tcW w:w="1621" w:type="dxa"/>
            <w:vAlign w:val="center"/>
          </w:tcPr>
          <w:p w:rsidR="00C64DC7" w:rsidRDefault="00B01E5C">
            <w:pPr>
              <w:jc w:val="right"/>
            </w:pPr>
            <w:r>
              <w:rPr>
                <w:rFonts w:eastAsiaTheme="minorEastAsia"/>
                <w:color w:val="000000" w:themeColor="text1"/>
                <w:kern w:val="0"/>
              </w:rPr>
              <w:t>0.05</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w:t>
      </w:r>
      <w:r w:rsidRPr="00FF6B9A">
        <w:rPr>
          <w:rFonts w:eastAsiaTheme="minorEastAsia"/>
          <w:color w:val="000000" w:themeColor="text1"/>
        </w:rPr>
        <w:t>,</w:t>
      </w:r>
      <w:r w:rsidRPr="00FF6B9A">
        <w:rPr>
          <w:rFonts w:eastAsiaTheme="minorEastAsia"/>
          <w:color w:val="000000" w:themeColor="text1"/>
        </w:rPr>
        <w:t>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322,971,076.79</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87,159,506.36</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62,725,153.66</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347,405,429.49</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C64DC7" w:rsidRDefault="00B01E5C">
      <w:pPr>
        <w:spacing w:line="360" w:lineRule="auto"/>
        <w:ind w:firstLineChars="200" w:firstLine="420"/>
        <w:rPr>
          <w:rFonts w:eastAsiaTheme="minorEastAsia"/>
          <w:color w:val="000000" w:themeColor="text1"/>
        </w:rPr>
      </w:pPr>
      <w:r>
        <w:rPr>
          <w:rFonts w:eastAsiaTheme="minorEastAsia"/>
          <w:color w:val="000000" w:themeColor="text1"/>
        </w:rPr>
        <w:t xml:space="preserve">1. </w:t>
      </w:r>
      <w:r>
        <w:rPr>
          <w:rFonts w:eastAsiaTheme="minorEastAsia"/>
          <w:color w:val="000000" w:themeColor="text1"/>
        </w:rPr>
        <w:t>中国证监会准予上投摩根安全战略股票型证券投资基金募集注册的文件；</w:t>
      </w:r>
      <w:r>
        <w:rPr>
          <w:rFonts w:eastAsiaTheme="minorEastAsia"/>
          <w:color w:val="000000" w:themeColor="text1"/>
        </w:rPr>
        <w:t xml:space="preserve"> </w:t>
      </w:r>
    </w:p>
    <w:p w:rsidR="00C64DC7" w:rsidRDefault="00B01E5C">
      <w:pPr>
        <w:spacing w:line="360" w:lineRule="auto"/>
        <w:ind w:firstLineChars="200" w:firstLine="420"/>
        <w:rPr>
          <w:rFonts w:eastAsiaTheme="minorEastAsia"/>
          <w:color w:val="000000" w:themeColor="text1"/>
        </w:rPr>
      </w:pPr>
      <w:r>
        <w:rPr>
          <w:rFonts w:eastAsiaTheme="minorEastAsia"/>
          <w:color w:val="000000" w:themeColor="text1"/>
        </w:rPr>
        <w:t xml:space="preserve">2. </w:t>
      </w:r>
      <w:r>
        <w:rPr>
          <w:rFonts w:eastAsiaTheme="minorEastAsia"/>
          <w:color w:val="000000" w:themeColor="text1"/>
        </w:rPr>
        <w:t>《上投摩根安全战略股票型证券投资基金基金合同》；</w:t>
      </w:r>
      <w:r>
        <w:rPr>
          <w:rFonts w:eastAsiaTheme="minorEastAsia"/>
          <w:color w:val="000000" w:themeColor="text1"/>
        </w:rPr>
        <w:t xml:space="preserve"> </w:t>
      </w:r>
    </w:p>
    <w:p w:rsidR="00C64DC7" w:rsidRDefault="00B01E5C">
      <w:pPr>
        <w:spacing w:line="360" w:lineRule="auto"/>
        <w:ind w:firstLineChars="200" w:firstLine="420"/>
        <w:rPr>
          <w:rFonts w:eastAsiaTheme="minorEastAsia"/>
          <w:color w:val="000000" w:themeColor="text1"/>
        </w:rPr>
      </w:pPr>
      <w:r>
        <w:rPr>
          <w:rFonts w:eastAsiaTheme="minorEastAsia"/>
          <w:color w:val="000000" w:themeColor="text1"/>
        </w:rPr>
        <w:t xml:space="preserve">3. </w:t>
      </w:r>
      <w:r>
        <w:rPr>
          <w:rFonts w:eastAsiaTheme="minorEastAsia"/>
          <w:color w:val="000000" w:themeColor="text1"/>
        </w:rPr>
        <w:t>《上投摩根安全战略股票型证券投资基金托管协议》；</w:t>
      </w:r>
    </w:p>
    <w:p w:rsidR="00C64DC7" w:rsidRDefault="00B01E5C">
      <w:pPr>
        <w:spacing w:line="360" w:lineRule="auto"/>
        <w:ind w:firstLineChars="200" w:firstLine="420"/>
        <w:rPr>
          <w:rFonts w:eastAsiaTheme="minorEastAsia"/>
          <w:color w:val="000000" w:themeColor="text1"/>
        </w:rPr>
      </w:pPr>
      <w:r>
        <w:rPr>
          <w:rFonts w:eastAsiaTheme="minorEastAsia"/>
          <w:color w:val="000000" w:themeColor="text1"/>
        </w:rPr>
        <w:t xml:space="preserve">4. </w:t>
      </w:r>
      <w:r>
        <w:rPr>
          <w:rFonts w:eastAsiaTheme="minorEastAsia"/>
          <w:color w:val="000000" w:themeColor="text1"/>
        </w:rPr>
        <w:t>《上投摩根开放式基金业务规则》；</w:t>
      </w:r>
      <w:r>
        <w:rPr>
          <w:rFonts w:eastAsiaTheme="minorEastAsia"/>
          <w:color w:val="000000" w:themeColor="text1"/>
        </w:rPr>
        <w:t xml:space="preserve"> </w:t>
      </w:r>
    </w:p>
    <w:p w:rsidR="00C64DC7" w:rsidRDefault="00B01E5C">
      <w:pPr>
        <w:spacing w:line="360" w:lineRule="auto"/>
        <w:ind w:firstLineChars="200" w:firstLine="420"/>
        <w:rPr>
          <w:rFonts w:eastAsiaTheme="minorEastAsia"/>
          <w:color w:val="000000" w:themeColor="text1"/>
        </w:rPr>
      </w:pPr>
      <w:r>
        <w:rPr>
          <w:rFonts w:eastAsiaTheme="minorEastAsia"/>
          <w:color w:val="000000" w:themeColor="text1"/>
        </w:rPr>
        <w:t xml:space="preserve">5. </w:t>
      </w:r>
      <w:r>
        <w:rPr>
          <w:rFonts w:eastAsiaTheme="minorEastAsia"/>
          <w:color w:val="000000" w:themeColor="text1"/>
        </w:rPr>
        <w:t>基金管理人业务资格批件、营业执照；</w:t>
      </w:r>
      <w:r>
        <w:rPr>
          <w:rFonts w:eastAsiaTheme="minorEastAsia"/>
          <w:color w:val="000000" w:themeColor="text1"/>
        </w:rPr>
        <w:t xml:space="preserve"> </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 xml:space="preserve">6. </w:t>
      </w:r>
      <w:r w:rsidRPr="00FF6B9A">
        <w:rPr>
          <w:rFonts w:eastAsiaTheme="minorEastAsia"/>
          <w:color w:val="000000" w:themeColor="text1"/>
        </w:rPr>
        <w:t>基金托管人业务资格批件和营业执照。</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二〇二一年十月二十七日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B01E5C" w:rsidRPr="00B01E5C">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B01E5C">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上投摩根安全战略股票型证券投资基金</w:t>
    </w:r>
    <w:r>
      <w:rPr>
        <w:rFonts w:hint="eastAsia"/>
      </w:rPr>
      <w:t>2021</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01E5C"/>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64DC7"/>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152CD8-675A-45D0-A01E-7BE2B75D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Wang,Xiaodi@FA</cp:lastModifiedBy>
  <cp:revision>268</cp:revision>
  <dcterms:created xsi:type="dcterms:W3CDTF">2012-10-16T06:07:00Z</dcterms:created>
  <dcterms:modified xsi:type="dcterms:W3CDTF">2021-10-26T02:42:00Z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