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13242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上投摩根安全战略股票型证券投资基金</w:t>
      </w:r>
    </w:p>
    <w:p w:rsidR="0046238F" w:rsidRDefault="0013242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1</w:t>
      </w:r>
      <w:r>
        <w:rPr>
          <w:rFonts w:asciiTheme="minorEastAsia" w:eastAsiaTheme="minorEastAsia" w:hAnsiTheme="minorEastAsia" w:hint="eastAsia"/>
          <w:b/>
          <w:color w:val="000000" w:themeColor="text1"/>
          <w:sz w:val="36"/>
          <w:szCs w:val="36"/>
        </w:rPr>
        <w:t>季度报告</w:t>
      </w:r>
    </w:p>
    <w:p w:rsidR="0046238F" w:rsidRDefault="00132424">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3</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31</w:t>
      </w:r>
      <w:r>
        <w:rPr>
          <w:rFonts w:asciiTheme="minorEastAsia" w:eastAsiaTheme="minorEastAsia" w:hAnsiTheme="minorEastAsia"/>
          <w:b/>
          <w:color w:val="000000" w:themeColor="text1"/>
          <w:sz w:val="24"/>
          <w:szCs w:val="24"/>
        </w:rPr>
        <w:t>日</w:t>
      </w: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jc w:val="center"/>
        <w:rPr>
          <w:rFonts w:asciiTheme="minorEastAsia" w:eastAsiaTheme="minorEastAsia" w:hAnsiTheme="minorEastAsia"/>
          <w:b/>
          <w:bCs/>
          <w:color w:val="000000" w:themeColor="text1"/>
          <w:sz w:val="24"/>
          <w:szCs w:val="24"/>
        </w:rPr>
      </w:pPr>
    </w:p>
    <w:p w:rsidR="0046238F" w:rsidRDefault="0046238F">
      <w:pPr>
        <w:spacing w:line="360" w:lineRule="auto"/>
        <w:rPr>
          <w:rFonts w:asciiTheme="minorEastAsia" w:eastAsiaTheme="minorEastAsia" w:hAnsiTheme="minorEastAsia"/>
          <w:b/>
          <w:bCs/>
          <w:color w:val="000000" w:themeColor="text1"/>
          <w:sz w:val="24"/>
          <w:szCs w:val="24"/>
        </w:rPr>
      </w:pPr>
    </w:p>
    <w:p w:rsidR="0046238F" w:rsidRDefault="00132424">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46238F" w:rsidRDefault="00132424">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46238F" w:rsidRDefault="00132424">
      <w:pPr>
        <w:spacing w:line="360" w:lineRule="auto"/>
        <w:ind w:firstLineChars="900" w:firstLine="2168"/>
        <w:rPr>
          <w:rFonts w:asciiTheme="minorEastAsia" w:eastAsiaTheme="minorEastAsia" w:hAnsiTheme="minorEastAsia"/>
          <w:b/>
          <w:color w:val="000000" w:themeColor="text1"/>
          <w:sz w:val="24"/>
          <w:szCs w:val="24"/>
        </w:rPr>
        <w:sectPr w:rsidR="0046238F">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二〇一九年四月十九日</w:t>
      </w:r>
    </w:p>
    <w:p w:rsidR="0046238F" w:rsidRDefault="00132424">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基金托管人中国银行股份有限公司根据本基金合同规定，于</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18</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日止。</w:t>
      </w:r>
    </w:p>
    <w:p w:rsidR="0046238F" w:rsidRDefault="001324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上投摩根安全战略股票</w:t>
            </w:r>
          </w:p>
        </w:tc>
      </w:tr>
      <w:tr w:rsidR="0046238F">
        <w:tc>
          <w:tcPr>
            <w:tcW w:w="2835" w:type="dxa"/>
            <w:tcBorders>
              <w:top w:val="single" w:sz="4" w:space="0" w:color="auto"/>
              <w:left w:val="single" w:sz="4" w:space="0" w:color="auto"/>
              <w:bottom w:val="single" w:sz="4" w:space="0" w:color="auto"/>
              <w:right w:val="single" w:sz="4" w:space="0" w:color="auto"/>
            </w:tcBorders>
            <w:vAlign w:val="center"/>
          </w:tcPr>
          <w:p w:rsidR="0046238F" w:rsidRDefault="00132424">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46238F" w:rsidRDefault="001324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001009</w:t>
            </w:r>
          </w:p>
        </w:tc>
      </w:tr>
      <w:tr w:rsidR="0046238F">
        <w:tc>
          <w:tcPr>
            <w:tcW w:w="2835" w:type="dxa"/>
            <w:tcBorders>
              <w:top w:val="single" w:sz="4" w:space="0" w:color="auto"/>
              <w:left w:val="single" w:sz="4" w:space="0" w:color="auto"/>
              <w:bottom w:val="single" w:sz="4" w:space="0" w:color="auto"/>
              <w:right w:val="single" w:sz="4" w:space="0" w:color="auto"/>
            </w:tcBorders>
            <w:vAlign w:val="center"/>
          </w:tcPr>
          <w:p w:rsidR="0046238F" w:rsidRDefault="00132424">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46238F" w:rsidRDefault="001324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001009</w:t>
            </w:r>
          </w:p>
        </w:tc>
      </w:tr>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2015</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26</w:t>
            </w:r>
            <w:r>
              <w:rPr>
                <w:rFonts w:asciiTheme="minorEastAsia" w:eastAsiaTheme="minorEastAsia" w:hAnsiTheme="minorEastAsia"/>
                <w:color w:val="000000" w:themeColor="text1"/>
                <w:kern w:val="0"/>
              </w:rPr>
              <w:t>日</w:t>
            </w:r>
          </w:p>
        </w:tc>
      </w:tr>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766,572,193.39</w:t>
            </w:r>
            <w:r>
              <w:rPr>
                <w:rFonts w:asciiTheme="minorEastAsia" w:eastAsiaTheme="minorEastAsia" w:hAnsiTheme="minorEastAsia" w:hint="eastAsia"/>
                <w:color w:val="000000" w:themeColor="text1"/>
                <w:kern w:val="0"/>
              </w:rPr>
              <w:t>份</w:t>
            </w:r>
          </w:p>
        </w:tc>
      </w:tr>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通过系统和深入的基本面研究，重点投资于与安全战略相关行业的上市公司，分享中国经济增长模式转变带来的投资机会，在控制风险的前提下力争实现基金资产的稳定增值。</w:t>
            </w:r>
          </w:p>
        </w:tc>
      </w:tr>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本基金将通过系统和深入的基本面研究，重点投资于与国家安全战略相关行业的上市公司，分享中国经济增长模式转变带来的投资机会。本基金将不低于</w:t>
            </w:r>
            <w:r>
              <w:rPr>
                <w:rFonts w:asciiTheme="minorEastAsia" w:eastAsiaTheme="minorEastAsia" w:hAnsiTheme="minorEastAsia"/>
                <w:color w:val="000000" w:themeColor="text1"/>
                <w:kern w:val="0"/>
              </w:rPr>
              <w:t>80%</w:t>
            </w:r>
            <w:r>
              <w:rPr>
                <w:rFonts w:asciiTheme="minorEastAsia" w:eastAsiaTheme="minorEastAsia" w:hAnsiTheme="minorEastAsia"/>
                <w:color w:val="000000" w:themeColor="text1"/>
                <w:kern w:val="0"/>
              </w:rPr>
              <w:t>的非现金基金</w:t>
            </w:r>
            <w:r>
              <w:rPr>
                <w:rFonts w:asciiTheme="minorEastAsia" w:eastAsiaTheme="minorEastAsia" w:hAnsiTheme="minorEastAsia"/>
                <w:color w:val="000000" w:themeColor="text1"/>
                <w:kern w:val="0"/>
              </w:rPr>
              <w:lastRenderedPageBreak/>
              <w:t>资产投资于国家安全战略相关行业。</w:t>
            </w:r>
          </w:p>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在行业配置层面，本基金将从行业生命周期、行业景气度、行业竞争格局等多角度，综合评估各个行业的投资价值，对基金资产在行业间分配进行安排。</w:t>
            </w:r>
          </w:p>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在个股选择层面，本基金</w:t>
            </w:r>
            <w:r>
              <w:rPr>
                <w:rFonts w:asciiTheme="minorEastAsia" w:eastAsiaTheme="minorEastAsia" w:hAnsiTheme="minorEastAsia"/>
                <w:color w:val="000000" w:themeColor="text1"/>
                <w:kern w:val="0"/>
              </w:rPr>
              <w:t>将主要采用</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自下而上</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的方法，在备选行业内部通过定量与定性相结合的分析方法，综合分析上市公司的业绩质量、成长性和估值水平等各方面信息，精选具有良好成长性、估值合理的个股。</w:t>
            </w:r>
          </w:p>
        </w:tc>
      </w:tr>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w:t>
            </w:r>
            <w:r>
              <w:rPr>
                <w:rFonts w:asciiTheme="minorEastAsia" w:eastAsiaTheme="minorEastAsia" w:hAnsiTheme="minorEastAsia"/>
                <w:color w:val="000000" w:themeColor="text1"/>
                <w:kern w:val="0"/>
              </w:rPr>
              <w:t>800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*85%+</w:t>
            </w:r>
            <w:r>
              <w:rPr>
                <w:rFonts w:asciiTheme="minorEastAsia" w:eastAsiaTheme="minorEastAsia" w:hAnsiTheme="minorEastAsia"/>
                <w:color w:val="000000" w:themeColor="text1"/>
                <w:kern w:val="0"/>
              </w:rPr>
              <w:t>中债总指数收益率</w:t>
            </w:r>
            <w:r>
              <w:rPr>
                <w:rFonts w:asciiTheme="minorEastAsia" w:eastAsiaTheme="minorEastAsia" w:hAnsiTheme="minorEastAsia"/>
                <w:color w:val="000000" w:themeColor="text1"/>
                <w:kern w:val="0"/>
              </w:rPr>
              <w:t>*15%</w:t>
            </w:r>
          </w:p>
        </w:tc>
      </w:tr>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本基金属于股票型基金产品，预期风险和收益水平高于混合型基金、债券型基金和货币市场基金，属于较高风险收益水平的基金产品。本基金风险收益特征会定期评估并在公司网站发布，请投资者关注。</w:t>
            </w:r>
          </w:p>
        </w:tc>
      </w:tr>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46238F">
        <w:tc>
          <w:tcPr>
            <w:tcW w:w="2835"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46238F" w:rsidRDefault="001324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132424" w:rsidTr="00132424">
        <w:tc>
          <w:tcPr>
            <w:tcW w:w="3402" w:type="dxa"/>
            <w:vAlign w:val="center"/>
          </w:tcPr>
          <w:p w:rsidR="0046238F" w:rsidRDefault="00132424">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46238F" w:rsidRDefault="00132424">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46238F" w:rsidRDefault="00132424">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3</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31</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132424" w:rsidTr="00132424">
        <w:tc>
          <w:tcPr>
            <w:tcW w:w="3402"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46238F" w:rsidRDefault="001324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35,934,128.87</w:t>
            </w:r>
          </w:p>
        </w:tc>
      </w:tr>
      <w:tr w:rsidR="00132424" w:rsidTr="00132424">
        <w:tc>
          <w:tcPr>
            <w:tcW w:w="3402"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46238F" w:rsidRDefault="001324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165,904,187.37</w:t>
            </w:r>
          </w:p>
        </w:tc>
      </w:tr>
      <w:tr w:rsidR="00132424" w:rsidTr="00132424">
        <w:tc>
          <w:tcPr>
            <w:tcW w:w="3402"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46238F" w:rsidRDefault="001324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0.2134</w:t>
            </w:r>
          </w:p>
        </w:tc>
      </w:tr>
      <w:tr w:rsidR="00132424" w:rsidTr="00132424">
        <w:tc>
          <w:tcPr>
            <w:tcW w:w="3402"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46238F" w:rsidRDefault="001324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705,292,110.81</w:t>
            </w:r>
          </w:p>
        </w:tc>
      </w:tr>
      <w:tr w:rsidR="00132424" w:rsidTr="00132424">
        <w:trPr>
          <w:trHeight w:val="158"/>
        </w:trPr>
        <w:tc>
          <w:tcPr>
            <w:tcW w:w="3402" w:type="dxa"/>
            <w:vAlign w:val="center"/>
          </w:tcPr>
          <w:p w:rsidR="0046238F" w:rsidRDefault="001324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46238F" w:rsidRDefault="001324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0.920</w:t>
            </w:r>
          </w:p>
        </w:tc>
      </w:tr>
    </w:tbl>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上述基金业绩指标不包括持有人认购或交易基金的各项费用（例如，开放式基金的申购赎回费、红利再投资费、基金转换费等），计入费用后实际收益水平要低于所列数字。</w:t>
      </w:r>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46238F" w:rsidRDefault="00132424">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46238F">
        <w:tc>
          <w:tcPr>
            <w:tcW w:w="1395"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46238F">
        <w:tc>
          <w:tcPr>
            <w:tcW w:w="1395" w:type="dxa"/>
            <w:vAlign w:val="center"/>
          </w:tcPr>
          <w:p w:rsidR="0046238F" w:rsidRDefault="00132424">
            <w:pPr>
              <w:jc w:val="left"/>
            </w:pPr>
            <w:r>
              <w:rPr>
                <w:rFonts w:asciiTheme="minorEastAsia" w:eastAsiaTheme="minorEastAsia" w:hAnsiTheme="minorEastAsia"/>
                <w:color w:val="000000" w:themeColor="text1"/>
                <w:kern w:val="0"/>
              </w:rPr>
              <w:t>过去三个月</w:t>
            </w:r>
          </w:p>
        </w:tc>
        <w:tc>
          <w:tcPr>
            <w:tcW w:w="1092" w:type="dxa"/>
            <w:vAlign w:val="center"/>
          </w:tcPr>
          <w:p w:rsidR="0046238F" w:rsidRDefault="00132424">
            <w:pPr>
              <w:jc w:val="center"/>
            </w:pPr>
            <w:r>
              <w:rPr>
                <w:rFonts w:asciiTheme="minorEastAsia" w:eastAsiaTheme="minorEastAsia" w:hAnsiTheme="minorEastAsia"/>
                <w:color w:val="000000" w:themeColor="text1"/>
                <w:kern w:val="0"/>
              </w:rPr>
              <w:t>30.13%</w:t>
            </w:r>
          </w:p>
        </w:tc>
        <w:tc>
          <w:tcPr>
            <w:tcW w:w="1161" w:type="dxa"/>
            <w:vAlign w:val="center"/>
          </w:tcPr>
          <w:p w:rsidR="0046238F" w:rsidRDefault="00132424">
            <w:pPr>
              <w:jc w:val="center"/>
            </w:pPr>
            <w:r>
              <w:rPr>
                <w:rFonts w:asciiTheme="minorEastAsia" w:eastAsiaTheme="minorEastAsia" w:hAnsiTheme="minorEastAsia"/>
                <w:color w:val="000000" w:themeColor="text1"/>
                <w:kern w:val="0"/>
              </w:rPr>
              <w:t>1.51%</w:t>
            </w:r>
          </w:p>
        </w:tc>
        <w:tc>
          <w:tcPr>
            <w:tcW w:w="1181" w:type="dxa"/>
            <w:vAlign w:val="center"/>
          </w:tcPr>
          <w:p w:rsidR="0046238F" w:rsidRDefault="00132424">
            <w:pPr>
              <w:jc w:val="center"/>
            </w:pPr>
            <w:r>
              <w:rPr>
                <w:rFonts w:asciiTheme="minorEastAsia" w:eastAsiaTheme="minorEastAsia" w:hAnsiTheme="minorEastAsia"/>
                <w:color w:val="000000" w:themeColor="text1"/>
                <w:kern w:val="0"/>
              </w:rPr>
              <w:t>25.28%</w:t>
            </w:r>
          </w:p>
        </w:tc>
        <w:tc>
          <w:tcPr>
            <w:tcW w:w="1188" w:type="dxa"/>
            <w:vAlign w:val="center"/>
          </w:tcPr>
          <w:p w:rsidR="0046238F" w:rsidRDefault="00132424">
            <w:pPr>
              <w:jc w:val="center"/>
            </w:pPr>
            <w:r>
              <w:rPr>
                <w:rFonts w:asciiTheme="minorEastAsia" w:eastAsiaTheme="minorEastAsia" w:hAnsiTheme="minorEastAsia"/>
                <w:color w:val="000000" w:themeColor="text1"/>
                <w:kern w:val="0"/>
              </w:rPr>
              <w:t>1.31%</w:t>
            </w:r>
          </w:p>
        </w:tc>
        <w:tc>
          <w:tcPr>
            <w:tcW w:w="1199" w:type="dxa"/>
            <w:vAlign w:val="center"/>
          </w:tcPr>
          <w:p w:rsidR="0046238F" w:rsidRDefault="00132424">
            <w:pPr>
              <w:jc w:val="center"/>
            </w:pPr>
            <w:r>
              <w:rPr>
                <w:rFonts w:asciiTheme="minorEastAsia" w:eastAsiaTheme="minorEastAsia" w:hAnsiTheme="minorEastAsia"/>
                <w:color w:val="000000" w:themeColor="text1"/>
                <w:kern w:val="0"/>
              </w:rPr>
              <w:t>4.85%</w:t>
            </w:r>
          </w:p>
        </w:tc>
        <w:tc>
          <w:tcPr>
            <w:tcW w:w="1204" w:type="dxa"/>
            <w:vAlign w:val="center"/>
          </w:tcPr>
          <w:p w:rsidR="0046238F" w:rsidRDefault="00132424">
            <w:pPr>
              <w:jc w:val="center"/>
            </w:pPr>
            <w:r>
              <w:rPr>
                <w:rFonts w:asciiTheme="minorEastAsia" w:eastAsiaTheme="minorEastAsia" w:hAnsiTheme="minorEastAsia"/>
                <w:color w:val="000000" w:themeColor="text1"/>
                <w:kern w:val="0"/>
              </w:rPr>
              <w:t>0.20%</w:t>
            </w:r>
          </w:p>
        </w:tc>
      </w:tr>
    </w:tbl>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46238F" w:rsidRDefault="00132424">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上投摩根安全战略股票型证券投资基金</w:t>
      </w:r>
    </w:p>
    <w:p w:rsidR="0046238F" w:rsidRDefault="00132424">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46238F" w:rsidRDefault="00132424">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31</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46238F" w:rsidRDefault="00132424">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w:t>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25</w:t>
      </w:r>
      <w:r>
        <w:rPr>
          <w:rFonts w:asciiTheme="minorEastAsia" w:eastAsiaTheme="minorEastAsia" w:hAnsiTheme="minorEastAsia"/>
          <w:color w:val="000000" w:themeColor="text1"/>
        </w:rPr>
        <w:t>日，建仓期结束时资产配置比例符合本基金基金合同规定。</w:t>
      </w:r>
    </w:p>
    <w:p w:rsidR="0046238F" w:rsidRDefault="0046238F">
      <w:pPr>
        <w:tabs>
          <w:tab w:val="left" w:pos="1800"/>
        </w:tabs>
        <w:spacing w:line="360" w:lineRule="auto"/>
        <w:rPr>
          <w:rFonts w:asciiTheme="minorEastAsia" w:eastAsiaTheme="minorEastAsia" w:hAnsiTheme="minorEastAsia"/>
          <w:color w:val="000000" w:themeColor="text1"/>
          <w:sz w:val="24"/>
          <w:szCs w:val="24"/>
        </w:rPr>
      </w:pPr>
    </w:p>
    <w:p w:rsidR="0046238F" w:rsidRDefault="001324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46238F">
        <w:trPr>
          <w:cantSplit/>
          <w:trHeight w:val="292"/>
        </w:trPr>
        <w:tc>
          <w:tcPr>
            <w:tcW w:w="851" w:type="dxa"/>
            <w:vMerge w:val="restart"/>
            <w:vAlign w:val="center"/>
          </w:tcPr>
          <w:p w:rsidR="0046238F" w:rsidRDefault="0013242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46238F" w:rsidRDefault="0013242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46238F" w:rsidRDefault="0013242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46238F">
        <w:trPr>
          <w:cantSplit/>
        </w:trPr>
        <w:tc>
          <w:tcPr>
            <w:tcW w:w="851" w:type="dxa"/>
            <w:vMerge/>
            <w:vAlign w:val="center"/>
          </w:tcPr>
          <w:p w:rsidR="0046238F" w:rsidRDefault="0046238F">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46238F" w:rsidRDefault="0046238F">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46238F" w:rsidRDefault="0046238F">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46238F" w:rsidRDefault="0046238F">
            <w:pPr>
              <w:widowControl/>
              <w:spacing w:line="360" w:lineRule="auto"/>
              <w:jc w:val="left"/>
              <w:rPr>
                <w:rFonts w:asciiTheme="minorEastAsia" w:eastAsiaTheme="minorEastAsia" w:hAnsiTheme="minorEastAsia"/>
                <w:color w:val="000000" w:themeColor="text1"/>
                <w:kern w:val="0"/>
              </w:rPr>
            </w:pPr>
          </w:p>
        </w:tc>
      </w:tr>
      <w:tr w:rsidR="0046238F">
        <w:tc>
          <w:tcPr>
            <w:tcW w:w="851" w:type="dxa"/>
            <w:vAlign w:val="center"/>
          </w:tcPr>
          <w:p w:rsidR="0046238F" w:rsidRDefault="00132424">
            <w:pPr>
              <w:jc w:val="center"/>
            </w:pPr>
            <w:r>
              <w:rPr>
                <w:rFonts w:asciiTheme="minorEastAsia" w:eastAsiaTheme="minorEastAsia" w:hAnsiTheme="minorEastAsia"/>
                <w:color w:val="000000" w:themeColor="text1"/>
              </w:rPr>
              <w:t>陈思郁</w:t>
            </w:r>
          </w:p>
        </w:tc>
        <w:tc>
          <w:tcPr>
            <w:tcW w:w="850" w:type="dxa"/>
            <w:vAlign w:val="center"/>
          </w:tcPr>
          <w:p w:rsidR="0046238F" w:rsidRDefault="00132424">
            <w:pPr>
              <w:jc w:val="center"/>
            </w:pPr>
            <w:r>
              <w:rPr>
                <w:rFonts w:asciiTheme="minorEastAsia" w:eastAsiaTheme="minorEastAsia" w:hAnsiTheme="minorEastAsia"/>
                <w:color w:val="000000" w:themeColor="text1"/>
              </w:rPr>
              <w:t>本基金基金经理</w:t>
            </w:r>
          </w:p>
        </w:tc>
        <w:tc>
          <w:tcPr>
            <w:tcW w:w="1560" w:type="dxa"/>
            <w:vAlign w:val="center"/>
          </w:tcPr>
          <w:p w:rsidR="0046238F" w:rsidRDefault="00132424">
            <w:pPr>
              <w:jc w:val="center"/>
            </w:pPr>
            <w:r>
              <w:rPr>
                <w:rFonts w:asciiTheme="minorEastAsia" w:eastAsiaTheme="minorEastAsia" w:hAnsiTheme="minorEastAsia"/>
                <w:color w:val="000000" w:themeColor="text1"/>
              </w:rPr>
              <w:t>2016-10-21</w:t>
            </w:r>
          </w:p>
        </w:tc>
        <w:tc>
          <w:tcPr>
            <w:tcW w:w="1559" w:type="dxa"/>
            <w:vAlign w:val="center"/>
          </w:tcPr>
          <w:p w:rsidR="0046238F" w:rsidRDefault="00132424">
            <w:pPr>
              <w:jc w:val="center"/>
            </w:pPr>
            <w:r>
              <w:rPr>
                <w:rFonts w:asciiTheme="minorEastAsia" w:eastAsiaTheme="minorEastAsia" w:hAnsiTheme="minorEastAsia"/>
                <w:color w:val="000000" w:themeColor="text1"/>
              </w:rPr>
              <w:t>-</w:t>
            </w:r>
          </w:p>
        </w:tc>
        <w:tc>
          <w:tcPr>
            <w:tcW w:w="1417" w:type="dxa"/>
            <w:vAlign w:val="center"/>
          </w:tcPr>
          <w:p w:rsidR="0046238F" w:rsidRDefault="00132424">
            <w:pPr>
              <w:jc w:val="center"/>
            </w:pP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年</w:t>
            </w:r>
          </w:p>
        </w:tc>
        <w:tc>
          <w:tcPr>
            <w:tcW w:w="2694" w:type="dxa"/>
            <w:vAlign w:val="center"/>
          </w:tcPr>
          <w:p w:rsidR="0046238F" w:rsidRDefault="00132424">
            <w:r>
              <w:rPr>
                <w:rFonts w:asciiTheme="minorEastAsia" w:eastAsiaTheme="minorEastAsia" w:hAnsiTheme="minorEastAsia"/>
                <w:color w:val="000000" w:themeColor="text1"/>
              </w:rPr>
              <w:t>陈思郁女士自</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月在国泰君安研究所担任研究员，自</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月起加入上投摩根基金管理有限公司，历任行业专家、基金经理助理，现任国内权益投资一部基金经理，自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月起担任上投摩根双核平衡混合型证券投资基金基金经理，自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月起同时担任上投摩根安全战略股票型证券投资基金基金经理。</w:t>
            </w:r>
          </w:p>
        </w:tc>
      </w:tr>
      <w:tr w:rsidR="0046238F">
        <w:tc>
          <w:tcPr>
            <w:tcW w:w="851" w:type="dxa"/>
            <w:vAlign w:val="center"/>
          </w:tcPr>
          <w:p w:rsidR="0046238F" w:rsidRDefault="00132424">
            <w:pPr>
              <w:jc w:val="center"/>
            </w:pPr>
            <w:r>
              <w:rPr>
                <w:rFonts w:asciiTheme="minorEastAsia" w:eastAsiaTheme="minorEastAsia" w:hAnsiTheme="minorEastAsia"/>
                <w:color w:val="000000" w:themeColor="text1"/>
              </w:rPr>
              <w:t>李德辉</w:t>
            </w:r>
          </w:p>
        </w:tc>
        <w:tc>
          <w:tcPr>
            <w:tcW w:w="850" w:type="dxa"/>
            <w:vAlign w:val="center"/>
          </w:tcPr>
          <w:p w:rsidR="0046238F" w:rsidRDefault="00132424">
            <w:pPr>
              <w:jc w:val="center"/>
            </w:pPr>
            <w:r>
              <w:rPr>
                <w:rFonts w:asciiTheme="minorEastAsia" w:eastAsiaTheme="minorEastAsia" w:hAnsiTheme="minorEastAsia"/>
                <w:color w:val="000000" w:themeColor="text1"/>
              </w:rPr>
              <w:t>本基金基金经理</w:t>
            </w:r>
          </w:p>
        </w:tc>
        <w:tc>
          <w:tcPr>
            <w:tcW w:w="1560" w:type="dxa"/>
            <w:vAlign w:val="center"/>
          </w:tcPr>
          <w:p w:rsidR="0046238F" w:rsidRDefault="00132424">
            <w:pPr>
              <w:jc w:val="center"/>
            </w:pPr>
            <w:r>
              <w:rPr>
                <w:rFonts w:asciiTheme="minorEastAsia" w:eastAsiaTheme="minorEastAsia" w:hAnsiTheme="minorEastAsia"/>
                <w:color w:val="000000" w:themeColor="text1"/>
              </w:rPr>
              <w:t>2018-03-30</w:t>
            </w:r>
          </w:p>
        </w:tc>
        <w:tc>
          <w:tcPr>
            <w:tcW w:w="1559" w:type="dxa"/>
            <w:vAlign w:val="center"/>
          </w:tcPr>
          <w:p w:rsidR="0046238F" w:rsidRDefault="00132424">
            <w:pPr>
              <w:jc w:val="center"/>
            </w:pPr>
            <w:r>
              <w:rPr>
                <w:rFonts w:asciiTheme="minorEastAsia" w:eastAsiaTheme="minorEastAsia" w:hAnsiTheme="minorEastAsia"/>
                <w:color w:val="000000" w:themeColor="text1"/>
              </w:rPr>
              <w:t>-</w:t>
            </w:r>
          </w:p>
        </w:tc>
        <w:tc>
          <w:tcPr>
            <w:tcW w:w="1417" w:type="dxa"/>
            <w:vAlign w:val="center"/>
          </w:tcPr>
          <w:p w:rsidR="0046238F" w:rsidRDefault="00132424">
            <w:pPr>
              <w:jc w:val="center"/>
            </w:pP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年</w:t>
            </w:r>
          </w:p>
        </w:tc>
        <w:tc>
          <w:tcPr>
            <w:tcW w:w="2694" w:type="dxa"/>
            <w:vAlign w:val="center"/>
          </w:tcPr>
          <w:p w:rsidR="0046238F" w:rsidRDefault="00132424">
            <w:r>
              <w:rPr>
                <w:rFonts w:asciiTheme="minorEastAsia" w:eastAsiaTheme="minorEastAsia" w:hAnsiTheme="minorEastAsia"/>
                <w:color w:val="000000" w:themeColor="text1"/>
              </w:rPr>
              <w:t>李德辉先生，上海交通大学生物医学工程博士，自</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月，在农银汇理基金管理有限公司担任研究员；自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月起加入上投摩根基金管理有限公司，先后担任研究员、行业专家兼基金经理助理，自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月起担任上投摩根科技前沿灵活配置混合型证券投资基金基金经理。自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月起同时担任上投摩根安全战略股票型证券投资基金基金经理及上投摩根双核平衡混合型证券投资基金基金经理，自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月起同时担任上投摩根卓越制造股票型证券投资基金基金经理，自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月起同时担任上投摩根智选</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lastRenderedPageBreak/>
              <w:t>混合型证</w:t>
            </w:r>
            <w:r>
              <w:rPr>
                <w:rFonts w:asciiTheme="minorEastAsia" w:eastAsiaTheme="minorEastAsia" w:hAnsiTheme="minorEastAsia"/>
                <w:color w:val="000000" w:themeColor="text1"/>
              </w:rPr>
              <w:t>券投资基金基金经理。</w:t>
            </w:r>
          </w:p>
        </w:tc>
      </w:tr>
    </w:tbl>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证券从业的含义遵从行业协会《证券业从业人员资格管理办法》的相关规定。</w:t>
      </w:r>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安全战略股票型证券投资基金基金合同》的规定。基金经理对个股和投资组合的比例遵循了投资决策委员会的授权限制，基金投资比例符合基金合同和法律法规的要求。</w:t>
      </w:r>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46238F" w:rsidRDefault="001324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46238F" w:rsidRDefault="001324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w:t>
      </w:r>
      <w:r>
        <w:rPr>
          <w:rFonts w:asciiTheme="minorEastAsia" w:eastAsiaTheme="minorEastAsia" w:hAnsiTheme="minorEastAsia" w:hint="eastAsia"/>
          <w:color w:val="000000" w:themeColor="text1"/>
        </w:rPr>
        <w:t>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的情形：报告期内，所有投资组合参与的交易所公开竞价同日反向交易成</w:t>
      </w:r>
      <w:r>
        <w:rPr>
          <w:rFonts w:asciiTheme="minorEastAsia" w:eastAsiaTheme="minorEastAsia" w:hAnsiTheme="minorEastAsia" w:hint="eastAsia"/>
          <w:color w:val="000000" w:themeColor="text1"/>
        </w:rPr>
        <w:lastRenderedPageBreak/>
        <w:t>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的次数为一次，发生在量化投资组合与主动管理投资组合之间。</w:t>
      </w:r>
    </w:p>
    <w:p w:rsidR="0046238F" w:rsidRDefault="0046238F">
      <w:pPr>
        <w:spacing w:line="360" w:lineRule="auto"/>
        <w:ind w:firstLineChars="200" w:firstLine="480"/>
        <w:rPr>
          <w:rFonts w:asciiTheme="minorEastAsia" w:eastAsiaTheme="minorEastAsia" w:hAnsiTheme="minorEastAsia"/>
          <w:color w:val="000000" w:themeColor="text1"/>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46238F" w:rsidRDefault="001324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一季度回顾：</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年一季度，市场整体表现较好，主要原因在于，第一，流动性较为宽松，虽然</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的天量社融我们并不认为会持续，但去杠杆压力最大的时候肯定过去，流动性温和的局面是可以持续的；第二个因素在于，经济数据略微好于之前较为悲观的预期，尤其是消费数据表现突出，同时白酒动销较好，渠道去库存顺利，地产产业链的家居和家电行业，</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月也取得了不错的成绩。因此一季度整体市场表现不错，本基金也积极布局了价格拐点出现的养殖标的以及行业景气度较高的医药、食品饮料等行业，取得了不错的成绩。</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展望未来：对于后市，我们依然比较乐观</w:t>
      </w:r>
      <w:r>
        <w:rPr>
          <w:rFonts w:asciiTheme="minorEastAsia" w:eastAsiaTheme="minorEastAsia" w:hAnsiTheme="minorEastAsia"/>
          <w:color w:val="000000" w:themeColor="text1"/>
        </w:rPr>
        <w:t>。中国经济有望逐步企稳，我们判断主要动力将来自于消费和创新，流动性也会持续温和，这些因素都为股市提供了较好的环境，医疗健康有望成为未来持续出现较好投资机会的领域；在国家积极推进减税的背景下，消费数据有望持续超预期，其中白酒、家电行业值得重点跟踪。本基金将继续寻找高景气度的行业以及有望持续较高质量增长的龙头公司进行投资，争取为投资人带来较好回报。</w:t>
      </w:r>
    </w:p>
    <w:p w:rsidR="0046238F" w:rsidRDefault="001324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本报告期上投摩根安全战略股票份额净值增长率为</w:t>
      </w:r>
      <w:r>
        <w:rPr>
          <w:rFonts w:asciiTheme="minorEastAsia" w:eastAsiaTheme="minorEastAsia" w:hAnsiTheme="minorEastAsia"/>
          <w:color w:val="000000" w:themeColor="text1"/>
        </w:rPr>
        <w:t>:30.13%</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:25.28%</w:t>
      </w:r>
      <w:r>
        <w:rPr>
          <w:rFonts w:asciiTheme="minorEastAsia" w:eastAsiaTheme="minorEastAsia" w:hAnsiTheme="minorEastAsia"/>
          <w:color w:val="000000" w:themeColor="text1"/>
        </w:rPr>
        <w:t>。</w:t>
      </w:r>
    </w:p>
    <w:p w:rsidR="0046238F" w:rsidRDefault="0046238F">
      <w:pPr>
        <w:spacing w:line="360" w:lineRule="auto"/>
        <w:ind w:firstLineChars="200" w:firstLine="480"/>
        <w:rPr>
          <w:rFonts w:asciiTheme="minorEastAsia" w:eastAsiaTheme="minorEastAsia" w:hAnsiTheme="minorEastAsia"/>
          <w:color w:val="000000" w:themeColor="text1"/>
          <w:sz w:val="24"/>
          <w:szCs w:val="24"/>
        </w:rPr>
      </w:pPr>
    </w:p>
    <w:p w:rsidR="0046238F" w:rsidRDefault="001324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w:t>
      </w:r>
      <w:r>
        <w:rPr>
          <w:rFonts w:asciiTheme="minorEastAsia" w:eastAsiaTheme="minorEastAsia" w:hAnsiTheme="minorEastAsia" w:hint="eastAsia"/>
          <w:b/>
          <w:color w:val="000000" w:themeColor="text1"/>
          <w:kern w:val="0"/>
          <w:sz w:val="24"/>
          <w:szCs w:val="24"/>
        </w:rPr>
        <w:t>或基金资产净值预警说明</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46238F" w:rsidRDefault="001324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46238F">
        <w:trPr>
          <w:jc w:val="center"/>
        </w:trPr>
        <w:tc>
          <w:tcPr>
            <w:tcW w:w="720"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46238F">
        <w:trPr>
          <w:jc w:val="center"/>
        </w:trPr>
        <w:tc>
          <w:tcPr>
            <w:tcW w:w="720"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46238F" w:rsidRDefault="001324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613,050,888.43</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84.67</w:t>
            </w:r>
          </w:p>
        </w:tc>
      </w:tr>
      <w:tr w:rsidR="0046238F">
        <w:trPr>
          <w:jc w:val="center"/>
        </w:trPr>
        <w:tc>
          <w:tcPr>
            <w:tcW w:w="720" w:type="dxa"/>
            <w:vAlign w:val="center"/>
          </w:tcPr>
          <w:p w:rsidR="0046238F" w:rsidRDefault="0046238F">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6238F" w:rsidRDefault="001324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613,050,888.43</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84.67</w:t>
            </w:r>
          </w:p>
        </w:tc>
      </w:tr>
      <w:tr w:rsidR="0046238F">
        <w:trPr>
          <w:jc w:val="center"/>
        </w:trPr>
        <w:tc>
          <w:tcPr>
            <w:tcW w:w="720"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lastRenderedPageBreak/>
              <w:t>2</w:t>
            </w:r>
          </w:p>
        </w:tc>
        <w:tc>
          <w:tcPr>
            <w:tcW w:w="3357" w:type="dxa"/>
            <w:vAlign w:val="center"/>
          </w:tcPr>
          <w:p w:rsidR="0046238F" w:rsidRDefault="001324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3,022,843.70</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0.42</w:t>
            </w:r>
          </w:p>
        </w:tc>
      </w:tr>
      <w:tr w:rsidR="0046238F">
        <w:trPr>
          <w:jc w:val="center"/>
        </w:trPr>
        <w:tc>
          <w:tcPr>
            <w:tcW w:w="720" w:type="dxa"/>
            <w:vAlign w:val="center"/>
          </w:tcPr>
          <w:p w:rsidR="0046238F" w:rsidRDefault="0046238F">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6238F" w:rsidRDefault="001324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3,022,843.70</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0.42</w:t>
            </w:r>
          </w:p>
        </w:tc>
      </w:tr>
      <w:tr w:rsidR="0046238F">
        <w:trPr>
          <w:jc w:val="center"/>
        </w:trPr>
        <w:tc>
          <w:tcPr>
            <w:tcW w:w="720" w:type="dxa"/>
            <w:vAlign w:val="center"/>
          </w:tcPr>
          <w:p w:rsidR="0046238F" w:rsidRDefault="0046238F">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6238F" w:rsidRDefault="00132424">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6238F">
        <w:trPr>
          <w:jc w:val="center"/>
        </w:trPr>
        <w:tc>
          <w:tcPr>
            <w:tcW w:w="720" w:type="dxa"/>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46238F" w:rsidRDefault="00132424">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6238F">
        <w:trPr>
          <w:jc w:val="center"/>
        </w:trPr>
        <w:tc>
          <w:tcPr>
            <w:tcW w:w="720"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6238F">
        <w:trPr>
          <w:jc w:val="center"/>
        </w:trPr>
        <w:tc>
          <w:tcPr>
            <w:tcW w:w="720"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46238F" w:rsidRDefault="001324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6238F">
        <w:trPr>
          <w:jc w:val="center"/>
        </w:trPr>
        <w:tc>
          <w:tcPr>
            <w:tcW w:w="720" w:type="dxa"/>
            <w:vAlign w:val="center"/>
          </w:tcPr>
          <w:p w:rsidR="0046238F" w:rsidRDefault="0046238F">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6238F" w:rsidRDefault="001324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6238F">
        <w:trPr>
          <w:jc w:val="center"/>
        </w:trPr>
        <w:tc>
          <w:tcPr>
            <w:tcW w:w="720"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46238F" w:rsidRDefault="001324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105,247,258.74</w:t>
            </w:r>
          </w:p>
        </w:tc>
        <w:tc>
          <w:tcPr>
            <w:tcW w:w="1843"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14.54</w:t>
            </w:r>
          </w:p>
        </w:tc>
      </w:tr>
      <w:tr w:rsidR="0046238F">
        <w:trPr>
          <w:jc w:val="center"/>
        </w:trPr>
        <w:tc>
          <w:tcPr>
            <w:tcW w:w="720"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46238F" w:rsidRDefault="00132424">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2,726,007.40</w:t>
            </w:r>
          </w:p>
        </w:tc>
        <w:tc>
          <w:tcPr>
            <w:tcW w:w="1843" w:type="dxa"/>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0.38</w:t>
            </w:r>
          </w:p>
        </w:tc>
      </w:tr>
      <w:tr w:rsidR="0046238F">
        <w:trPr>
          <w:jc w:val="center"/>
        </w:trPr>
        <w:tc>
          <w:tcPr>
            <w:tcW w:w="720" w:type="dxa"/>
            <w:vAlign w:val="center"/>
          </w:tcPr>
          <w:p w:rsidR="0046238F" w:rsidRDefault="001324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46238F" w:rsidRDefault="00132424">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724,046,998.27</w:t>
            </w:r>
          </w:p>
        </w:tc>
        <w:tc>
          <w:tcPr>
            <w:tcW w:w="1843" w:type="dxa"/>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46238F" w:rsidRDefault="0046238F">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46238F" w:rsidRDefault="00132424">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46238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42,967,706.95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6.09</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46238F" w:rsidRDefault="0046238F">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46238F" w:rsidRDefault="0046238F">
            <w:pPr>
              <w:jc w:val="right"/>
              <w:rPr>
                <w:rFonts w:asciiTheme="minorEastAsia" w:eastAsiaTheme="minorEastAsia" w:hAnsiTheme="minorEastAsia" w:cs="宋体"/>
                <w:color w:val="000000" w:themeColor="text1"/>
                <w:kern w:val="0"/>
              </w:rPr>
            </w:pP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466,361,589.80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66.12</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20,951,275.10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2.97</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17,310,212.30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2.45</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134,343.00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0.02</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14,705,026.56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2.08</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32,049,905.82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4.54</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lastRenderedPageBreak/>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18,570,828.90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2.63</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46238F">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238F" w:rsidRDefault="001324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613,050,888.43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238F" w:rsidRDefault="001324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86.92</w:t>
            </w:r>
          </w:p>
        </w:tc>
      </w:tr>
    </w:tbl>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46238F">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1</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000661</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长春高新</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105,895</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33,567,656.05</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4.76</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2</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002475</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立讯精密</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993,973</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24,650,530.40</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3.50</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3</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600031</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三一重工</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1,866,218</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23,850,266.04</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3.38</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4</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002714</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牧原股份</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370,545</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23,459,203.95</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3.33</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5</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002916</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深南电路</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173,178</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21,545,074.98</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3.05</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6</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000858</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五</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粮</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液</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219,037</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20,808,515.00</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2.95</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7</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300760</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迈瑞医疗</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153,799</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20,655,205.70</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2.93</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8</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600519</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贵州茅台</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23,603</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20,156,725.97</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2.86</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9</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300498</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温氏股份</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480,505</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19,508,503.00</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2.77</w:t>
            </w:r>
          </w:p>
        </w:tc>
      </w:tr>
      <w:tr w:rsidR="0046238F">
        <w:tc>
          <w:tcPr>
            <w:tcW w:w="817" w:type="dxa"/>
            <w:vAlign w:val="center"/>
          </w:tcPr>
          <w:p w:rsidR="0046238F" w:rsidRDefault="00132424">
            <w:pPr>
              <w:jc w:val="center"/>
            </w:pPr>
            <w:r>
              <w:rPr>
                <w:rFonts w:asciiTheme="minorEastAsia" w:eastAsiaTheme="minorEastAsia" w:hAnsiTheme="minorEastAsia" w:cs="宋体"/>
                <w:color w:val="000000" w:themeColor="text1"/>
                <w:kern w:val="0"/>
              </w:rPr>
              <w:t>10</w:t>
            </w:r>
          </w:p>
        </w:tc>
        <w:tc>
          <w:tcPr>
            <w:tcW w:w="1276" w:type="dxa"/>
            <w:vAlign w:val="center"/>
          </w:tcPr>
          <w:p w:rsidR="0046238F" w:rsidRDefault="00132424">
            <w:pPr>
              <w:jc w:val="center"/>
            </w:pPr>
            <w:r>
              <w:rPr>
                <w:rFonts w:asciiTheme="minorEastAsia" w:eastAsiaTheme="minorEastAsia" w:hAnsiTheme="minorEastAsia" w:cs="宋体"/>
                <w:color w:val="000000" w:themeColor="text1"/>
                <w:kern w:val="0"/>
              </w:rPr>
              <w:t>002124</w:t>
            </w:r>
          </w:p>
        </w:tc>
        <w:tc>
          <w:tcPr>
            <w:tcW w:w="1701" w:type="dxa"/>
            <w:vAlign w:val="center"/>
          </w:tcPr>
          <w:p w:rsidR="0046238F" w:rsidRDefault="00132424">
            <w:pPr>
              <w:jc w:val="center"/>
            </w:pPr>
            <w:r>
              <w:rPr>
                <w:rFonts w:asciiTheme="minorEastAsia" w:eastAsiaTheme="minorEastAsia" w:hAnsiTheme="minorEastAsia" w:cs="宋体"/>
                <w:color w:val="000000" w:themeColor="text1"/>
                <w:kern w:val="0"/>
              </w:rPr>
              <w:t>天邦股份</w:t>
            </w:r>
          </w:p>
        </w:tc>
        <w:tc>
          <w:tcPr>
            <w:tcW w:w="1276" w:type="dxa"/>
            <w:vAlign w:val="center"/>
          </w:tcPr>
          <w:p w:rsidR="0046238F" w:rsidRDefault="00132424">
            <w:pPr>
              <w:jc w:val="right"/>
            </w:pPr>
            <w:r>
              <w:rPr>
                <w:rFonts w:asciiTheme="minorEastAsia" w:eastAsiaTheme="minorEastAsia" w:hAnsiTheme="minorEastAsia" w:cs="宋体"/>
                <w:color w:val="000000" w:themeColor="text1"/>
                <w:kern w:val="0"/>
              </w:rPr>
              <w:t>1,105,936</w:t>
            </w:r>
          </w:p>
        </w:tc>
        <w:tc>
          <w:tcPr>
            <w:tcW w:w="1842" w:type="dxa"/>
            <w:vAlign w:val="center"/>
          </w:tcPr>
          <w:p w:rsidR="0046238F" w:rsidRDefault="00132424">
            <w:pPr>
              <w:jc w:val="right"/>
            </w:pPr>
            <w:r>
              <w:rPr>
                <w:rFonts w:asciiTheme="minorEastAsia" w:eastAsiaTheme="minorEastAsia" w:hAnsiTheme="minorEastAsia" w:cs="宋体"/>
                <w:color w:val="000000" w:themeColor="text1"/>
                <w:kern w:val="0"/>
              </w:rPr>
              <w:t>19,331,761.28</w:t>
            </w:r>
          </w:p>
        </w:tc>
        <w:tc>
          <w:tcPr>
            <w:tcW w:w="1616" w:type="dxa"/>
            <w:vAlign w:val="center"/>
          </w:tcPr>
          <w:p w:rsidR="0046238F" w:rsidRDefault="00132424">
            <w:pPr>
              <w:jc w:val="right"/>
            </w:pPr>
            <w:r>
              <w:rPr>
                <w:rFonts w:asciiTheme="minorEastAsia" w:eastAsiaTheme="minorEastAsia" w:hAnsiTheme="minorEastAsia" w:cs="宋体"/>
                <w:color w:val="000000" w:themeColor="text1"/>
                <w:kern w:val="0"/>
              </w:rPr>
              <w:t>2.74</w:t>
            </w:r>
          </w:p>
        </w:tc>
      </w:tr>
    </w:tbl>
    <w:p w:rsidR="0046238F" w:rsidRDefault="0046238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8"/>
        <w:tblW w:w="8755" w:type="dxa"/>
        <w:jc w:val="center"/>
        <w:tblLayout w:type="fixed"/>
        <w:tblLook w:val="04A0" w:firstRow="1" w:lastRow="0" w:firstColumn="1" w:lastColumn="0" w:noHBand="0" w:noVBand="1"/>
      </w:tblPr>
      <w:tblGrid>
        <w:gridCol w:w="817"/>
        <w:gridCol w:w="3260"/>
        <w:gridCol w:w="2949"/>
        <w:gridCol w:w="1729"/>
      </w:tblGrid>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c>
          <w:tcPr>
            <w:tcW w:w="1729"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jc w:val="center"/>
        </w:trPr>
        <w:tc>
          <w:tcPr>
            <w:tcW w:w="817" w:type="dxa"/>
            <w:vAlign w:val="center"/>
          </w:tcPr>
          <w:p w:rsidR="0046238F" w:rsidRDefault="0046238F">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3,022,843.70</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0.43</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lastRenderedPageBreak/>
              <w:t>9</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6238F">
        <w:trPr>
          <w:jc w:val="center"/>
        </w:trPr>
        <w:tc>
          <w:tcPr>
            <w:tcW w:w="81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46238F" w:rsidRDefault="001324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3,022,843.70</w:t>
            </w:r>
          </w:p>
        </w:tc>
        <w:tc>
          <w:tcPr>
            <w:tcW w:w="1729" w:type="dxa"/>
            <w:vAlign w:val="center"/>
          </w:tcPr>
          <w:p w:rsidR="0046238F" w:rsidRDefault="001324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0.43</w:t>
            </w:r>
          </w:p>
        </w:tc>
      </w:tr>
    </w:tbl>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8"/>
        <w:tblW w:w="8528" w:type="dxa"/>
        <w:tblLayout w:type="fixed"/>
        <w:tblLook w:val="04A0" w:firstRow="1" w:lastRow="0" w:firstColumn="1" w:lastColumn="0" w:noHBand="0" w:noVBand="1"/>
      </w:tblPr>
      <w:tblGrid>
        <w:gridCol w:w="1252"/>
        <w:gridCol w:w="1310"/>
        <w:gridCol w:w="1282"/>
        <w:gridCol w:w="1426"/>
        <w:gridCol w:w="1646"/>
        <w:gridCol w:w="1612"/>
      </w:tblGrid>
      <w:tr w:rsidR="0046238F">
        <w:tc>
          <w:tcPr>
            <w:tcW w:w="1252"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张</w:t>
            </w:r>
            <w:r>
              <w:rPr>
                <w:rFonts w:asciiTheme="minorEastAsia" w:eastAsiaTheme="minorEastAsia" w:hAnsiTheme="minorEastAsia" w:cs="宋体" w:hint="eastAsia"/>
                <w:color w:val="000000" w:themeColor="text1"/>
                <w:kern w:val="0"/>
              </w:rPr>
              <w:t>)</w:t>
            </w:r>
          </w:p>
        </w:tc>
        <w:tc>
          <w:tcPr>
            <w:tcW w:w="1646"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46238F">
        <w:tc>
          <w:tcPr>
            <w:tcW w:w="1252" w:type="dxa"/>
            <w:vAlign w:val="center"/>
          </w:tcPr>
          <w:p w:rsidR="0046238F" w:rsidRDefault="00132424">
            <w:pPr>
              <w:jc w:val="center"/>
            </w:pPr>
            <w:r>
              <w:rPr>
                <w:rFonts w:asciiTheme="minorEastAsia" w:eastAsiaTheme="minorEastAsia" w:hAnsiTheme="minorEastAsia" w:cs="宋体"/>
                <w:color w:val="000000" w:themeColor="text1"/>
                <w:kern w:val="0"/>
              </w:rPr>
              <w:t>1</w:t>
            </w:r>
          </w:p>
        </w:tc>
        <w:tc>
          <w:tcPr>
            <w:tcW w:w="1310" w:type="dxa"/>
            <w:vAlign w:val="center"/>
          </w:tcPr>
          <w:p w:rsidR="0046238F" w:rsidRDefault="00132424">
            <w:pPr>
              <w:jc w:val="center"/>
            </w:pPr>
            <w:r>
              <w:rPr>
                <w:rFonts w:asciiTheme="minorEastAsia" w:eastAsiaTheme="minorEastAsia" w:hAnsiTheme="minorEastAsia" w:cs="宋体"/>
                <w:color w:val="000000" w:themeColor="text1"/>
                <w:kern w:val="0"/>
              </w:rPr>
              <w:t>110054</w:t>
            </w:r>
          </w:p>
        </w:tc>
        <w:tc>
          <w:tcPr>
            <w:tcW w:w="1282" w:type="dxa"/>
            <w:vAlign w:val="center"/>
          </w:tcPr>
          <w:p w:rsidR="0046238F" w:rsidRDefault="00132424">
            <w:pPr>
              <w:jc w:val="center"/>
            </w:pPr>
            <w:r>
              <w:rPr>
                <w:rFonts w:asciiTheme="minorEastAsia" w:eastAsiaTheme="minorEastAsia" w:hAnsiTheme="minorEastAsia" w:cs="宋体"/>
                <w:color w:val="000000" w:themeColor="text1"/>
                <w:kern w:val="0"/>
              </w:rPr>
              <w:t>通威转债</w:t>
            </w:r>
          </w:p>
        </w:tc>
        <w:tc>
          <w:tcPr>
            <w:tcW w:w="1426" w:type="dxa"/>
            <w:vAlign w:val="center"/>
          </w:tcPr>
          <w:p w:rsidR="0046238F" w:rsidRDefault="00132424">
            <w:pPr>
              <w:jc w:val="right"/>
            </w:pPr>
            <w:r>
              <w:rPr>
                <w:rFonts w:asciiTheme="minorEastAsia" w:eastAsiaTheme="minorEastAsia" w:hAnsiTheme="minorEastAsia" w:cs="宋体"/>
                <w:color w:val="000000" w:themeColor="text1"/>
                <w:kern w:val="0"/>
              </w:rPr>
              <w:t>18,520</w:t>
            </w:r>
          </w:p>
        </w:tc>
        <w:tc>
          <w:tcPr>
            <w:tcW w:w="1646" w:type="dxa"/>
            <w:vAlign w:val="center"/>
          </w:tcPr>
          <w:p w:rsidR="0046238F" w:rsidRDefault="00132424">
            <w:pPr>
              <w:jc w:val="right"/>
            </w:pPr>
            <w:r>
              <w:rPr>
                <w:rFonts w:asciiTheme="minorEastAsia" w:eastAsiaTheme="minorEastAsia" w:hAnsiTheme="minorEastAsia" w:cs="宋体"/>
                <w:color w:val="000000" w:themeColor="text1"/>
                <w:kern w:val="0"/>
              </w:rPr>
              <w:t>1,852,000.00</w:t>
            </w:r>
          </w:p>
        </w:tc>
        <w:tc>
          <w:tcPr>
            <w:tcW w:w="1612" w:type="dxa"/>
            <w:vAlign w:val="center"/>
          </w:tcPr>
          <w:p w:rsidR="0046238F" w:rsidRDefault="00132424">
            <w:pPr>
              <w:jc w:val="right"/>
            </w:pPr>
            <w:r>
              <w:rPr>
                <w:rFonts w:asciiTheme="minorEastAsia" w:eastAsiaTheme="minorEastAsia" w:hAnsiTheme="minorEastAsia" w:cs="宋体"/>
                <w:color w:val="000000" w:themeColor="text1"/>
                <w:kern w:val="0"/>
              </w:rPr>
              <w:t>0.26</w:t>
            </w:r>
          </w:p>
        </w:tc>
      </w:tr>
      <w:tr w:rsidR="0046238F">
        <w:tc>
          <w:tcPr>
            <w:tcW w:w="1252" w:type="dxa"/>
            <w:vAlign w:val="center"/>
          </w:tcPr>
          <w:p w:rsidR="0046238F" w:rsidRDefault="00132424">
            <w:pPr>
              <w:jc w:val="center"/>
            </w:pPr>
            <w:r>
              <w:rPr>
                <w:rFonts w:asciiTheme="minorEastAsia" w:eastAsiaTheme="minorEastAsia" w:hAnsiTheme="minorEastAsia" w:cs="宋体"/>
                <w:color w:val="000000" w:themeColor="text1"/>
                <w:kern w:val="0"/>
              </w:rPr>
              <w:t>2</w:t>
            </w:r>
          </w:p>
        </w:tc>
        <w:tc>
          <w:tcPr>
            <w:tcW w:w="1310" w:type="dxa"/>
            <w:vAlign w:val="center"/>
          </w:tcPr>
          <w:p w:rsidR="0046238F" w:rsidRDefault="00132424">
            <w:pPr>
              <w:jc w:val="center"/>
            </w:pPr>
            <w:r>
              <w:rPr>
                <w:rFonts w:asciiTheme="minorEastAsia" w:eastAsiaTheme="minorEastAsia" w:hAnsiTheme="minorEastAsia" w:cs="宋体"/>
                <w:color w:val="000000" w:themeColor="text1"/>
                <w:kern w:val="0"/>
              </w:rPr>
              <w:t>113015</w:t>
            </w:r>
          </w:p>
        </w:tc>
        <w:tc>
          <w:tcPr>
            <w:tcW w:w="1282" w:type="dxa"/>
            <w:vAlign w:val="center"/>
          </w:tcPr>
          <w:p w:rsidR="0046238F" w:rsidRDefault="00132424">
            <w:pPr>
              <w:jc w:val="center"/>
            </w:pPr>
            <w:r>
              <w:rPr>
                <w:rFonts w:asciiTheme="minorEastAsia" w:eastAsiaTheme="minorEastAsia" w:hAnsiTheme="minorEastAsia" w:cs="宋体"/>
                <w:color w:val="000000" w:themeColor="text1"/>
                <w:kern w:val="0"/>
              </w:rPr>
              <w:t>隆基转债</w:t>
            </w:r>
          </w:p>
        </w:tc>
        <w:tc>
          <w:tcPr>
            <w:tcW w:w="1426" w:type="dxa"/>
            <w:vAlign w:val="center"/>
          </w:tcPr>
          <w:p w:rsidR="0046238F" w:rsidRDefault="00132424">
            <w:pPr>
              <w:jc w:val="right"/>
            </w:pPr>
            <w:r>
              <w:rPr>
                <w:rFonts w:asciiTheme="minorEastAsia" w:eastAsiaTheme="minorEastAsia" w:hAnsiTheme="minorEastAsia" w:cs="宋体"/>
                <w:color w:val="000000" w:themeColor="text1"/>
                <w:kern w:val="0"/>
              </w:rPr>
              <w:t>5,180</w:t>
            </w:r>
          </w:p>
        </w:tc>
        <w:tc>
          <w:tcPr>
            <w:tcW w:w="1646" w:type="dxa"/>
            <w:vAlign w:val="center"/>
          </w:tcPr>
          <w:p w:rsidR="0046238F" w:rsidRDefault="00132424">
            <w:pPr>
              <w:jc w:val="right"/>
            </w:pPr>
            <w:r>
              <w:rPr>
                <w:rFonts w:asciiTheme="minorEastAsia" w:eastAsiaTheme="minorEastAsia" w:hAnsiTheme="minorEastAsia" w:cs="宋体"/>
                <w:color w:val="000000" w:themeColor="text1"/>
                <w:kern w:val="0"/>
              </w:rPr>
              <w:t>634,446.40</w:t>
            </w:r>
          </w:p>
        </w:tc>
        <w:tc>
          <w:tcPr>
            <w:tcW w:w="1612" w:type="dxa"/>
            <w:vAlign w:val="center"/>
          </w:tcPr>
          <w:p w:rsidR="0046238F" w:rsidRDefault="00132424">
            <w:pPr>
              <w:jc w:val="right"/>
            </w:pPr>
            <w:r>
              <w:rPr>
                <w:rFonts w:asciiTheme="minorEastAsia" w:eastAsiaTheme="minorEastAsia" w:hAnsiTheme="minorEastAsia" w:cs="宋体"/>
                <w:color w:val="000000" w:themeColor="text1"/>
                <w:kern w:val="0"/>
              </w:rPr>
              <w:t>0.09</w:t>
            </w:r>
          </w:p>
        </w:tc>
      </w:tr>
      <w:tr w:rsidR="0046238F">
        <w:tc>
          <w:tcPr>
            <w:tcW w:w="1252" w:type="dxa"/>
            <w:vAlign w:val="center"/>
          </w:tcPr>
          <w:p w:rsidR="0046238F" w:rsidRDefault="00132424">
            <w:pPr>
              <w:jc w:val="center"/>
            </w:pPr>
            <w:r>
              <w:rPr>
                <w:rFonts w:asciiTheme="minorEastAsia" w:eastAsiaTheme="minorEastAsia" w:hAnsiTheme="minorEastAsia" w:cs="宋体"/>
                <w:color w:val="000000" w:themeColor="text1"/>
                <w:kern w:val="0"/>
              </w:rPr>
              <w:t>3</w:t>
            </w:r>
          </w:p>
        </w:tc>
        <w:tc>
          <w:tcPr>
            <w:tcW w:w="1310" w:type="dxa"/>
            <w:vAlign w:val="center"/>
          </w:tcPr>
          <w:p w:rsidR="0046238F" w:rsidRDefault="00132424">
            <w:pPr>
              <w:jc w:val="center"/>
            </w:pPr>
            <w:r>
              <w:rPr>
                <w:rFonts w:asciiTheme="minorEastAsia" w:eastAsiaTheme="minorEastAsia" w:hAnsiTheme="minorEastAsia" w:cs="宋体"/>
                <w:color w:val="000000" w:themeColor="text1"/>
                <w:kern w:val="0"/>
              </w:rPr>
              <w:t>113013</w:t>
            </w:r>
          </w:p>
        </w:tc>
        <w:tc>
          <w:tcPr>
            <w:tcW w:w="1282" w:type="dxa"/>
            <w:vAlign w:val="center"/>
          </w:tcPr>
          <w:p w:rsidR="0046238F" w:rsidRDefault="00132424">
            <w:pPr>
              <w:jc w:val="center"/>
            </w:pPr>
            <w:r>
              <w:rPr>
                <w:rFonts w:asciiTheme="minorEastAsia" w:eastAsiaTheme="minorEastAsia" w:hAnsiTheme="minorEastAsia" w:cs="宋体"/>
                <w:color w:val="000000" w:themeColor="text1"/>
                <w:kern w:val="0"/>
              </w:rPr>
              <w:t>国君转债</w:t>
            </w:r>
          </w:p>
        </w:tc>
        <w:tc>
          <w:tcPr>
            <w:tcW w:w="1426" w:type="dxa"/>
            <w:vAlign w:val="center"/>
          </w:tcPr>
          <w:p w:rsidR="0046238F" w:rsidRDefault="00132424">
            <w:pPr>
              <w:jc w:val="right"/>
            </w:pPr>
            <w:r>
              <w:rPr>
                <w:rFonts w:asciiTheme="minorEastAsia" w:eastAsiaTheme="minorEastAsia" w:hAnsiTheme="minorEastAsia" w:cs="宋体"/>
                <w:color w:val="000000" w:themeColor="text1"/>
                <w:kern w:val="0"/>
              </w:rPr>
              <w:t>4,530</w:t>
            </w:r>
          </w:p>
        </w:tc>
        <w:tc>
          <w:tcPr>
            <w:tcW w:w="1646" w:type="dxa"/>
            <w:vAlign w:val="center"/>
          </w:tcPr>
          <w:p w:rsidR="0046238F" w:rsidRDefault="00132424">
            <w:pPr>
              <w:jc w:val="right"/>
            </w:pPr>
            <w:r>
              <w:rPr>
                <w:rFonts w:asciiTheme="minorEastAsia" w:eastAsiaTheme="minorEastAsia" w:hAnsiTheme="minorEastAsia" w:cs="宋体"/>
                <w:color w:val="000000" w:themeColor="text1"/>
                <w:kern w:val="0"/>
              </w:rPr>
              <w:t>536,397.30</w:t>
            </w:r>
          </w:p>
        </w:tc>
        <w:tc>
          <w:tcPr>
            <w:tcW w:w="1612" w:type="dxa"/>
            <w:vAlign w:val="center"/>
          </w:tcPr>
          <w:p w:rsidR="0046238F" w:rsidRDefault="00132424">
            <w:pPr>
              <w:jc w:val="right"/>
            </w:pPr>
            <w:r>
              <w:rPr>
                <w:rFonts w:asciiTheme="minorEastAsia" w:eastAsiaTheme="minorEastAsia" w:hAnsiTheme="minorEastAsia" w:cs="宋体"/>
                <w:color w:val="000000" w:themeColor="text1"/>
                <w:kern w:val="0"/>
              </w:rPr>
              <w:t>0.08</w:t>
            </w:r>
          </w:p>
        </w:tc>
      </w:tr>
    </w:tbl>
    <w:p w:rsidR="0046238F" w:rsidRDefault="0046238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46238F" w:rsidRDefault="00132424">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46238F" w:rsidRDefault="0046238F">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46238F" w:rsidRDefault="0046238F">
      <w:pPr>
        <w:adjustRightInd w:val="0"/>
        <w:snapToGrid w:val="0"/>
        <w:spacing w:line="360" w:lineRule="exact"/>
        <w:rPr>
          <w:rFonts w:asciiTheme="minorEastAsia" w:eastAsiaTheme="minorEastAsia" w:hAnsiTheme="minorEastAsia"/>
          <w:color w:val="000000" w:themeColor="text1"/>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46238F" w:rsidRDefault="001324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46238F" w:rsidRDefault="001324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w:t>
      </w:r>
      <w:r>
        <w:rPr>
          <w:rFonts w:asciiTheme="minorEastAsia" w:eastAsiaTheme="minorEastAsia" w:hAnsiTheme="minorEastAsia"/>
          <w:color w:val="000000" w:themeColor="text1"/>
          <w:sz w:val="24"/>
          <w:szCs w:val="24"/>
        </w:rPr>
        <w:lastRenderedPageBreak/>
        <w:t>外的股票。</w:t>
      </w: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46238F">
        <w:tc>
          <w:tcPr>
            <w:tcW w:w="1235"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46238F" w:rsidRDefault="001324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46238F">
        <w:tc>
          <w:tcPr>
            <w:tcW w:w="1235" w:type="dxa"/>
            <w:vAlign w:val="center"/>
          </w:tcPr>
          <w:p w:rsidR="0046238F" w:rsidRDefault="001324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46238F" w:rsidRDefault="001324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141,987.68</w:t>
            </w:r>
          </w:p>
        </w:tc>
      </w:tr>
      <w:tr w:rsidR="0046238F">
        <w:tc>
          <w:tcPr>
            <w:tcW w:w="1235" w:type="dxa"/>
            <w:vAlign w:val="center"/>
          </w:tcPr>
          <w:p w:rsidR="0046238F" w:rsidRDefault="001324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46238F" w:rsidRDefault="001324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2,508,887.95</w:t>
            </w:r>
          </w:p>
        </w:tc>
      </w:tr>
      <w:tr w:rsidR="0046238F">
        <w:tc>
          <w:tcPr>
            <w:tcW w:w="1235" w:type="dxa"/>
            <w:vAlign w:val="center"/>
          </w:tcPr>
          <w:p w:rsidR="0046238F" w:rsidRDefault="001324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46238F" w:rsidRDefault="001324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6238F">
        <w:tc>
          <w:tcPr>
            <w:tcW w:w="1235" w:type="dxa"/>
            <w:vAlign w:val="center"/>
          </w:tcPr>
          <w:p w:rsidR="0046238F" w:rsidRDefault="001324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46238F" w:rsidRDefault="001324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29,718.54</w:t>
            </w:r>
          </w:p>
        </w:tc>
      </w:tr>
      <w:tr w:rsidR="0046238F">
        <w:tc>
          <w:tcPr>
            <w:tcW w:w="1235" w:type="dxa"/>
            <w:vAlign w:val="center"/>
          </w:tcPr>
          <w:p w:rsidR="0046238F" w:rsidRDefault="001324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46238F" w:rsidRDefault="001324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45,413.23</w:t>
            </w:r>
          </w:p>
        </w:tc>
      </w:tr>
      <w:tr w:rsidR="0046238F">
        <w:tc>
          <w:tcPr>
            <w:tcW w:w="1235" w:type="dxa"/>
            <w:vAlign w:val="center"/>
          </w:tcPr>
          <w:p w:rsidR="0046238F" w:rsidRDefault="001324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46238F" w:rsidRDefault="001324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6238F">
        <w:tc>
          <w:tcPr>
            <w:tcW w:w="1235" w:type="dxa"/>
            <w:vAlign w:val="center"/>
          </w:tcPr>
          <w:p w:rsidR="0046238F" w:rsidRDefault="001324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46238F" w:rsidRDefault="00132424">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46238F">
        <w:tc>
          <w:tcPr>
            <w:tcW w:w="1235" w:type="dxa"/>
            <w:vAlign w:val="center"/>
          </w:tcPr>
          <w:p w:rsidR="0046238F" w:rsidRDefault="001324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46238F" w:rsidRDefault="001324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6238F">
        <w:tc>
          <w:tcPr>
            <w:tcW w:w="1235" w:type="dxa"/>
            <w:vAlign w:val="center"/>
          </w:tcPr>
          <w:p w:rsidR="0046238F" w:rsidRDefault="001324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46238F" w:rsidRDefault="001324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2,726,007.40</w:t>
            </w:r>
          </w:p>
        </w:tc>
      </w:tr>
    </w:tbl>
    <w:p w:rsidR="0046238F" w:rsidRDefault="0046238F">
      <w:pPr>
        <w:autoSpaceDE w:val="0"/>
        <w:autoSpaceDN w:val="0"/>
        <w:adjustRightInd w:val="0"/>
        <w:spacing w:line="360" w:lineRule="auto"/>
        <w:rPr>
          <w:rFonts w:asciiTheme="minorEastAsia" w:eastAsiaTheme="minorEastAsia" w:hAnsiTheme="minorEastAsia"/>
          <w:color w:val="000000" w:themeColor="text1"/>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tbl>
      <w:tblPr>
        <w:tblStyle w:val="af8"/>
        <w:tblW w:w="8513" w:type="dxa"/>
        <w:tblInd w:w="15" w:type="dxa"/>
        <w:tblLayout w:type="fixed"/>
        <w:tblLook w:val="04A0" w:firstRow="1" w:lastRow="0" w:firstColumn="1" w:lastColumn="0" w:noHBand="0" w:noVBand="1"/>
      </w:tblPr>
      <w:tblGrid>
        <w:gridCol w:w="1808"/>
        <w:gridCol w:w="1729"/>
        <w:gridCol w:w="1658"/>
        <w:gridCol w:w="1697"/>
        <w:gridCol w:w="1621"/>
      </w:tblGrid>
      <w:tr w:rsidR="0046238F">
        <w:tc>
          <w:tcPr>
            <w:tcW w:w="1808"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729"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46238F" w:rsidRDefault="001324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46238F">
        <w:tc>
          <w:tcPr>
            <w:tcW w:w="1808" w:type="dxa"/>
            <w:vAlign w:val="center"/>
          </w:tcPr>
          <w:p w:rsidR="0046238F" w:rsidRDefault="00132424">
            <w:pPr>
              <w:jc w:val="center"/>
            </w:pPr>
            <w:r>
              <w:rPr>
                <w:rFonts w:asciiTheme="minorEastAsia" w:eastAsiaTheme="minorEastAsia" w:hAnsiTheme="minorEastAsia" w:cs="宋体"/>
                <w:color w:val="000000" w:themeColor="text1"/>
                <w:kern w:val="0"/>
              </w:rPr>
              <w:t>1</w:t>
            </w:r>
          </w:p>
        </w:tc>
        <w:tc>
          <w:tcPr>
            <w:tcW w:w="1729" w:type="dxa"/>
            <w:vAlign w:val="center"/>
          </w:tcPr>
          <w:p w:rsidR="0046238F" w:rsidRDefault="00132424">
            <w:pPr>
              <w:jc w:val="center"/>
            </w:pPr>
            <w:r>
              <w:rPr>
                <w:rFonts w:asciiTheme="minorEastAsia" w:eastAsiaTheme="minorEastAsia" w:hAnsiTheme="minorEastAsia" w:cs="宋体"/>
                <w:color w:val="000000" w:themeColor="text1"/>
                <w:kern w:val="0"/>
              </w:rPr>
              <w:t>113015</w:t>
            </w:r>
          </w:p>
        </w:tc>
        <w:tc>
          <w:tcPr>
            <w:tcW w:w="1658" w:type="dxa"/>
            <w:vAlign w:val="center"/>
          </w:tcPr>
          <w:p w:rsidR="0046238F" w:rsidRDefault="00132424">
            <w:pPr>
              <w:jc w:val="center"/>
            </w:pPr>
            <w:r>
              <w:rPr>
                <w:rFonts w:asciiTheme="minorEastAsia" w:eastAsiaTheme="minorEastAsia" w:hAnsiTheme="minorEastAsia" w:cs="宋体"/>
                <w:color w:val="000000" w:themeColor="text1"/>
                <w:kern w:val="0"/>
              </w:rPr>
              <w:t>隆基转债</w:t>
            </w:r>
          </w:p>
        </w:tc>
        <w:tc>
          <w:tcPr>
            <w:tcW w:w="1697" w:type="dxa"/>
            <w:vAlign w:val="center"/>
          </w:tcPr>
          <w:p w:rsidR="0046238F" w:rsidRDefault="00132424">
            <w:pPr>
              <w:jc w:val="right"/>
            </w:pPr>
            <w:r>
              <w:rPr>
                <w:rFonts w:asciiTheme="minorEastAsia" w:eastAsiaTheme="minorEastAsia" w:hAnsiTheme="minorEastAsia" w:cs="宋体"/>
                <w:color w:val="000000" w:themeColor="text1"/>
                <w:kern w:val="0"/>
              </w:rPr>
              <w:t>634,446.40</w:t>
            </w:r>
          </w:p>
        </w:tc>
        <w:tc>
          <w:tcPr>
            <w:tcW w:w="1621" w:type="dxa"/>
            <w:vAlign w:val="center"/>
          </w:tcPr>
          <w:p w:rsidR="0046238F" w:rsidRDefault="00132424">
            <w:pPr>
              <w:jc w:val="right"/>
            </w:pPr>
            <w:r>
              <w:rPr>
                <w:rFonts w:asciiTheme="minorEastAsia" w:eastAsiaTheme="minorEastAsia" w:hAnsiTheme="minorEastAsia" w:cs="宋体"/>
                <w:color w:val="000000" w:themeColor="text1"/>
                <w:kern w:val="0"/>
              </w:rPr>
              <w:t>0.09</w:t>
            </w:r>
          </w:p>
        </w:tc>
      </w:tr>
      <w:tr w:rsidR="0046238F">
        <w:tc>
          <w:tcPr>
            <w:tcW w:w="1808" w:type="dxa"/>
            <w:vAlign w:val="center"/>
          </w:tcPr>
          <w:p w:rsidR="0046238F" w:rsidRDefault="00132424">
            <w:pPr>
              <w:jc w:val="center"/>
            </w:pPr>
            <w:r>
              <w:rPr>
                <w:rFonts w:asciiTheme="minorEastAsia" w:eastAsiaTheme="minorEastAsia" w:hAnsiTheme="minorEastAsia" w:cs="宋体"/>
                <w:color w:val="000000" w:themeColor="text1"/>
                <w:kern w:val="0"/>
              </w:rPr>
              <w:t>2</w:t>
            </w:r>
          </w:p>
        </w:tc>
        <w:tc>
          <w:tcPr>
            <w:tcW w:w="1729" w:type="dxa"/>
            <w:vAlign w:val="center"/>
          </w:tcPr>
          <w:p w:rsidR="0046238F" w:rsidRDefault="00132424">
            <w:pPr>
              <w:jc w:val="center"/>
            </w:pPr>
            <w:r>
              <w:rPr>
                <w:rFonts w:asciiTheme="minorEastAsia" w:eastAsiaTheme="minorEastAsia" w:hAnsiTheme="minorEastAsia" w:cs="宋体"/>
                <w:color w:val="000000" w:themeColor="text1"/>
                <w:kern w:val="0"/>
              </w:rPr>
              <w:t>113013</w:t>
            </w:r>
          </w:p>
        </w:tc>
        <w:tc>
          <w:tcPr>
            <w:tcW w:w="1658" w:type="dxa"/>
            <w:vAlign w:val="center"/>
          </w:tcPr>
          <w:p w:rsidR="0046238F" w:rsidRDefault="00132424">
            <w:pPr>
              <w:jc w:val="center"/>
            </w:pPr>
            <w:r>
              <w:rPr>
                <w:rFonts w:asciiTheme="minorEastAsia" w:eastAsiaTheme="minorEastAsia" w:hAnsiTheme="minorEastAsia" w:cs="宋体"/>
                <w:color w:val="000000" w:themeColor="text1"/>
                <w:kern w:val="0"/>
              </w:rPr>
              <w:t>国君转债</w:t>
            </w:r>
          </w:p>
        </w:tc>
        <w:tc>
          <w:tcPr>
            <w:tcW w:w="1697" w:type="dxa"/>
            <w:vAlign w:val="center"/>
          </w:tcPr>
          <w:p w:rsidR="0046238F" w:rsidRDefault="00132424">
            <w:pPr>
              <w:jc w:val="right"/>
            </w:pPr>
            <w:r>
              <w:rPr>
                <w:rFonts w:asciiTheme="minorEastAsia" w:eastAsiaTheme="minorEastAsia" w:hAnsiTheme="minorEastAsia" w:cs="宋体"/>
                <w:color w:val="000000" w:themeColor="text1"/>
                <w:kern w:val="0"/>
              </w:rPr>
              <w:t>536,397.30</w:t>
            </w:r>
          </w:p>
        </w:tc>
        <w:tc>
          <w:tcPr>
            <w:tcW w:w="1621" w:type="dxa"/>
            <w:vAlign w:val="center"/>
          </w:tcPr>
          <w:p w:rsidR="0046238F" w:rsidRDefault="00132424">
            <w:pPr>
              <w:jc w:val="right"/>
            </w:pPr>
            <w:r>
              <w:rPr>
                <w:rFonts w:asciiTheme="minorEastAsia" w:eastAsiaTheme="minorEastAsia" w:hAnsiTheme="minorEastAsia" w:cs="宋体"/>
                <w:color w:val="000000" w:themeColor="text1"/>
                <w:kern w:val="0"/>
              </w:rPr>
              <w:t>0.08</w:t>
            </w:r>
          </w:p>
        </w:tc>
      </w:tr>
    </w:tbl>
    <w:p w:rsidR="0046238F" w:rsidRDefault="0046238F">
      <w:pPr>
        <w:autoSpaceDE w:val="0"/>
        <w:autoSpaceDN w:val="0"/>
        <w:adjustRightInd w:val="0"/>
        <w:spacing w:line="360" w:lineRule="auto"/>
        <w:rPr>
          <w:rFonts w:asciiTheme="minorEastAsia" w:eastAsiaTheme="minorEastAsia" w:hAnsiTheme="minorEastAsia"/>
          <w:color w:val="000000" w:themeColor="text1"/>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46238F" w:rsidRDefault="0046238F">
      <w:pPr>
        <w:autoSpaceDE w:val="0"/>
        <w:autoSpaceDN w:val="0"/>
        <w:adjustRightInd w:val="0"/>
        <w:spacing w:line="360" w:lineRule="auto"/>
        <w:rPr>
          <w:rFonts w:asciiTheme="minorEastAsia" w:eastAsiaTheme="minorEastAsia" w:hAnsiTheme="minorEastAsia"/>
          <w:color w:val="000000" w:themeColor="text1"/>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投资组合报告中分项之和与合计可能存在尾差。</w:t>
      </w:r>
    </w:p>
    <w:p w:rsidR="0046238F" w:rsidRDefault="001324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46238F" w:rsidRDefault="0013242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46238F">
        <w:tc>
          <w:tcPr>
            <w:tcW w:w="4609"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783,136,872.02</w:t>
            </w:r>
          </w:p>
        </w:tc>
      </w:tr>
      <w:tr w:rsidR="0046238F">
        <w:tc>
          <w:tcPr>
            <w:tcW w:w="4609"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lastRenderedPageBreak/>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8,294,716.28</w:t>
            </w:r>
          </w:p>
        </w:tc>
      </w:tr>
      <w:tr w:rsidR="0046238F">
        <w:tc>
          <w:tcPr>
            <w:tcW w:w="4609"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24,859,394.91</w:t>
            </w:r>
          </w:p>
        </w:tc>
      </w:tr>
      <w:tr w:rsidR="0046238F">
        <w:tc>
          <w:tcPr>
            <w:tcW w:w="4609"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46238F">
        <w:tc>
          <w:tcPr>
            <w:tcW w:w="4609"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6238F" w:rsidRDefault="001324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766,572,193.39</w:t>
            </w:r>
          </w:p>
        </w:tc>
      </w:tr>
    </w:tbl>
    <w:p w:rsidR="0046238F" w:rsidRDefault="00132424">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46238F" w:rsidRDefault="00132424">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46238F" w:rsidRDefault="001324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46238F" w:rsidRDefault="0046238F">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46238F" w:rsidRDefault="001324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中国证监会批准上投摩根安全战略股票型证券投资基金设立的文件；</w:t>
      </w:r>
      <w:r>
        <w:rPr>
          <w:rFonts w:asciiTheme="minorEastAsia" w:eastAsiaTheme="minorEastAsia" w:hAnsiTheme="minorEastAsia" w:hint="eastAsia"/>
          <w:color w:val="000000" w:themeColor="text1"/>
        </w:rPr>
        <w:t xml:space="preserve"> </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《上投摩根安全战略股票型证券投资基金基金合同》；</w:t>
      </w:r>
      <w:r>
        <w:rPr>
          <w:rFonts w:asciiTheme="minorEastAsia" w:eastAsiaTheme="minorEastAsia" w:hAnsiTheme="minorEastAsia" w:hint="eastAsia"/>
          <w:color w:val="000000" w:themeColor="text1"/>
        </w:rPr>
        <w:t xml:space="preserve"> </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《上投摩根安全战略股票型证券投资基金托管协议》；</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《上投摩根开放式基金业务规则》；</w:t>
      </w:r>
      <w:r>
        <w:rPr>
          <w:rFonts w:asciiTheme="minorEastAsia" w:eastAsiaTheme="minorEastAsia" w:hAnsiTheme="minorEastAsia" w:hint="eastAsia"/>
          <w:color w:val="000000" w:themeColor="text1"/>
        </w:rPr>
        <w:t xml:space="preserve"> </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r>
        <w:rPr>
          <w:rFonts w:asciiTheme="minorEastAsia" w:eastAsiaTheme="minorEastAsia" w:hAnsiTheme="minorEastAsia" w:hint="eastAsia"/>
          <w:color w:val="000000" w:themeColor="text1"/>
        </w:rPr>
        <w:t xml:space="preserve"> </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基金托管人业务资格批件和营业执照。</w:t>
      </w:r>
    </w:p>
    <w:p w:rsidR="0046238F" w:rsidRDefault="0046238F">
      <w:pPr>
        <w:spacing w:line="360" w:lineRule="auto"/>
        <w:ind w:firstLineChars="200" w:firstLine="480"/>
        <w:rPr>
          <w:rFonts w:asciiTheme="minorEastAsia" w:eastAsiaTheme="minorEastAsia" w:hAnsiTheme="minorEastAsia"/>
          <w:color w:val="000000" w:themeColor="text1"/>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46238F" w:rsidRDefault="0046238F">
      <w:pPr>
        <w:spacing w:line="360" w:lineRule="auto"/>
        <w:ind w:firstLineChars="200" w:firstLine="480"/>
        <w:rPr>
          <w:rFonts w:asciiTheme="minorEastAsia" w:eastAsiaTheme="minorEastAsia" w:hAnsiTheme="minorEastAsia"/>
          <w:color w:val="000000" w:themeColor="text1"/>
          <w:sz w:val="24"/>
          <w:szCs w:val="24"/>
        </w:rPr>
      </w:pPr>
    </w:p>
    <w:p w:rsidR="0046238F" w:rsidRDefault="001324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46238F" w:rsidRDefault="001324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46238F" w:rsidRDefault="0046238F">
      <w:pPr>
        <w:spacing w:line="360" w:lineRule="auto"/>
        <w:ind w:left="840"/>
        <w:jc w:val="right"/>
        <w:rPr>
          <w:rFonts w:asciiTheme="minorEastAsia" w:eastAsiaTheme="minorEastAsia" w:hAnsiTheme="minorEastAsia"/>
          <w:color w:val="000000" w:themeColor="text1"/>
          <w:sz w:val="24"/>
          <w:szCs w:val="24"/>
        </w:rPr>
      </w:pPr>
    </w:p>
    <w:p w:rsidR="0046238F" w:rsidRDefault="0046238F">
      <w:pPr>
        <w:spacing w:line="360" w:lineRule="auto"/>
        <w:ind w:left="840"/>
        <w:jc w:val="right"/>
        <w:rPr>
          <w:rFonts w:asciiTheme="minorEastAsia" w:eastAsiaTheme="minorEastAsia" w:hAnsiTheme="minorEastAsia"/>
          <w:color w:val="000000" w:themeColor="text1"/>
          <w:sz w:val="24"/>
          <w:szCs w:val="24"/>
        </w:rPr>
      </w:pPr>
    </w:p>
    <w:p w:rsidR="0046238F" w:rsidRDefault="0046238F">
      <w:pPr>
        <w:spacing w:line="360" w:lineRule="auto"/>
        <w:ind w:left="840"/>
        <w:jc w:val="right"/>
        <w:rPr>
          <w:rFonts w:asciiTheme="minorEastAsia" w:eastAsiaTheme="minorEastAsia" w:hAnsiTheme="minorEastAsia"/>
          <w:color w:val="000000" w:themeColor="text1"/>
          <w:sz w:val="24"/>
          <w:szCs w:val="24"/>
        </w:rPr>
      </w:pPr>
    </w:p>
    <w:p w:rsidR="0046238F" w:rsidRDefault="0046238F">
      <w:pPr>
        <w:spacing w:line="360" w:lineRule="auto"/>
        <w:ind w:left="840"/>
        <w:jc w:val="right"/>
        <w:rPr>
          <w:rFonts w:asciiTheme="minorEastAsia" w:eastAsiaTheme="minorEastAsia" w:hAnsiTheme="minorEastAsia"/>
          <w:color w:val="000000" w:themeColor="text1"/>
          <w:sz w:val="24"/>
          <w:szCs w:val="24"/>
        </w:rPr>
      </w:pPr>
    </w:p>
    <w:p w:rsidR="0046238F" w:rsidRDefault="0046238F">
      <w:pPr>
        <w:spacing w:line="360" w:lineRule="auto"/>
        <w:ind w:left="840"/>
        <w:jc w:val="right"/>
        <w:rPr>
          <w:rFonts w:asciiTheme="minorEastAsia" w:eastAsiaTheme="minorEastAsia" w:hAnsiTheme="minorEastAsia"/>
          <w:color w:val="000000" w:themeColor="text1"/>
          <w:sz w:val="24"/>
          <w:szCs w:val="24"/>
        </w:rPr>
      </w:pPr>
    </w:p>
    <w:p w:rsidR="0046238F" w:rsidRDefault="0046238F">
      <w:pPr>
        <w:spacing w:line="360" w:lineRule="auto"/>
        <w:ind w:left="840"/>
        <w:jc w:val="right"/>
        <w:rPr>
          <w:rFonts w:asciiTheme="minorEastAsia" w:eastAsiaTheme="minorEastAsia" w:hAnsiTheme="minorEastAsia"/>
          <w:color w:val="000000" w:themeColor="text1"/>
          <w:sz w:val="24"/>
          <w:szCs w:val="24"/>
        </w:rPr>
      </w:pPr>
    </w:p>
    <w:p w:rsidR="0046238F" w:rsidRDefault="0046238F">
      <w:pPr>
        <w:spacing w:line="360" w:lineRule="auto"/>
        <w:ind w:left="840"/>
        <w:jc w:val="right"/>
        <w:rPr>
          <w:rFonts w:asciiTheme="minorEastAsia" w:eastAsiaTheme="minorEastAsia" w:hAnsiTheme="minorEastAsia"/>
          <w:color w:val="000000" w:themeColor="text1"/>
          <w:sz w:val="24"/>
          <w:szCs w:val="24"/>
        </w:rPr>
      </w:pPr>
    </w:p>
    <w:p w:rsidR="0046238F" w:rsidRDefault="0046238F">
      <w:pPr>
        <w:spacing w:line="360" w:lineRule="auto"/>
        <w:ind w:left="840"/>
        <w:jc w:val="right"/>
        <w:rPr>
          <w:rFonts w:asciiTheme="minorEastAsia" w:eastAsiaTheme="minorEastAsia" w:hAnsiTheme="minorEastAsia"/>
          <w:color w:val="000000" w:themeColor="text1"/>
          <w:sz w:val="24"/>
          <w:szCs w:val="24"/>
        </w:rPr>
      </w:pPr>
    </w:p>
    <w:p w:rsidR="0046238F" w:rsidRDefault="00132424">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46238F" w:rsidRDefault="00132424">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二〇一九年四月十九日</w:t>
      </w:r>
    </w:p>
    <w:p w:rsidR="0046238F" w:rsidRDefault="0046238F">
      <w:pPr>
        <w:spacing w:line="360" w:lineRule="auto"/>
        <w:ind w:left="840"/>
        <w:jc w:val="right"/>
        <w:rPr>
          <w:rFonts w:asciiTheme="minorEastAsia" w:eastAsiaTheme="minorEastAsia" w:hAnsiTheme="minorEastAsia"/>
          <w:b/>
          <w:bCs/>
          <w:color w:val="000000" w:themeColor="text1"/>
          <w:sz w:val="24"/>
          <w:szCs w:val="24"/>
        </w:rPr>
      </w:pPr>
    </w:p>
    <w:p w:rsidR="0046238F" w:rsidRDefault="0046238F">
      <w:pPr>
        <w:rPr>
          <w:rFonts w:asciiTheme="minorEastAsia" w:eastAsiaTheme="minorEastAsia" w:hAnsiTheme="minorEastAsia"/>
          <w:color w:val="000000" w:themeColor="text1"/>
          <w:sz w:val="24"/>
          <w:szCs w:val="24"/>
        </w:rPr>
      </w:pPr>
    </w:p>
    <w:sectPr w:rsidR="0046238F">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32424">
      <w:r>
        <w:separator/>
      </w:r>
    </w:p>
  </w:endnote>
  <w:endnote w:type="continuationSeparator" w:id="0">
    <w:p w:rsidR="00000000" w:rsidRDefault="0013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8F" w:rsidRDefault="00132424">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132424">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8F" w:rsidRDefault="00132424">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46238F" w:rsidRDefault="004623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32424">
      <w:r>
        <w:separator/>
      </w:r>
    </w:p>
  </w:footnote>
  <w:footnote w:type="continuationSeparator" w:id="0">
    <w:p w:rsidR="00000000" w:rsidRDefault="00132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8F" w:rsidRDefault="00132424">
    <w:pPr>
      <w:pStyle w:val="ad"/>
      <w:pBdr>
        <w:bottom w:val="single" w:sz="6" w:space="0" w:color="auto"/>
      </w:pBdr>
      <w:jc w:val="right"/>
    </w:pPr>
    <w:r>
      <w:rPr>
        <w:rFonts w:hint="eastAsia"/>
      </w:rPr>
      <w:t>上投摩根安全战略股票型证券投资基金</w:t>
    </w:r>
    <w:r>
      <w:rPr>
        <w:rFonts w:hint="eastAsia"/>
      </w:rPr>
      <w:t>2019</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2424"/>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238F"/>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89DF5-579E-4273-A1ED-61DA1E14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A67EC-89B3-415E-82E9-48315236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1018</Words>
  <Characters>5804</Characters>
  <Application>Microsoft Office Word</Application>
  <DocSecurity>0</DocSecurity>
  <Lines>48</Lines>
  <Paragraphs>13</Paragraphs>
  <ScaleCrop>false</ScaleCrop>
  <Company>Microsoft</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Ersong Zhu</cp:lastModifiedBy>
  <cp:revision>265</cp:revision>
  <dcterms:created xsi:type="dcterms:W3CDTF">2012-10-16T06:07:00Z</dcterms:created>
  <dcterms:modified xsi:type="dcterms:W3CDTF">2019-04-17T06:50:00Z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