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C03E" w14:textId="77777777" w:rsidR="00DA315C" w:rsidRDefault="00DA315C">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78A9F717" w14:textId="77777777" w:rsidR="00DA315C" w:rsidRDefault="00DA315C">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2B793521" w14:textId="77777777" w:rsidR="00DA315C" w:rsidRDefault="00DA315C">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63F7EB8F" w14:textId="77777777" w:rsidR="00DA315C" w:rsidRDefault="00DA315C">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3914AC1C" w14:textId="77777777" w:rsidR="00DA315C" w:rsidRDefault="00CC2E83">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摩根天添盈货币市场基金</w:t>
      </w:r>
    </w:p>
    <w:p w14:paraId="691B7BDF" w14:textId="77777777" w:rsidR="00DA315C" w:rsidRDefault="00CC2E83">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2024年第3季度报告</w:t>
      </w:r>
    </w:p>
    <w:p w14:paraId="5E6C01B6" w14:textId="77777777" w:rsidR="00DA315C" w:rsidRPr="004F02D6" w:rsidRDefault="00CC2E83">
      <w:pPr>
        <w:spacing w:line="360" w:lineRule="auto"/>
        <w:jc w:val="center"/>
        <w:rPr>
          <w:rFonts w:asciiTheme="minorEastAsia" w:eastAsiaTheme="minorEastAsia" w:hAnsiTheme="minorEastAsia"/>
          <w:b/>
          <w:color w:val="000000" w:themeColor="text1"/>
          <w:sz w:val="36"/>
          <w:szCs w:val="36"/>
        </w:rPr>
      </w:pPr>
      <w:r w:rsidRPr="004F02D6">
        <w:rPr>
          <w:rFonts w:asciiTheme="minorEastAsia" w:eastAsiaTheme="minorEastAsia" w:hAnsiTheme="minorEastAsia"/>
          <w:b/>
          <w:color w:val="000000" w:themeColor="text1"/>
          <w:sz w:val="36"/>
          <w:szCs w:val="36"/>
        </w:rPr>
        <w:t>2024年9月30日</w:t>
      </w:r>
    </w:p>
    <w:p w14:paraId="708A8BF0" w14:textId="77777777" w:rsidR="00DA315C" w:rsidRDefault="00DA315C">
      <w:pPr>
        <w:spacing w:line="360" w:lineRule="auto"/>
        <w:jc w:val="center"/>
        <w:rPr>
          <w:rFonts w:asciiTheme="minorEastAsia" w:eastAsiaTheme="minorEastAsia" w:hAnsiTheme="minorEastAsia"/>
          <w:b/>
          <w:color w:val="000000" w:themeColor="text1"/>
          <w:sz w:val="24"/>
        </w:rPr>
      </w:pPr>
    </w:p>
    <w:p w14:paraId="0E277AD0" w14:textId="77777777" w:rsidR="00DA315C" w:rsidRDefault="00DA315C">
      <w:pPr>
        <w:spacing w:line="360" w:lineRule="auto"/>
        <w:jc w:val="center"/>
        <w:rPr>
          <w:rFonts w:asciiTheme="minorEastAsia" w:eastAsiaTheme="minorEastAsia" w:hAnsiTheme="minorEastAsia"/>
          <w:b/>
          <w:color w:val="000000" w:themeColor="text1"/>
          <w:sz w:val="24"/>
        </w:rPr>
      </w:pPr>
    </w:p>
    <w:p w14:paraId="1B9F4486" w14:textId="77777777" w:rsidR="00DA315C" w:rsidRDefault="00DA315C">
      <w:pPr>
        <w:spacing w:line="360" w:lineRule="auto"/>
        <w:jc w:val="center"/>
        <w:rPr>
          <w:rFonts w:asciiTheme="minorEastAsia" w:eastAsiaTheme="minorEastAsia" w:hAnsiTheme="minorEastAsia"/>
          <w:b/>
          <w:color w:val="000000" w:themeColor="text1"/>
          <w:sz w:val="24"/>
        </w:rPr>
      </w:pPr>
    </w:p>
    <w:p w14:paraId="48147CAE" w14:textId="77777777" w:rsidR="00DA315C" w:rsidRDefault="00DA315C">
      <w:pPr>
        <w:spacing w:line="360" w:lineRule="auto"/>
        <w:jc w:val="center"/>
        <w:rPr>
          <w:rFonts w:asciiTheme="minorEastAsia" w:eastAsiaTheme="minorEastAsia" w:hAnsiTheme="minorEastAsia"/>
          <w:b/>
          <w:color w:val="000000" w:themeColor="text1"/>
          <w:sz w:val="24"/>
        </w:rPr>
      </w:pPr>
    </w:p>
    <w:p w14:paraId="54FFFB4C" w14:textId="77777777" w:rsidR="00DA315C" w:rsidRDefault="00DA315C">
      <w:pPr>
        <w:spacing w:line="360" w:lineRule="auto"/>
        <w:jc w:val="center"/>
        <w:rPr>
          <w:rFonts w:asciiTheme="minorEastAsia" w:eastAsiaTheme="minorEastAsia" w:hAnsiTheme="minorEastAsia"/>
          <w:b/>
          <w:color w:val="000000" w:themeColor="text1"/>
          <w:sz w:val="24"/>
        </w:rPr>
      </w:pPr>
    </w:p>
    <w:p w14:paraId="7B587583" w14:textId="77777777" w:rsidR="00DA315C" w:rsidRDefault="00DA315C">
      <w:pPr>
        <w:spacing w:line="360" w:lineRule="auto"/>
        <w:jc w:val="center"/>
        <w:rPr>
          <w:rFonts w:asciiTheme="minorEastAsia" w:eastAsiaTheme="minorEastAsia" w:hAnsiTheme="minorEastAsia"/>
          <w:b/>
          <w:color w:val="000000" w:themeColor="text1"/>
          <w:sz w:val="24"/>
        </w:rPr>
      </w:pPr>
    </w:p>
    <w:p w14:paraId="0BA119CE" w14:textId="77777777" w:rsidR="00DA315C" w:rsidRDefault="00DA315C">
      <w:pPr>
        <w:spacing w:line="360" w:lineRule="auto"/>
        <w:jc w:val="center"/>
        <w:rPr>
          <w:rFonts w:asciiTheme="minorEastAsia" w:eastAsiaTheme="minorEastAsia" w:hAnsiTheme="minorEastAsia"/>
          <w:b/>
          <w:color w:val="000000" w:themeColor="text1"/>
          <w:sz w:val="24"/>
        </w:rPr>
      </w:pPr>
    </w:p>
    <w:p w14:paraId="3E67A703" w14:textId="77777777" w:rsidR="00DA315C" w:rsidRDefault="00DA315C">
      <w:pPr>
        <w:spacing w:line="360" w:lineRule="auto"/>
        <w:jc w:val="center"/>
        <w:rPr>
          <w:rFonts w:asciiTheme="minorEastAsia" w:eastAsiaTheme="minorEastAsia" w:hAnsiTheme="minorEastAsia"/>
          <w:b/>
          <w:color w:val="000000" w:themeColor="text1"/>
          <w:sz w:val="24"/>
        </w:rPr>
      </w:pPr>
    </w:p>
    <w:p w14:paraId="297EFA41" w14:textId="77777777" w:rsidR="00DA315C" w:rsidRDefault="00DA315C">
      <w:pPr>
        <w:spacing w:line="360" w:lineRule="auto"/>
        <w:jc w:val="center"/>
        <w:rPr>
          <w:rFonts w:asciiTheme="minorEastAsia" w:eastAsiaTheme="minorEastAsia" w:hAnsiTheme="minorEastAsia"/>
          <w:b/>
          <w:color w:val="000000" w:themeColor="text1"/>
          <w:sz w:val="24"/>
        </w:rPr>
      </w:pPr>
    </w:p>
    <w:p w14:paraId="07535321" w14:textId="77777777" w:rsidR="00DA315C" w:rsidRDefault="00DA315C">
      <w:pPr>
        <w:spacing w:line="360" w:lineRule="auto"/>
        <w:jc w:val="center"/>
        <w:rPr>
          <w:rFonts w:asciiTheme="minorEastAsia" w:eastAsiaTheme="minorEastAsia" w:hAnsiTheme="minorEastAsia"/>
          <w:b/>
          <w:color w:val="000000" w:themeColor="text1"/>
          <w:sz w:val="24"/>
        </w:rPr>
      </w:pPr>
    </w:p>
    <w:p w14:paraId="22A8BF5B" w14:textId="77777777" w:rsidR="00DA315C" w:rsidRDefault="00DA315C">
      <w:pPr>
        <w:spacing w:line="360" w:lineRule="auto"/>
        <w:jc w:val="center"/>
        <w:rPr>
          <w:rFonts w:asciiTheme="minorEastAsia" w:eastAsiaTheme="minorEastAsia" w:hAnsiTheme="minorEastAsia"/>
          <w:b/>
          <w:color w:val="000000" w:themeColor="text1"/>
          <w:sz w:val="24"/>
        </w:rPr>
      </w:pPr>
    </w:p>
    <w:p w14:paraId="3EC1B989" w14:textId="77777777" w:rsidR="00DA315C" w:rsidRDefault="00DA315C">
      <w:pPr>
        <w:spacing w:line="360" w:lineRule="auto"/>
        <w:jc w:val="center"/>
        <w:rPr>
          <w:rFonts w:asciiTheme="minorEastAsia" w:eastAsiaTheme="minorEastAsia" w:hAnsiTheme="minorEastAsia"/>
          <w:b/>
          <w:color w:val="000000" w:themeColor="text1"/>
          <w:sz w:val="24"/>
        </w:rPr>
      </w:pPr>
    </w:p>
    <w:p w14:paraId="28F78E71" w14:textId="77777777" w:rsidR="00DA315C" w:rsidRDefault="00DA315C">
      <w:pPr>
        <w:spacing w:line="360" w:lineRule="auto"/>
        <w:jc w:val="center"/>
        <w:rPr>
          <w:rFonts w:asciiTheme="minorEastAsia" w:eastAsiaTheme="minorEastAsia" w:hAnsiTheme="minorEastAsia"/>
          <w:b/>
          <w:color w:val="000000" w:themeColor="text1"/>
          <w:sz w:val="24"/>
        </w:rPr>
      </w:pPr>
    </w:p>
    <w:p w14:paraId="3C205E71" w14:textId="77777777" w:rsidR="00DA315C" w:rsidRDefault="00DA315C">
      <w:pPr>
        <w:spacing w:line="360" w:lineRule="auto"/>
        <w:rPr>
          <w:rFonts w:asciiTheme="minorEastAsia" w:eastAsiaTheme="minorEastAsia" w:hAnsiTheme="minorEastAsia"/>
          <w:b/>
          <w:color w:val="000000" w:themeColor="text1"/>
          <w:sz w:val="24"/>
        </w:rPr>
      </w:pPr>
    </w:p>
    <w:p w14:paraId="40D3E347" w14:textId="77777777" w:rsidR="00DA315C" w:rsidRDefault="00CC2E83">
      <w:pPr>
        <w:spacing w:line="360" w:lineRule="auto"/>
        <w:ind w:firstLineChars="900" w:firstLine="2168"/>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基金管理人：</w:t>
      </w:r>
      <w:r>
        <w:rPr>
          <w:rFonts w:asciiTheme="minorEastAsia" w:eastAsiaTheme="minorEastAsia" w:hAnsiTheme="minorEastAsia"/>
          <w:b/>
          <w:color w:val="000000" w:themeColor="text1"/>
          <w:sz w:val="24"/>
        </w:rPr>
        <w:t>摩根基金管理（中国）有限公司</w:t>
      </w:r>
    </w:p>
    <w:p w14:paraId="1BC2E68C" w14:textId="77777777" w:rsidR="00DA315C" w:rsidRDefault="00CC2E83">
      <w:pPr>
        <w:spacing w:line="360" w:lineRule="auto"/>
        <w:ind w:firstLineChars="900" w:firstLine="2168"/>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基金托管人：</w:t>
      </w:r>
      <w:r>
        <w:rPr>
          <w:rFonts w:asciiTheme="minorEastAsia" w:eastAsiaTheme="minorEastAsia" w:hAnsiTheme="minorEastAsia"/>
          <w:b/>
          <w:color w:val="000000" w:themeColor="text1"/>
          <w:sz w:val="24"/>
        </w:rPr>
        <w:t>中信银行股份有限公司</w:t>
      </w:r>
    </w:p>
    <w:p w14:paraId="1F1354D7" w14:textId="77777777" w:rsidR="00DA315C" w:rsidRDefault="00CC2E83">
      <w:pPr>
        <w:spacing w:line="360" w:lineRule="auto"/>
        <w:ind w:firstLineChars="900" w:firstLine="2168"/>
        <w:rPr>
          <w:rFonts w:asciiTheme="minorEastAsia" w:eastAsiaTheme="minorEastAsia" w:hAnsiTheme="minorEastAsia"/>
          <w:b/>
          <w:color w:val="000000" w:themeColor="text1"/>
          <w:sz w:val="24"/>
        </w:rPr>
        <w:sectPr w:rsidR="00DA315C">
          <w:headerReference w:type="default" r:id="rId7"/>
          <w:footerReference w:type="default" r:id="rId8"/>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rPr>
        <w:t>报告送出日期：</w:t>
      </w:r>
      <w:r>
        <w:rPr>
          <w:rFonts w:asciiTheme="minorEastAsia" w:eastAsiaTheme="minorEastAsia" w:hAnsiTheme="minorEastAsia"/>
          <w:b/>
          <w:color w:val="000000" w:themeColor="text1"/>
          <w:sz w:val="24"/>
        </w:rPr>
        <w:t>二〇二四年十月二十五日</w:t>
      </w:r>
    </w:p>
    <w:p w14:paraId="43AA76A0"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b w:val="0"/>
          <w:color w:val="000000" w:themeColor="text1"/>
          <w:kern w:val="0"/>
          <w:sz w:val="24"/>
          <w:szCs w:val="24"/>
        </w:rPr>
      </w:pPr>
      <w:r>
        <w:rPr>
          <w:rFonts w:asciiTheme="minorEastAsia" w:eastAsiaTheme="minorEastAsia" w:hAnsiTheme="minorEastAsia" w:cs="Arial" w:hint="eastAsia"/>
          <w:color w:val="000000" w:themeColor="text1"/>
          <w:kern w:val="0"/>
          <w:sz w:val="24"/>
          <w:szCs w:val="24"/>
        </w:rPr>
        <w:lastRenderedPageBreak/>
        <w:t>§</w:t>
      </w:r>
      <w:r>
        <w:rPr>
          <w:rFonts w:asciiTheme="minorEastAsia" w:eastAsiaTheme="minorEastAsia" w:hAnsiTheme="minorEastAsia" w:cs="Arial"/>
          <w:color w:val="000000" w:themeColor="text1"/>
          <w:kern w:val="0"/>
          <w:sz w:val="24"/>
          <w:szCs w:val="24"/>
        </w:rPr>
        <w:t xml:space="preserve">1  </w:t>
      </w:r>
      <w:r>
        <w:rPr>
          <w:rFonts w:asciiTheme="minorEastAsia" w:eastAsiaTheme="minorEastAsia" w:hAnsiTheme="minorEastAsia" w:cs="Arial" w:hint="eastAsia"/>
          <w:color w:val="000000" w:themeColor="text1"/>
          <w:kern w:val="0"/>
          <w:sz w:val="24"/>
          <w:szCs w:val="24"/>
        </w:rPr>
        <w:t>重要提示</w:t>
      </w:r>
    </w:p>
    <w:p w14:paraId="7D95ACA4" w14:textId="77777777" w:rsidR="00490177" w:rsidRDefault="00A77B9F">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基金管理人的董事会及董事保证本报告所载资料不存在虚假记载、误导性陈述或重大遗漏，并对其内容的真实性、准确性和完整性承担个别及连带责任。 </w:t>
      </w:r>
    </w:p>
    <w:p w14:paraId="720D0B95" w14:textId="77777777" w:rsidR="00490177" w:rsidRDefault="00A77B9F">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基金托管人中信银行股份有限公司根据本基金合同规定，于2024年10月24日复核了本报告中的财务指标、净值表现和投资组合报告等内容，保证复核内容不存在虚假记载、误导性陈述或者重大遗漏。 </w:t>
      </w:r>
    </w:p>
    <w:p w14:paraId="798244A4" w14:textId="77777777" w:rsidR="00490177" w:rsidRDefault="00A77B9F">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基金管理人承诺以诚实信用、勤勉尽责的原则管理和运用基金资产，但不保证基金一定盈利。 </w:t>
      </w:r>
    </w:p>
    <w:p w14:paraId="15904EFA" w14:textId="77777777" w:rsidR="00490177" w:rsidRDefault="00A77B9F">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基金的过往业绩并不代表其未来表现。投资有风险，投资者在作出投资决策前应仔细阅读本基金的招募说明书。 </w:t>
      </w:r>
    </w:p>
    <w:p w14:paraId="5C3288FD" w14:textId="77777777" w:rsidR="00490177" w:rsidRDefault="00A77B9F">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本报告中财务资料未经审计。</w:t>
      </w:r>
    </w:p>
    <w:p w14:paraId="19BE2648" w14:textId="77777777" w:rsidR="00DA315C" w:rsidRDefault="00CC2E8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本报告期自2024年7月1日起至9月30日止。</w:t>
      </w:r>
    </w:p>
    <w:p w14:paraId="2ECF5FDD"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2  </w:t>
      </w:r>
      <w:r>
        <w:rPr>
          <w:rFonts w:asciiTheme="minorEastAsia" w:eastAsiaTheme="minorEastAsia" w:hAnsiTheme="minorEastAsia" w:cs="Arial" w:hint="eastAsia"/>
          <w:color w:val="000000" w:themeColor="text1"/>
          <w:kern w:val="0"/>
          <w:sz w:val="24"/>
          <w:szCs w:val="24"/>
        </w:rPr>
        <w:t>基金产品概况</w:t>
      </w:r>
    </w:p>
    <w:tbl>
      <w:tblPr>
        <w:tblStyle w:val="af2"/>
        <w:tblW w:w="5000" w:type="pct"/>
        <w:tblLayout w:type="fixed"/>
        <w:tblLook w:val="04A0" w:firstRow="1" w:lastRow="0" w:firstColumn="1" w:lastColumn="0" w:noHBand="0" w:noVBand="1"/>
      </w:tblPr>
      <w:tblGrid>
        <w:gridCol w:w="2658"/>
        <w:gridCol w:w="1561"/>
        <w:gridCol w:w="1559"/>
        <w:gridCol w:w="1838"/>
        <w:gridCol w:w="1686"/>
      </w:tblGrid>
      <w:tr w:rsidR="00DA315C" w14:paraId="1C52DC83" w14:textId="77777777">
        <w:tc>
          <w:tcPr>
            <w:tcW w:w="1429" w:type="pct"/>
          </w:tcPr>
          <w:p w14:paraId="649D749A" w14:textId="77777777" w:rsidR="00DA315C" w:rsidRDefault="00CC2E83">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基金简称</w:t>
            </w:r>
          </w:p>
        </w:tc>
        <w:tc>
          <w:tcPr>
            <w:tcW w:w="3571" w:type="pct"/>
            <w:gridSpan w:val="4"/>
          </w:tcPr>
          <w:p w14:paraId="078F378D" w14:textId="77777777" w:rsidR="00DA315C" w:rsidRDefault="00CC2E83">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摩根天添盈货币</w:t>
            </w:r>
          </w:p>
        </w:tc>
      </w:tr>
      <w:tr w:rsidR="00DA315C" w14:paraId="5E91B4C5" w14:textId="77777777">
        <w:tc>
          <w:tcPr>
            <w:tcW w:w="1429" w:type="pct"/>
          </w:tcPr>
          <w:p w14:paraId="31E26196" w14:textId="77777777" w:rsidR="00DA315C" w:rsidRDefault="00CC2E83">
            <w:pPr>
              <w:adjustRightInd w:val="0"/>
              <w:spacing w:before="29" w:line="360" w:lineRule="auto"/>
              <w:ind w:left="17"/>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基金主代码</w:t>
            </w:r>
          </w:p>
        </w:tc>
        <w:tc>
          <w:tcPr>
            <w:tcW w:w="3571" w:type="pct"/>
            <w:gridSpan w:val="4"/>
          </w:tcPr>
          <w:p w14:paraId="54C682B8" w14:textId="77777777" w:rsidR="00DA315C" w:rsidRDefault="00CC2E83">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000855</w:t>
            </w:r>
          </w:p>
        </w:tc>
      </w:tr>
      <w:tr w:rsidR="00DA315C" w14:paraId="7B861B23" w14:textId="77777777">
        <w:tc>
          <w:tcPr>
            <w:tcW w:w="1429" w:type="pct"/>
          </w:tcPr>
          <w:p w14:paraId="16D0C0F0"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基金运作方式</w:t>
            </w:r>
          </w:p>
        </w:tc>
        <w:tc>
          <w:tcPr>
            <w:tcW w:w="3571" w:type="pct"/>
            <w:gridSpan w:val="4"/>
          </w:tcPr>
          <w:p w14:paraId="618662B8"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契约型开放式</w:t>
            </w:r>
          </w:p>
        </w:tc>
      </w:tr>
      <w:tr w:rsidR="00DA315C" w14:paraId="2FA57C3F" w14:textId="77777777">
        <w:tc>
          <w:tcPr>
            <w:tcW w:w="1429" w:type="pct"/>
          </w:tcPr>
          <w:p w14:paraId="62CBF5F0"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基金合同生效日</w:t>
            </w:r>
          </w:p>
        </w:tc>
        <w:tc>
          <w:tcPr>
            <w:tcW w:w="3571" w:type="pct"/>
            <w:gridSpan w:val="4"/>
          </w:tcPr>
          <w:p w14:paraId="45A6EB81"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2014年11月25日</w:t>
            </w:r>
          </w:p>
        </w:tc>
      </w:tr>
      <w:tr w:rsidR="00DA315C" w14:paraId="5604A0DF" w14:textId="77777777">
        <w:tc>
          <w:tcPr>
            <w:tcW w:w="1429" w:type="pct"/>
          </w:tcPr>
          <w:p w14:paraId="7A9C4231"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报告期末基金份额总额</w:t>
            </w:r>
          </w:p>
        </w:tc>
        <w:tc>
          <w:tcPr>
            <w:tcW w:w="3571" w:type="pct"/>
            <w:gridSpan w:val="4"/>
          </w:tcPr>
          <w:p w14:paraId="57A452AD"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11,440,748,343.98</w:t>
            </w:r>
            <w:r>
              <w:rPr>
                <w:rFonts w:asciiTheme="minorEastAsia" w:eastAsiaTheme="minorEastAsia" w:hAnsiTheme="minorEastAsia" w:hint="eastAsia"/>
                <w:color w:val="000000" w:themeColor="text1"/>
                <w:kern w:val="0"/>
                <w:sz w:val="24"/>
              </w:rPr>
              <w:t>份</w:t>
            </w:r>
          </w:p>
        </w:tc>
      </w:tr>
      <w:tr w:rsidR="00DA315C" w14:paraId="5EC13AD5" w14:textId="77777777">
        <w:tc>
          <w:tcPr>
            <w:tcW w:w="1429" w:type="pct"/>
          </w:tcPr>
          <w:p w14:paraId="0A9C65AE"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投资目标</w:t>
            </w:r>
          </w:p>
        </w:tc>
        <w:tc>
          <w:tcPr>
            <w:tcW w:w="3571" w:type="pct"/>
            <w:gridSpan w:val="4"/>
          </w:tcPr>
          <w:p w14:paraId="2CF56F72"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 xml:space="preserve">在有效控制投资风险和保持较高流动性的前提下，为投资者提供资金的流动性储备，进一步优化现金管理，并力求获得高于业绩比较基准的稳定回报。 </w:t>
            </w:r>
          </w:p>
        </w:tc>
      </w:tr>
      <w:tr w:rsidR="00DA315C" w14:paraId="2E30434F" w14:textId="77777777">
        <w:tc>
          <w:tcPr>
            <w:tcW w:w="1429" w:type="pct"/>
          </w:tcPr>
          <w:p w14:paraId="35FAF617"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投资策略</w:t>
            </w:r>
          </w:p>
        </w:tc>
        <w:tc>
          <w:tcPr>
            <w:tcW w:w="3571" w:type="pct"/>
            <w:gridSpan w:val="4"/>
          </w:tcPr>
          <w:p w14:paraId="77BF9BBB" w14:textId="77777777" w:rsidR="00490177" w:rsidRDefault="00A77B9F">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本基金将综合考虑各类可投资品种的收益性、流动性及风险性特征，对各类资产进行合理的配置和选择。在保证基金资产的安全性和流动性基础上，力争为投资者创造稳定的投资收益。</w:t>
            </w:r>
            <w:r>
              <w:rPr>
                <w:rFonts w:asciiTheme="minorEastAsia" w:eastAsiaTheme="minorEastAsia" w:hAnsiTheme="minorEastAsia"/>
                <w:color w:val="000000" w:themeColor="text1"/>
                <w:kern w:val="0"/>
                <w:sz w:val="24"/>
              </w:rPr>
              <w:lastRenderedPageBreak/>
              <w:t>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p w14:paraId="0CC64ACD"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其他投资策略：包括收益率曲线策略、流动性管理策略、息差策略、套利策略。</w:t>
            </w:r>
          </w:p>
        </w:tc>
      </w:tr>
      <w:tr w:rsidR="00DA315C" w14:paraId="48F91C8E" w14:textId="77777777">
        <w:tc>
          <w:tcPr>
            <w:tcW w:w="1429" w:type="pct"/>
          </w:tcPr>
          <w:p w14:paraId="0C930751"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lastRenderedPageBreak/>
              <w:t>业绩比较基准</w:t>
            </w:r>
          </w:p>
        </w:tc>
        <w:tc>
          <w:tcPr>
            <w:tcW w:w="3571" w:type="pct"/>
            <w:gridSpan w:val="4"/>
          </w:tcPr>
          <w:p w14:paraId="7F8C6B30"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同期七天通知存款利率（税后）</w:t>
            </w:r>
          </w:p>
        </w:tc>
      </w:tr>
      <w:tr w:rsidR="00DA315C" w14:paraId="545B44AA" w14:textId="77777777">
        <w:tc>
          <w:tcPr>
            <w:tcW w:w="1429" w:type="pct"/>
          </w:tcPr>
          <w:p w14:paraId="17C940D7" w14:textId="77777777" w:rsidR="00DA315C" w:rsidRDefault="00CC2E83">
            <w:pPr>
              <w:adjustRightInd w:val="0"/>
              <w:spacing w:before="29" w:line="360" w:lineRule="auto"/>
              <w:ind w:left="17"/>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风险收益特征</w:t>
            </w:r>
          </w:p>
        </w:tc>
        <w:tc>
          <w:tcPr>
            <w:tcW w:w="3571" w:type="pct"/>
            <w:gridSpan w:val="4"/>
          </w:tcPr>
          <w:p w14:paraId="1EC93600" w14:textId="77777777" w:rsidR="00490177" w:rsidRDefault="00A77B9F">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本基金为货币市场基金，是证券投资基金中的低风险品种。本基金的风险和预期收益低于股票型基金、混合型基金和债券型基金。</w:t>
            </w:r>
          </w:p>
          <w:p w14:paraId="282952D4" w14:textId="77777777" w:rsidR="00DA315C" w:rsidRDefault="00CC2E83">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A315C" w14:paraId="5D670DF1" w14:textId="77777777">
        <w:tc>
          <w:tcPr>
            <w:tcW w:w="1429" w:type="pct"/>
          </w:tcPr>
          <w:p w14:paraId="4C6609B2"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基金管理人</w:t>
            </w:r>
          </w:p>
        </w:tc>
        <w:tc>
          <w:tcPr>
            <w:tcW w:w="3571" w:type="pct"/>
            <w:gridSpan w:val="4"/>
          </w:tcPr>
          <w:p w14:paraId="018EC6A3"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摩根基金管理（中国）有限公司</w:t>
            </w:r>
          </w:p>
        </w:tc>
      </w:tr>
      <w:tr w:rsidR="00DA315C" w14:paraId="754A773D" w14:textId="77777777">
        <w:tc>
          <w:tcPr>
            <w:tcW w:w="1429" w:type="pct"/>
          </w:tcPr>
          <w:p w14:paraId="558EAF44"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基金托管人</w:t>
            </w:r>
          </w:p>
        </w:tc>
        <w:tc>
          <w:tcPr>
            <w:tcW w:w="3571" w:type="pct"/>
            <w:gridSpan w:val="4"/>
          </w:tcPr>
          <w:p w14:paraId="5DE6AB67"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中信银行股份有限公司</w:t>
            </w:r>
          </w:p>
        </w:tc>
      </w:tr>
      <w:tr w:rsidR="00DA315C" w14:paraId="0C8EA453" w14:textId="77777777">
        <w:tc>
          <w:tcPr>
            <w:tcW w:w="1429" w:type="pct"/>
          </w:tcPr>
          <w:p w14:paraId="44CD63C9" w14:textId="77777777" w:rsidR="00DA315C" w:rsidRDefault="00CC2E83">
            <w:pPr>
              <w:adjustRightInd w:val="0"/>
              <w:spacing w:before="29" w:line="360" w:lineRule="auto"/>
              <w:ind w:left="17"/>
              <w:jc w:val="left"/>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sz w:val="24"/>
              </w:rPr>
              <w:t>下属四级基金的基金简</w:t>
            </w:r>
            <w:r>
              <w:rPr>
                <w:rFonts w:asciiTheme="minorEastAsia" w:eastAsiaTheme="minorEastAsia" w:hAnsiTheme="minorEastAsia" w:hint="eastAsia"/>
                <w:color w:val="000000" w:themeColor="text1"/>
                <w:sz w:val="24"/>
              </w:rPr>
              <w:lastRenderedPageBreak/>
              <w:t>称</w:t>
            </w:r>
          </w:p>
        </w:tc>
        <w:tc>
          <w:tcPr>
            <w:tcW w:w="839" w:type="pct"/>
            <w:vAlign w:val="center"/>
          </w:tcPr>
          <w:p w14:paraId="1679DCFB" w14:textId="77777777" w:rsidR="00DA315C" w:rsidRDefault="00CC2E83">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color w:val="000000" w:themeColor="text1"/>
                <w:sz w:val="24"/>
              </w:rPr>
              <w:lastRenderedPageBreak/>
              <w:t>摩根天添盈</w:t>
            </w:r>
            <w:r>
              <w:rPr>
                <w:rFonts w:asciiTheme="minorEastAsia" w:eastAsiaTheme="minorEastAsia" w:hAnsiTheme="minorEastAsia"/>
                <w:color w:val="000000" w:themeColor="text1"/>
                <w:sz w:val="24"/>
              </w:rPr>
              <w:lastRenderedPageBreak/>
              <w:t>货币A类</w:t>
            </w:r>
          </w:p>
        </w:tc>
        <w:tc>
          <w:tcPr>
            <w:tcW w:w="838" w:type="pct"/>
            <w:vAlign w:val="center"/>
          </w:tcPr>
          <w:p w14:paraId="5C1F3D2F"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lastRenderedPageBreak/>
              <w:t>摩根天添盈</w:t>
            </w:r>
            <w:r>
              <w:rPr>
                <w:rFonts w:asciiTheme="minorEastAsia" w:eastAsiaTheme="minorEastAsia" w:hAnsiTheme="minorEastAsia" w:hint="eastAsia"/>
                <w:color w:val="000000" w:themeColor="text1"/>
                <w:sz w:val="24"/>
              </w:rPr>
              <w:lastRenderedPageBreak/>
              <w:t>货币B类</w:t>
            </w:r>
          </w:p>
        </w:tc>
        <w:tc>
          <w:tcPr>
            <w:tcW w:w="988" w:type="pct"/>
            <w:vAlign w:val="center"/>
          </w:tcPr>
          <w:p w14:paraId="357B1029"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lastRenderedPageBreak/>
              <w:t>摩根天添盈货</w:t>
            </w:r>
            <w:r>
              <w:rPr>
                <w:rFonts w:asciiTheme="minorEastAsia" w:eastAsiaTheme="minorEastAsia" w:hAnsiTheme="minorEastAsia" w:hint="eastAsia"/>
                <w:color w:val="000000" w:themeColor="text1"/>
                <w:sz w:val="24"/>
              </w:rPr>
              <w:lastRenderedPageBreak/>
              <w:t>币E类</w:t>
            </w:r>
          </w:p>
        </w:tc>
        <w:tc>
          <w:tcPr>
            <w:tcW w:w="906" w:type="pct"/>
            <w:vAlign w:val="center"/>
          </w:tcPr>
          <w:p w14:paraId="4D27D7CD"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lastRenderedPageBreak/>
              <w:t>摩根天添盈货</w:t>
            </w:r>
            <w:r>
              <w:rPr>
                <w:rFonts w:asciiTheme="minorEastAsia" w:eastAsiaTheme="minorEastAsia" w:hAnsiTheme="minorEastAsia" w:hint="eastAsia"/>
                <w:color w:val="000000" w:themeColor="text1"/>
                <w:sz w:val="24"/>
              </w:rPr>
              <w:lastRenderedPageBreak/>
              <w:t>币C类</w:t>
            </w:r>
          </w:p>
        </w:tc>
      </w:tr>
      <w:tr w:rsidR="00DA315C" w14:paraId="6B68E2AC" w14:textId="77777777">
        <w:tc>
          <w:tcPr>
            <w:tcW w:w="1429" w:type="pct"/>
          </w:tcPr>
          <w:p w14:paraId="5742B741"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下属四级基金的交易代码</w:t>
            </w:r>
          </w:p>
        </w:tc>
        <w:tc>
          <w:tcPr>
            <w:tcW w:w="839" w:type="pct"/>
            <w:vAlign w:val="center"/>
          </w:tcPr>
          <w:p w14:paraId="357D0DCF" w14:textId="77777777" w:rsidR="00DA315C" w:rsidRDefault="00CC2E83">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000855</w:t>
            </w:r>
          </w:p>
        </w:tc>
        <w:tc>
          <w:tcPr>
            <w:tcW w:w="838" w:type="pct"/>
            <w:vAlign w:val="center"/>
          </w:tcPr>
          <w:p w14:paraId="198785D5"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000856</w:t>
            </w:r>
          </w:p>
        </w:tc>
        <w:tc>
          <w:tcPr>
            <w:tcW w:w="988" w:type="pct"/>
            <w:vAlign w:val="center"/>
          </w:tcPr>
          <w:p w14:paraId="7F2608BA"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000857</w:t>
            </w:r>
          </w:p>
        </w:tc>
        <w:tc>
          <w:tcPr>
            <w:tcW w:w="906" w:type="pct"/>
            <w:vAlign w:val="center"/>
          </w:tcPr>
          <w:p w14:paraId="7129CB4B"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017010</w:t>
            </w:r>
          </w:p>
        </w:tc>
      </w:tr>
      <w:tr w:rsidR="00DA315C" w14:paraId="2D17E47E" w14:textId="77777777">
        <w:tc>
          <w:tcPr>
            <w:tcW w:w="1429" w:type="pct"/>
          </w:tcPr>
          <w:p w14:paraId="31CCC603"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报告期末下属四级基金的份额总额</w:t>
            </w:r>
          </w:p>
        </w:tc>
        <w:tc>
          <w:tcPr>
            <w:tcW w:w="839" w:type="pct"/>
            <w:vAlign w:val="center"/>
          </w:tcPr>
          <w:p w14:paraId="17D53FBA" w14:textId="77777777" w:rsidR="00DA315C" w:rsidRDefault="00CC2E83">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color w:val="000000" w:themeColor="text1"/>
                <w:sz w:val="24"/>
              </w:rPr>
              <w:t>4,533,710,744.85</w:t>
            </w:r>
            <w:r>
              <w:rPr>
                <w:rFonts w:asciiTheme="minorEastAsia" w:eastAsiaTheme="minorEastAsia" w:hAnsiTheme="minorEastAsia" w:hint="eastAsia"/>
                <w:color w:val="000000" w:themeColor="text1"/>
                <w:sz w:val="24"/>
              </w:rPr>
              <w:t>份</w:t>
            </w:r>
          </w:p>
        </w:tc>
        <w:tc>
          <w:tcPr>
            <w:tcW w:w="838" w:type="pct"/>
            <w:vAlign w:val="center"/>
          </w:tcPr>
          <w:p w14:paraId="6AFA85DB" w14:textId="012E70D3"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w:t>
            </w:r>
            <w:r w:rsidR="00A77B9F">
              <w:rPr>
                <w:rFonts w:asciiTheme="minorEastAsia" w:eastAsiaTheme="minorEastAsia" w:hAnsiTheme="minorEastAsia" w:cs="宋体"/>
                <w:color w:val="000000" w:themeColor="text1"/>
                <w:sz w:val="24"/>
              </w:rPr>
              <w:t xml:space="preserve"> </w:t>
            </w:r>
          </w:p>
        </w:tc>
        <w:tc>
          <w:tcPr>
            <w:tcW w:w="988" w:type="pct"/>
            <w:vAlign w:val="center"/>
          </w:tcPr>
          <w:p w14:paraId="27EE00BF"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4,758,211,969.09</w:t>
            </w:r>
            <w:r w:rsidR="00CC2E83">
              <w:rPr>
                <w:rFonts w:asciiTheme="minorEastAsia" w:eastAsiaTheme="minorEastAsia" w:hAnsiTheme="minorEastAsia" w:hint="eastAsia"/>
                <w:color w:val="000000" w:themeColor="text1"/>
                <w:sz w:val="24"/>
              </w:rPr>
              <w:t>份</w:t>
            </w:r>
          </w:p>
        </w:tc>
        <w:tc>
          <w:tcPr>
            <w:tcW w:w="906" w:type="pct"/>
            <w:vAlign w:val="center"/>
          </w:tcPr>
          <w:p w14:paraId="709F5F4C"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2,148,825,630.04</w:t>
            </w:r>
            <w:r w:rsidR="00CC2E83">
              <w:rPr>
                <w:rFonts w:asciiTheme="minorEastAsia" w:eastAsiaTheme="minorEastAsia" w:hAnsiTheme="minorEastAsia" w:hint="eastAsia"/>
                <w:color w:val="000000" w:themeColor="text1"/>
                <w:sz w:val="24"/>
              </w:rPr>
              <w:t>份</w:t>
            </w:r>
          </w:p>
        </w:tc>
      </w:tr>
    </w:tbl>
    <w:p w14:paraId="08A56F3F"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3  </w:t>
      </w:r>
      <w:r>
        <w:rPr>
          <w:rFonts w:asciiTheme="minorEastAsia" w:eastAsiaTheme="minorEastAsia" w:hAnsiTheme="minorEastAsia" w:cs="Arial" w:hint="eastAsia"/>
          <w:color w:val="000000" w:themeColor="text1"/>
          <w:kern w:val="0"/>
          <w:sz w:val="24"/>
          <w:szCs w:val="24"/>
        </w:rPr>
        <w:t>主要财务指标和基金净值表现</w:t>
      </w:r>
    </w:p>
    <w:p w14:paraId="4DA98393" w14:textId="77777777" w:rsidR="00DA315C" w:rsidRDefault="00CC2E83" w:rsidP="00FC703D">
      <w:pPr>
        <w:spacing w:beforeLines="50" w:before="12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3.1 </w:t>
      </w:r>
      <w:r>
        <w:rPr>
          <w:rFonts w:asciiTheme="minorEastAsia" w:eastAsiaTheme="minorEastAsia" w:hAnsiTheme="minorEastAsia" w:cs="Arial" w:hint="eastAsia"/>
          <w:b/>
          <w:color w:val="000000" w:themeColor="text1"/>
          <w:kern w:val="0"/>
          <w:sz w:val="24"/>
        </w:rPr>
        <w:t>主要财务指标</w:t>
      </w:r>
    </w:p>
    <w:p w14:paraId="7B298760"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单位：人民币元</w:t>
      </w:r>
    </w:p>
    <w:tbl>
      <w:tblPr>
        <w:tblStyle w:val="af2"/>
        <w:tblW w:w="0" w:type="auto"/>
        <w:tblLayout w:type="fixed"/>
        <w:tblLook w:val="04A0" w:firstRow="1" w:lastRow="0" w:firstColumn="1" w:lastColumn="0" w:noHBand="0" w:noVBand="1"/>
      </w:tblPr>
      <w:tblGrid>
        <w:gridCol w:w="2235"/>
        <w:gridCol w:w="1701"/>
        <w:gridCol w:w="1701"/>
        <w:gridCol w:w="1804"/>
        <w:gridCol w:w="1861"/>
      </w:tblGrid>
      <w:tr w:rsidR="00DA315C" w14:paraId="413E4DC6" w14:textId="77777777" w:rsidTr="000E6158">
        <w:tc>
          <w:tcPr>
            <w:tcW w:w="2235" w:type="dxa"/>
            <w:vMerge w:val="restart"/>
          </w:tcPr>
          <w:p w14:paraId="033B5A13" w14:textId="77777777" w:rsidR="00DA315C" w:rsidRDefault="00CC2E83">
            <w:pPr>
              <w:autoSpaceDE w:val="0"/>
              <w:autoSpaceDN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主要财务指标</w:t>
            </w:r>
          </w:p>
        </w:tc>
        <w:tc>
          <w:tcPr>
            <w:tcW w:w="7067" w:type="dxa"/>
            <w:gridSpan w:val="4"/>
          </w:tcPr>
          <w:p w14:paraId="16FB4978" w14:textId="77777777" w:rsidR="00DA315C" w:rsidRDefault="00CC2E83">
            <w:pPr>
              <w:autoSpaceDE w:val="0"/>
              <w:autoSpaceDN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报告期(</w:t>
            </w:r>
            <w:r>
              <w:rPr>
                <w:rFonts w:asciiTheme="minorEastAsia" w:eastAsiaTheme="minorEastAsia" w:hAnsiTheme="minorEastAsia" w:cs="宋体"/>
                <w:color w:val="000000" w:themeColor="text1"/>
                <w:sz w:val="24"/>
              </w:rPr>
              <w:t>2024年7月1日-2024年9月30日</w:t>
            </w:r>
            <w:r>
              <w:rPr>
                <w:rFonts w:asciiTheme="minorEastAsia" w:eastAsiaTheme="minorEastAsia" w:hAnsiTheme="minorEastAsia" w:cs="宋体" w:hint="eastAsia"/>
                <w:color w:val="000000" w:themeColor="text1"/>
                <w:sz w:val="24"/>
              </w:rPr>
              <w:t>)</w:t>
            </w:r>
          </w:p>
        </w:tc>
      </w:tr>
      <w:tr w:rsidR="00DA315C" w14:paraId="128B4332" w14:textId="77777777" w:rsidTr="00CB2E1E">
        <w:tc>
          <w:tcPr>
            <w:tcW w:w="2235" w:type="dxa"/>
            <w:vMerge/>
          </w:tcPr>
          <w:p w14:paraId="0E3A72DC" w14:textId="77777777" w:rsidR="00DA315C" w:rsidRDefault="00DA315C">
            <w:pPr>
              <w:autoSpaceDE w:val="0"/>
              <w:autoSpaceDN w:val="0"/>
              <w:spacing w:line="360" w:lineRule="auto"/>
              <w:rPr>
                <w:rFonts w:asciiTheme="minorEastAsia" w:eastAsiaTheme="minorEastAsia" w:hAnsiTheme="minorEastAsia"/>
                <w:color w:val="000000" w:themeColor="text1"/>
                <w:sz w:val="24"/>
              </w:rPr>
            </w:pPr>
          </w:p>
        </w:tc>
        <w:tc>
          <w:tcPr>
            <w:tcW w:w="1701" w:type="dxa"/>
            <w:vAlign w:val="center"/>
          </w:tcPr>
          <w:p w14:paraId="735511CC" w14:textId="77777777" w:rsidR="00DA315C" w:rsidRDefault="00CC2E83">
            <w:pPr>
              <w:adjustRightInd w:val="0"/>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olor w:val="000000" w:themeColor="text1"/>
                <w:sz w:val="24"/>
              </w:rPr>
              <w:t>摩根天添盈货币A类</w:t>
            </w:r>
          </w:p>
        </w:tc>
        <w:tc>
          <w:tcPr>
            <w:tcW w:w="1701" w:type="dxa"/>
            <w:vAlign w:val="center"/>
          </w:tcPr>
          <w:p w14:paraId="2198C1F0" w14:textId="77777777" w:rsidR="00DA315C" w:rsidRDefault="00050540">
            <w:pPr>
              <w:adjustRightInd w:val="0"/>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摩根天添盈货币B类</w:t>
            </w:r>
          </w:p>
        </w:tc>
        <w:tc>
          <w:tcPr>
            <w:tcW w:w="1804" w:type="dxa"/>
            <w:vAlign w:val="center"/>
          </w:tcPr>
          <w:p w14:paraId="7C54CD5B" w14:textId="77777777" w:rsidR="00DA315C" w:rsidRDefault="00050540">
            <w:pPr>
              <w:adjustRightInd w:val="0"/>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摩根天添盈货币E类</w:t>
            </w:r>
          </w:p>
        </w:tc>
        <w:tc>
          <w:tcPr>
            <w:tcW w:w="1861" w:type="dxa"/>
            <w:vAlign w:val="center"/>
          </w:tcPr>
          <w:p w14:paraId="5C570C99" w14:textId="77777777" w:rsidR="00DA315C" w:rsidRDefault="00050540">
            <w:pPr>
              <w:adjustRightInd w:val="0"/>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摩根天添盈货币C类</w:t>
            </w:r>
          </w:p>
        </w:tc>
      </w:tr>
      <w:tr w:rsidR="00DA315C" w14:paraId="59AB7F6E" w14:textId="77777777" w:rsidTr="00CB2E1E">
        <w:tc>
          <w:tcPr>
            <w:tcW w:w="2235" w:type="dxa"/>
            <w:vAlign w:val="center"/>
          </w:tcPr>
          <w:p w14:paraId="039D8113" w14:textId="77777777" w:rsidR="00DA315C" w:rsidRDefault="00CC2E83" w:rsidP="00525B26">
            <w:pPr>
              <w:adjustRightInd w:val="0"/>
              <w:spacing w:before="29" w:line="360" w:lineRule="auto"/>
              <w:ind w:left="17"/>
              <w:rPr>
                <w:rFonts w:asciiTheme="minorEastAsia" w:eastAsiaTheme="minorEastAsia" w:hAnsiTheme="minorEastAsia"/>
                <w:color w:val="000000" w:themeColor="text1"/>
                <w:kern w:val="0"/>
                <w:sz w:val="24"/>
              </w:rPr>
            </w:pPr>
            <w:r>
              <w:rPr>
                <w:rFonts w:asciiTheme="minorEastAsia" w:eastAsiaTheme="minorEastAsia" w:hAnsiTheme="minorEastAsia" w:cs="方正仿宋简体"/>
                <w:color w:val="000000" w:themeColor="text1"/>
                <w:kern w:val="0"/>
                <w:sz w:val="24"/>
              </w:rPr>
              <w:t>1.</w:t>
            </w:r>
            <w:r>
              <w:rPr>
                <w:rFonts w:asciiTheme="minorEastAsia" w:eastAsiaTheme="minorEastAsia" w:hAnsiTheme="minorEastAsia" w:cs="宋体" w:hint="eastAsia"/>
                <w:color w:val="000000" w:themeColor="text1"/>
                <w:kern w:val="0"/>
                <w:sz w:val="24"/>
              </w:rPr>
              <w:t>本期已实现收益</w:t>
            </w:r>
          </w:p>
        </w:tc>
        <w:tc>
          <w:tcPr>
            <w:tcW w:w="1701" w:type="dxa"/>
            <w:vAlign w:val="center"/>
          </w:tcPr>
          <w:p w14:paraId="4C6D7A50" w14:textId="77777777" w:rsidR="00DA315C" w:rsidRDefault="00CC2E83"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16,955,847.59</w:t>
            </w:r>
          </w:p>
        </w:tc>
        <w:tc>
          <w:tcPr>
            <w:tcW w:w="1701" w:type="dxa"/>
            <w:vAlign w:val="center"/>
          </w:tcPr>
          <w:p w14:paraId="1EFA22AF"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04" w:type="dxa"/>
            <w:vAlign w:val="center"/>
          </w:tcPr>
          <w:p w14:paraId="7D116252"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21,458,375.72</w:t>
            </w:r>
          </w:p>
        </w:tc>
        <w:tc>
          <w:tcPr>
            <w:tcW w:w="1861" w:type="dxa"/>
            <w:vAlign w:val="center"/>
          </w:tcPr>
          <w:p w14:paraId="1EF5E052"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9,651,070.17</w:t>
            </w:r>
          </w:p>
        </w:tc>
      </w:tr>
      <w:tr w:rsidR="00DA315C" w14:paraId="0AA0AA52" w14:textId="77777777" w:rsidTr="00CB2E1E">
        <w:tc>
          <w:tcPr>
            <w:tcW w:w="2235" w:type="dxa"/>
            <w:vAlign w:val="center"/>
          </w:tcPr>
          <w:p w14:paraId="23449068" w14:textId="77777777" w:rsidR="00DA315C" w:rsidRDefault="00CC2E83" w:rsidP="00525B26">
            <w:pPr>
              <w:adjustRightInd w:val="0"/>
              <w:spacing w:before="29" w:line="360" w:lineRule="auto"/>
              <w:ind w:left="17"/>
              <w:rPr>
                <w:rFonts w:asciiTheme="minorEastAsia" w:eastAsiaTheme="minorEastAsia" w:hAnsiTheme="minorEastAsia"/>
                <w:color w:val="000000" w:themeColor="text1"/>
                <w:kern w:val="0"/>
                <w:sz w:val="24"/>
              </w:rPr>
            </w:pPr>
            <w:r>
              <w:rPr>
                <w:rFonts w:asciiTheme="minorEastAsia" w:eastAsiaTheme="minorEastAsia" w:hAnsiTheme="minorEastAsia" w:cs="方正仿宋简体"/>
                <w:color w:val="000000" w:themeColor="text1"/>
                <w:kern w:val="0"/>
                <w:sz w:val="24"/>
              </w:rPr>
              <w:t>2.</w:t>
            </w:r>
            <w:r>
              <w:rPr>
                <w:rFonts w:asciiTheme="minorEastAsia" w:eastAsiaTheme="minorEastAsia" w:hAnsiTheme="minorEastAsia" w:cs="宋体" w:hint="eastAsia"/>
                <w:color w:val="000000" w:themeColor="text1"/>
                <w:kern w:val="0"/>
                <w:sz w:val="24"/>
              </w:rPr>
              <w:t>本期利润</w:t>
            </w:r>
          </w:p>
        </w:tc>
        <w:tc>
          <w:tcPr>
            <w:tcW w:w="1701" w:type="dxa"/>
            <w:vAlign w:val="center"/>
          </w:tcPr>
          <w:p w14:paraId="18649969" w14:textId="77777777" w:rsidR="00DA315C" w:rsidRDefault="00CC2E83"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16,955,847.59</w:t>
            </w:r>
          </w:p>
        </w:tc>
        <w:tc>
          <w:tcPr>
            <w:tcW w:w="1701" w:type="dxa"/>
            <w:vAlign w:val="center"/>
          </w:tcPr>
          <w:p w14:paraId="665E0A63"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04" w:type="dxa"/>
            <w:vAlign w:val="center"/>
          </w:tcPr>
          <w:p w14:paraId="40C16F7A"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21,458,375.72</w:t>
            </w:r>
          </w:p>
        </w:tc>
        <w:tc>
          <w:tcPr>
            <w:tcW w:w="1861" w:type="dxa"/>
            <w:vAlign w:val="center"/>
          </w:tcPr>
          <w:p w14:paraId="57DE6A4B"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9,651,070.17</w:t>
            </w:r>
          </w:p>
        </w:tc>
      </w:tr>
      <w:tr w:rsidR="00DA315C" w14:paraId="338352B4" w14:textId="77777777" w:rsidTr="00CB2E1E">
        <w:tc>
          <w:tcPr>
            <w:tcW w:w="2235" w:type="dxa"/>
            <w:vAlign w:val="center"/>
          </w:tcPr>
          <w:p w14:paraId="50B2D4EB" w14:textId="77777777" w:rsidR="00DA315C" w:rsidRDefault="00CC2E83" w:rsidP="00525B26">
            <w:pPr>
              <w:adjustRightInd w:val="0"/>
              <w:spacing w:before="29" w:line="360" w:lineRule="auto"/>
              <w:ind w:left="17"/>
              <w:rPr>
                <w:rFonts w:asciiTheme="minorEastAsia" w:eastAsiaTheme="minorEastAsia" w:hAnsiTheme="minorEastAsia"/>
                <w:color w:val="000000" w:themeColor="text1"/>
                <w:kern w:val="0"/>
                <w:sz w:val="24"/>
              </w:rPr>
            </w:pPr>
            <w:r>
              <w:rPr>
                <w:rFonts w:asciiTheme="minorEastAsia" w:eastAsiaTheme="minorEastAsia" w:hAnsiTheme="minorEastAsia" w:cs="方正仿宋简体" w:hint="eastAsia"/>
                <w:color w:val="000000" w:themeColor="text1"/>
                <w:kern w:val="0"/>
                <w:sz w:val="24"/>
              </w:rPr>
              <w:t>3</w:t>
            </w:r>
            <w:r>
              <w:rPr>
                <w:rFonts w:asciiTheme="minorEastAsia" w:eastAsiaTheme="minorEastAsia" w:hAnsiTheme="minorEastAsia" w:cs="方正仿宋简体"/>
                <w:color w:val="000000" w:themeColor="text1"/>
                <w:kern w:val="0"/>
                <w:sz w:val="24"/>
              </w:rPr>
              <w:t>.</w:t>
            </w:r>
            <w:r>
              <w:rPr>
                <w:rFonts w:asciiTheme="minorEastAsia" w:eastAsiaTheme="minorEastAsia" w:hAnsiTheme="minorEastAsia" w:cs="宋体" w:hint="eastAsia"/>
                <w:color w:val="000000" w:themeColor="text1"/>
                <w:kern w:val="0"/>
                <w:sz w:val="24"/>
              </w:rPr>
              <w:t>期末基金资产净值</w:t>
            </w:r>
          </w:p>
        </w:tc>
        <w:tc>
          <w:tcPr>
            <w:tcW w:w="1701" w:type="dxa"/>
            <w:vAlign w:val="center"/>
          </w:tcPr>
          <w:p w14:paraId="779F1FFF" w14:textId="77777777" w:rsidR="00DA315C" w:rsidRDefault="00CC2E83"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4,533,710,744.85</w:t>
            </w:r>
          </w:p>
        </w:tc>
        <w:tc>
          <w:tcPr>
            <w:tcW w:w="1701" w:type="dxa"/>
            <w:vAlign w:val="center"/>
          </w:tcPr>
          <w:p w14:paraId="2E9B77AB"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04" w:type="dxa"/>
            <w:vAlign w:val="center"/>
          </w:tcPr>
          <w:p w14:paraId="1D4AA2AE"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4,758,211,969.09</w:t>
            </w:r>
          </w:p>
        </w:tc>
        <w:tc>
          <w:tcPr>
            <w:tcW w:w="1861" w:type="dxa"/>
            <w:vAlign w:val="center"/>
          </w:tcPr>
          <w:p w14:paraId="534FB298"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2,148,825,630.04</w:t>
            </w:r>
          </w:p>
        </w:tc>
      </w:tr>
    </w:tbl>
    <w:p w14:paraId="500882EE" w14:textId="77777777" w:rsidR="00490177" w:rsidRDefault="00A77B9F">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14:paraId="7193BF7F" w14:textId="77777777" w:rsidR="00DA315C"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上述基金业绩指标不包括交易基金的各项费用（例如基金转换费等），计入费用后实际收益水平要低于所列数字。</w:t>
      </w:r>
    </w:p>
    <w:p w14:paraId="4C265F93" w14:textId="77777777" w:rsidR="00DA315C" w:rsidRDefault="00CC2E83" w:rsidP="00FC703D">
      <w:pPr>
        <w:spacing w:beforeLines="50" w:before="12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3.2 </w:t>
      </w:r>
      <w:r>
        <w:rPr>
          <w:rFonts w:asciiTheme="minorEastAsia" w:eastAsiaTheme="minorEastAsia" w:hAnsiTheme="minorEastAsia" w:cs="Arial" w:hint="eastAsia"/>
          <w:b/>
          <w:color w:val="000000" w:themeColor="text1"/>
          <w:kern w:val="0"/>
          <w:sz w:val="24"/>
        </w:rPr>
        <w:t>基金净值表现</w:t>
      </w:r>
    </w:p>
    <w:p w14:paraId="772D6EBA" w14:textId="77777777" w:rsidR="00DA315C" w:rsidRDefault="00CC2E83" w:rsidP="00FC703D">
      <w:pPr>
        <w:spacing w:beforeLines="50" w:before="12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3.2.1 </w:t>
      </w:r>
      <w:r>
        <w:rPr>
          <w:rFonts w:asciiTheme="minorEastAsia" w:eastAsiaTheme="minorEastAsia" w:hAnsiTheme="minorEastAsia" w:cs="Arial" w:hint="eastAsia"/>
          <w:b/>
          <w:color w:val="000000" w:themeColor="text1"/>
          <w:kern w:val="0"/>
          <w:sz w:val="24"/>
        </w:rPr>
        <w:t>基金份额净值收益率及其与同期业绩比较基准收益率的比较</w:t>
      </w:r>
    </w:p>
    <w:p w14:paraId="24FDDE17" w14:textId="77777777" w:rsidR="00DA315C" w:rsidRDefault="00CC2E83" w:rsidP="00FC703D">
      <w:pPr>
        <w:pStyle w:val="20"/>
        <w:spacing w:beforeLines="50" w:before="120"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lastRenderedPageBreak/>
        <w:t>1、摩根天添盈货币A类:</w:t>
      </w:r>
    </w:p>
    <w:tbl>
      <w:tblPr>
        <w:tblStyle w:val="af2"/>
        <w:tblW w:w="0" w:type="auto"/>
        <w:tblLayout w:type="fixed"/>
        <w:tblLook w:val="04A0" w:firstRow="1" w:lastRow="0" w:firstColumn="1" w:lastColumn="0" w:noHBand="0" w:noVBand="1"/>
      </w:tblPr>
      <w:tblGrid>
        <w:gridCol w:w="1328"/>
        <w:gridCol w:w="1329"/>
        <w:gridCol w:w="1329"/>
        <w:gridCol w:w="1329"/>
        <w:gridCol w:w="1329"/>
        <w:gridCol w:w="1329"/>
        <w:gridCol w:w="1329"/>
      </w:tblGrid>
      <w:tr w:rsidR="00DA315C" w14:paraId="56EB1AB9" w14:textId="77777777">
        <w:tc>
          <w:tcPr>
            <w:tcW w:w="1328" w:type="dxa"/>
            <w:vAlign w:val="center"/>
          </w:tcPr>
          <w:p w14:paraId="3A3DF066"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阶段</w:t>
            </w:r>
          </w:p>
        </w:tc>
        <w:tc>
          <w:tcPr>
            <w:tcW w:w="1329" w:type="dxa"/>
            <w:vAlign w:val="center"/>
          </w:tcPr>
          <w:p w14:paraId="753C3CF0"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净值收益率①</w:t>
            </w:r>
          </w:p>
        </w:tc>
        <w:tc>
          <w:tcPr>
            <w:tcW w:w="1329" w:type="dxa"/>
            <w:vAlign w:val="center"/>
          </w:tcPr>
          <w:p w14:paraId="22FAB2C2"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净值收益率标准差②</w:t>
            </w:r>
          </w:p>
        </w:tc>
        <w:tc>
          <w:tcPr>
            <w:tcW w:w="1329" w:type="dxa"/>
            <w:vAlign w:val="center"/>
          </w:tcPr>
          <w:p w14:paraId="06A881CA"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业绩比较基准收益率③</w:t>
            </w:r>
          </w:p>
        </w:tc>
        <w:tc>
          <w:tcPr>
            <w:tcW w:w="1329" w:type="dxa"/>
            <w:vAlign w:val="center"/>
          </w:tcPr>
          <w:p w14:paraId="0987D689"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业绩比较基准收益率标准差④</w:t>
            </w:r>
          </w:p>
        </w:tc>
        <w:tc>
          <w:tcPr>
            <w:tcW w:w="1329" w:type="dxa"/>
            <w:vAlign w:val="center"/>
          </w:tcPr>
          <w:p w14:paraId="3B3E096E"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①-③</w:t>
            </w:r>
          </w:p>
        </w:tc>
        <w:tc>
          <w:tcPr>
            <w:tcW w:w="1329" w:type="dxa"/>
            <w:vAlign w:val="center"/>
          </w:tcPr>
          <w:p w14:paraId="55FC9BA0"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②-④</w:t>
            </w:r>
          </w:p>
        </w:tc>
      </w:tr>
      <w:tr w:rsidR="00490177" w14:paraId="16606C01" w14:textId="77777777">
        <w:tc>
          <w:tcPr>
            <w:tcW w:w="1328" w:type="dxa"/>
            <w:vAlign w:val="center"/>
          </w:tcPr>
          <w:p w14:paraId="146CFDA2" w14:textId="77777777" w:rsidR="00490177" w:rsidRDefault="00A77B9F">
            <w:pPr>
              <w:jc w:val="left"/>
            </w:pPr>
            <w:r>
              <w:rPr>
                <w:rFonts w:asciiTheme="minorEastAsia" w:eastAsiaTheme="minorEastAsia" w:hAnsiTheme="minorEastAsia"/>
                <w:color w:val="000000" w:themeColor="text1"/>
              </w:rPr>
              <w:t>过去三个月</w:t>
            </w:r>
          </w:p>
        </w:tc>
        <w:tc>
          <w:tcPr>
            <w:tcW w:w="1329" w:type="dxa"/>
            <w:vAlign w:val="center"/>
          </w:tcPr>
          <w:p w14:paraId="344ADBD6" w14:textId="77777777" w:rsidR="00490177" w:rsidRDefault="00A77B9F">
            <w:pPr>
              <w:jc w:val="center"/>
            </w:pPr>
            <w:r>
              <w:rPr>
                <w:rFonts w:asciiTheme="minorEastAsia" w:eastAsiaTheme="minorEastAsia" w:hAnsiTheme="minorEastAsia"/>
                <w:color w:val="000000" w:themeColor="text1"/>
              </w:rPr>
              <w:t>0.3557%</w:t>
            </w:r>
          </w:p>
        </w:tc>
        <w:tc>
          <w:tcPr>
            <w:tcW w:w="1329" w:type="dxa"/>
            <w:vAlign w:val="center"/>
          </w:tcPr>
          <w:p w14:paraId="36E06C1F" w14:textId="77777777" w:rsidR="00490177" w:rsidRDefault="00A77B9F">
            <w:pPr>
              <w:jc w:val="center"/>
            </w:pPr>
            <w:r>
              <w:rPr>
                <w:rFonts w:asciiTheme="minorEastAsia" w:eastAsiaTheme="minorEastAsia" w:hAnsiTheme="minorEastAsia"/>
                <w:color w:val="000000" w:themeColor="text1"/>
              </w:rPr>
              <w:t>0.0010%</w:t>
            </w:r>
          </w:p>
        </w:tc>
        <w:tc>
          <w:tcPr>
            <w:tcW w:w="1329" w:type="dxa"/>
            <w:vAlign w:val="center"/>
          </w:tcPr>
          <w:p w14:paraId="5AA0B0C2" w14:textId="77777777" w:rsidR="00490177" w:rsidRDefault="00A77B9F">
            <w:pPr>
              <w:jc w:val="center"/>
            </w:pPr>
            <w:r>
              <w:rPr>
                <w:rFonts w:asciiTheme="minorEastAsia" w:eastAsiaTheme="minorEastAsia" w:hAnsiTheme="minorEastAsia"/>
                <w:color w:val="000000" w:themeColor="text1"/>
              </w:rPr>
              <w:t>0.3393%</w:t>
            </w:r>
          </w:p>
        </w:tc>
        <w:tc>
          <w:tcPr>
            <w:tcW w:w="1329" w:type="dxa"/>
            <w:vAlign w:val="center"/>
          </w:tcPr>
          <w:p w14:paraId="61A9F7F6" w14:textId="77777777" w:rsidR="00490177" w:rsidRDefault="00A77B9F">
            <w:pPr>
              <w:jc w:val="center"/>
            </w:pPr>
            <w:r>
              <w:rPr>
                <w:rFonts w:asciiTheme="minorEastAsia" w:eastAsiaTheme="minorEastAsia" w:hAnsiTheme="minorEastAsia"/>
                <w:color w:val="000000" w:themeColor="text1"/>
              </w:rPr>
              <w:t>0.0000%</w:t>
            </w:r>
          </w:p>
        </w:tc>
        <w:tc>
          <w:tcPr>
            <w:tcW w:w="1329" w:type="dxa"/>
            <w:vAlign w:val="center"/>
          </w:tcPr>
          <w:p w14:paraId="509A9160" w14:textId="77777777" w:rsidR="00490177" w:rsidRDefault="00A77B9F">
            <w:pPr>
              <w:jc w:val="center"/>
            </w:pPr>
            <w:r>
              <w:rPr>
                <w:rFonts w:asciiTheme="minorEastAsia" w:eastAsiaTheme="minorEastAsia" w:hAnsiTheme="minorEastAsia"/>
                <w:color w:val="000000" w:themeColor="text1"/>
              </w:rPr>
              <w:t>0.0164%</w:t>
            </w:r>
          </w:p>
        </w:tc>
        <w:tc>
          <w:tcPr>
            <w:tcW w:w="1329" w:type="dxa"/>
            <w:vAlign w:val="center"/>
          </w:tcPr>
          <w:p w14:paraId="54C7F720" w14:textId="77777777" w:rsidR="00490177" w:rsidRDefault="00A77B9F">
            <w:pPr>
              <w:jc w:val="center"/>
            </w:pPr>
            <w:r>
              <w:rPr>
                <w:rFonts w:asciiTheme="minorEastAsia" w:eastAsiaTheme="minorEastAsia" w:hAnsiTheme="minorEastAsia"/>
                <w:color w:val="000000" w:themeColor="text1"/>
              </w:rPr>
              <w:t>0.0010%</w:t>
            </w:r>
          </w:p>
        </w:tc>
      </w:tr>
      <w:tr w:rsidR="00490177" w14:paraId="6C4D1421" w14:textId="77777777">
        <w:tc>
          <w:tcPr>
            <w:tcW w:w="1328" w:type="dxa"/>
            <w:vAlign w:val="center"/>
          </w:tcPr>
          <w:p w14:paraId="0C1C32FD" w14:textId="77777777" w:rsidR="00490177" w:rsidRDefault="00A77B9F">
            <w:pPr>
              <w:jc w:val="left"/>
            </w:pPr>
            <w:r>
              <w:rPr>
                <w:rFonts w:asciiTheme="minorEastAsia" w:eastAsiaTheme="minorEastAsia" w:hAnsiTheme="minorEastAsia"/>
                <w:color w:val="000000" w:themeColor="text1"/>
              </w:rPr>
              <w:t>过去六个月</w:t>
            </w:r>
          </w:p>
        </w:tc>
        <w:tc>
          <w:tcPr>
            <w:tcW w:w="1329" w:type="dxa"/>
            <w:vAlign w:val="center"/>
          </w:tcPr>
          <w:p w14:paraId="30DCD879" w14:textId="77777777" w:rsidR="00490177" w:rsidRDefault="00A77B9F">
            <w:pPr>
              <w:jc w:val="center"/>
            </w:pPr>
            <w:r>
              <w:rPr>
                <w:rFonts w:asciiTheme="minorEastAsia" w:eastAsiaTheme="minorEastAsia" w:hAnsiTheme="minorEastAsia"/>
                <w:color w:val="000000" w:themeColor="text1"/>
              </w:rPr>
              <w:t>0.7450%</w:t>
            </w:r>
          </w:p>
        </w:tc>
        <w:tc>
          <w:tcPr>
            <w:tcW w:w="1329" w:type="dxa"/>
            <w:vAlign w:val="center"/>
          </w:tcPr>
          <w:p w14:paraId="23695527" w14:textId="77777777" w:rsidR="00490177" w:rsidRDefault="00A77B9F">
            <w:pPr>
              <w:jc w:val="center"/>
            </w:pPr>
            <w:r>
              <w:rPr>
                <w:rFonts w:asciiTheme="minorEastAsia" w:eastAsiaTheme="minorEastAsia" w:hAnsiTheme="minorEastAsia"/>
                <w:color w:val="000000" w:themeColor="text1"/>
              </w:rPr>
              <w:t>0.0019%</w:t>
            </w:r>
          </w:p>
        </w:tc>
        <w:tc>
          <w:tcPr>
            <w:tcW w:w="1329" w:type="dxa"/>
            <w:vAlign w:val="center"/>
          </w:tcPr>
          <w:p w14:paraId="1AF47FAE" w14:textId="77777777" w:rsidR="00490177" w:rsidRDefault="00A77B9F">
            <w:pPr>
              <w:jc w:val="center"/>
            </w:pPr>
            <w:r>
              <w:rPr>
                <w:rFonts w:asciiTheme="minorEastAsia" w:eastAsiaTheme="minorEastAsia" w:hAnsiTheme="minorEastAsia"/>
                <w:color w:val="000000" w:themeColor="text1"/>
              </w:rPr>
              <w:t>0.6750%</w:t>
            </w:r>
          </w:p>
        </w:tc>
        <w:tc>
          <w:tcPr>
            <w:tcW w:w="1329" w:type="dxa"/>
            <w:vAlign w:val="center"/>
          </w:tcPr>
          <w:p w14:paraId="30D2E6C4" w14:textId="77777777" w:rsidR="00490177" w:rsidRDefault="00A77B9F">
            <w:pPr>
              <w:jc w:val="center"/>
            </w:pPr>
            <w:r>
              <w:rPr>
                <w:rFonts w:asciiTheme="minorEastAsia" w:eastAsiaTheme="minorEastAsia" w:hAnsiTheme="minorEastAsia"/>
                <w:color w:val="000000" w:themeColor="text1"/>
              </w:rPr>
              <w:t>0.0000%</w:t>
            </w:r>
          </w:p>
        </w:tc>
        <w:tc>
          <w:tcPr>
            <w:tcW w:w="1329" w:type="dxa"/>
            <w:vAlign w:val="center"/>
          </w:tcPr>
          <w:p w14:paraId="25EBBBA8" w14:textId="77777777" w:rsidR="00490177" w:rsidRDefault="00A77B9F">
            <w:pPr>
              <w:jc w:val="center"/>
            </w:pPr>
            <w:r>
              <w:rPr>
                <w:rFonts w:asciiTheme="minorEastAsia" w:eastAsiaTheme="minorEastAsia" w:hAnsiTheme="minorEastAsia"/>
                <w:color w:val="000000" w:themeColor="text1"/>
              </w:rPr>
              <w:t>0.0700%</w:t>
            </w:r>
          </w:p>
        </w:tc>
        <w:tc>
          <w:tcPr>
            <w:tcW w:w="1329" w:type="dxa"/>
            <w:vAlign w:val="center"/>
          </w:tcPr>
          <w:p w14:paraId="5F8AD653" w14:textId="77777777" w:rsidR="00490177" w:rsidRDefault="00A77B9F">
            <w:pPr>
              <w:jc w:val="center"/>
            </w:pPr>
            <w:r>
              <w:rPr>
                <w:rFonts w:asciiTheme="minorEastAsia" w:eastAsiaTheme="minorEastAsia" w:hAnsiTheme="minorEastAsia"/>
                <w:color w:val="000000" w:themeColor="text1"/>
              </w:rPr>
              <w:t>0.0019%</w:t>
            </w:r>
          </w:p>
        </w:tc>
      </w:tr>
      <w:tr w:rsidR="00490177" w14:paraId="0A971507" w14:textId="77777777">
        <w:tc>
          <w:tcPr>
            <w:tcW w:w="1328" w:type="dxa"/>
            <w:vAlign w:val="center"/>
          </w:tcPr>
          <w:p w14:paraId="640A17FE" w14:textId="77777777" w:rsidR="00490177" w:rsidRDefault="00A77B9F">
            <w:pPr>
              <w:jc w:val="left"/>
            </w:pPr>
            <w:r>
              <w:rPr>
                <w:rFonts w:asciiTheme="minorEastAsia" w:eastAsiaTheme="minorEastAsia" w:hAnsiTheme="minorEastAsia"/>
                <w:color w:val="000000" w:themeColor="text1"/>
              </w:rPr>
              <w:t>过去一年</w:t>
            </w:r>
          </w:p>
        </w:tc>
        <w:tc>
          <w:tcPr>
            <w:tcW w:w="1329" w:type="dxa"/>
            <w:vAlign w:val="center"/>
          </w:tcPr>
          <w:p w14:paraId="72475B97" w14:textId="77777777" w:rsidR="00490177" w:rsidRDefault="00A77B9F">
            <w:pPr>
              <w:jc w:val="center"/>
            </w:pPr>
            <w:r>
              <w:rPr>
                <w:rFonts w:asciiTheme="minorEastAsia" w:eastAsiaTheme="minorEastAsia" w:hAnsiTheme="minorEastAsia"/>
                <w:color w:val="000000" w:themeColor="text1"/>
              </w:rPr>
              <w:t>1.6496%</w:t>
            </w:r>
          </w:p>
        </w:tc>
        <w:tc>
          <w:tcPr>
            <w:tcW w:w="1329" w:type="dxa"/>
            <w:vAlign w:val="center"/>
          </w:tcPr>
          <w:p w14:paraId="36919469" w14:textId="77777777" w:rsidR="00490177" w:rsidRDefault="00A77B9F">
            <w:pPr>
              <w:jc w:val="center"/>
            </w:pPr>
            <w:r>
              <w:rPr>
                <w:rFonts w:asciiTheme="minorEastAsia" w:eastAsiaTheme="minorEastAsia" w:hAnsiTheme="minorEastAsia"/>
                <w:color w:val="000000" w:themeColor="text1"/>
              </w:rPr>
              <w:t>0.0016%</w:t>
            </w:r>
          </w:p>
        </w:tc>
        <w:tc>
          <w:tcPr>
            <w:tcW w:w="1329" w:type="dxa"/>
            <w:vAlign w:val="center"/>
          </w:tcPr>
          <w:p w14:paraId="09F750FF" w14:textId="77777777" w:rsidR="00490177" w:rsidRDefault="00A77B9F">
            <w:pPr>
              <w:jc w:val="center"/>
            </w:pPr>
            <w:r>
              <w:rPr>
                <w:rFonts w:asciiTheme="minorEastAsia" w:eastAsiaTheme="minorEastAsia" w:hAnsiTheme="minorEastAsia"/>
                <w:color w:val="000000" w:themeColor="text1"/>
              </w:rPr>
              <w:t>1.3509%</w:t>
            </w:r>
          </w:p>
        </w:tc>
        <w:tc>
          <w:tcPr>
            <w:tcW w:w="1329" w:type="dxa"/>
            <w:vAlign w:val="center"/>
          </w:tcPr>
          <w:p w14:paraId="6FEAF9BC" w14:textId="77777777" w:rsidR="00490177" w:rsidRDefault="00A77B9F">
            <w:pPr>
              <w:jc w:val="center"/>
            </w:pPr>
            <w:r>
              <w:rPr>
                <w:rFonts w:asciiTheme="minorEastAsia" w:eastAsiaTheme="minorEastAsia" w:hAnsiTheme="minorEastAsia"/>
                <w:color w:val="000000" w:themeColor="text1"/>
              </w:rPr>
              <w:t>0.0000%</w:t>
            </w:r>
          </w:p>
        </w:tc>
        <w:tc>
          <w:tcPr>
            <w:tcW w:w="1329" w:type="dxa"/>
            <w:vAlign w:val="center"/>
          </w:tcPr>
          <w:p w14:paraId="247B9CDB" w14:textId="77777777" w:rsidR="00490177" w:rsidRDefault="00A77B9F">
            <w:pPr>
              <w:jc w:val="center"/>
            </w:pPr>
            <w:r>
              <w:rPr>
                <w:rFonts w:asciiTheme="minorEastAsia" w:eastAsiaTheme="minorEastAsia" w:hAnsiTheme="minorEastAsia"/>
                <w:color w:val="000000" w:themeColor="text1"/>
              </w:rPr>
              <w:t>0.2987%</w:t>
            </w:r>
          </w:p>
        </w:tc>
        <w:tc>
          <w:tcPr>
            <w:tcW w:w="1329" w:type="dxa"/>
            <w:vAlign w:val="center"/>
          </w:tcPr>
          <w:p w14:paraId="353D4544" w14:textId="77777777" w:rsidR="00490177" w:rsidRDefault="00A77B9F">
            <w:pPr>
              <w:jc w:val="center"/>
            </w:pPr>
            <w:r>
              <w:rPr>
                <w:rFonts w:asciiTheme="minorEastAsia" w:eastAsiaTheme="minorEastAsia" w:hAnsiTheme="minorEastAsia"/>
                <w:color w:val="000000" w:themeColor="text1"/>
              </w:rPr>
              <w:t>0.0016%</w:t>
            </w:r>
          </w:p>
        </w:tc>
      </w:tr>
      <w:tr w:rsidR="00490177" w14:paraId="3DB21DCD" w14:textId="77777777">
        <w:tc>
          <w:tcPr>
            <w:tcW w:w="1328" w:type="dxa"/>
            <w:vAlign w:val="center"/>
          </w:tcPr>
          <w:p w14:paraId="610E606B" w14:textId="77777777" w:rsidR="00490177" w:rsidRDefault="00A77B9F">
            <w:pPr>
              <w:jc w:val="left"/>
            </w:pPr>
            <w:r>
              <w:rPr>
                <w:rFonts w:asciiTheme="minorEastAsia" w:eastAsiaTheme="minorEastAsia" w:hAnsiTheme="minorEastAsia"/>
                <w:color w:val="000000" w:themeColor="text1"/>
              </w:rPr>
              <w:t>过去三年</w:t>
            </w:r>
          </w:p>
        </w:tc>
        <w:tc>
          <w:tcPr>
            <w:tcW w:w="1329" w:type="dxa"/>
            <w:vAlign w:val="center"/>
          </w:tcPr>
          <w:p w14:paraId="7F95CF85" w14:textId="77777777" w:rsidR="00490177" w:rsidRDefault="00A77B9F">
            <w:pPr>
              <w:jc w:val="center"/>
            </w:pPr>
            <w:r>
              <w:rPr>
                <w:rFonts w:asciiTheme="minorEastAsia" w:eastAsiaTheme="minorEastAsia" w:hAnsiTheme="minorEastAsia"/>
                <w:color w:val="000000" w:themeColor="text1"/>
              </w:rPr>
              <w:t>5.2430%</w:t>
            </w:r>
          </w:p>
        </w:tc>
        <w:tc>
          <w:tcPr>
            <w:tcW w:w="1329" w:type="dxa"/>
            <w:vAlign w:val="center"/>
          </w:tcPr>
          <w:p w14:paraId="31471BAD" w14:textId="77777777" w:rsidR="00490177" w:rsidRDefault="00A77B9F">
            <w:pPr>
              <w:jc w:val="center"/>
            </w:pPr>
            <w:r>
              <w:rPr>
                <w:rFonts w:asciiTheme="minorEastAsia" w:eastAsiaTheme="minorEastAsia" w:hAnsiTheme="minorEastAsia"/>
                <w:color w:val="000000" w:themeColor="text1"/>
              </w:rPr>
              <w:t>0.0011%</w:t>
            </w:r>
          </w:p>
        </w:tc>
        <w:tc>
          <w:tcPr>
            <w:tcW w:w="1329" w:type="dxa"/>
            <w:vAlign w:val="center"/>
          </w:tcPr>
          <w:p w14:paraId="0FFD8727" w14:textId="77777777" w:rsidR="00490177" w:rsidRDefault="00A77B9F">
            <w:pPr>
              <w:jc w:val="center"/>
            </w:pPr>
            <w:r>
              <w:rPr>
                <w:rFonts w:asciiTheme="minorEastAsia" w:eastAsiaTheme="minorEastAsia" w:hAnsiTheme="minorEastAsia"/>
                <w:color w:val="000000" w:themeColor="text1"/>
              </w:rPr>
              <w:t>4.0509%</w:t>
            </w:r>
          </w:p>
        </w:tc>
        <w:tc>
          <w:tcPr>
            <w:tcW w:w="1329" w:type="dxa"/>
            <w:vAlign w:val="center"/>
          </w:tcPr>
          <w:p w14:paraId="0C36ABB4" w14:textId="77777777" w:rsidR="00490177" w:rsidRDefault="00A77B9F">
            <w:pPr>
              <w:jc w:val="center"/>
            </w:pPr>
            <w:r>
              <w:rPr>
                <w:rFonts w:asciiTheme="minorEastAsia" w:eastAsiaTheme="minorEastAsia" w:hAnsiTheme="minorEastAsia"/>
                <w:color w:val="000000" w:themeColor="text1"/>
              </w:rPr>
              <w:t>0.0000%</w:t>
            </w:r>
          </w:p>
        </w:tc>
        <w:tc>
          <w:tcPr>
            <w:tcW w:w="1329" w:type="dxa"/>
            <w:vAlign w:val="center"/>
          </w:tcPr>
          <w:p w14:paraId="2865C546" w14:textId="77777777" w:rsidR="00490177" w:rsidRDefault="00A77B9F">
            <w:pPr>
              <w:jc w:val="center"/>
            </w:pPr>
            <w:r>
              <w:rPr>
                <w:rFonts w:asciiTheme="minorEastAsia" w:eastAsiaTheme="minorEastAsia" w:hAnsiTheme="minorEastAsia"/>
                <w:color w:val="000000" w:themeColor="text1"/>
              </w:rPr>
              <w:t>1.1921%</w:t>
            </w:r>
          </w:p>
        </w:tc>
        <w:tc>
          <w:tcPr>
            <w:tcW w:w="1329" w:type="dxa"/>
            <w:vAlign w:val="center"/>
          </w:tcPr>
          <w:p w14:paraId="634DE0B3" w14:textId="77777777" w:rsidR="00490177" w:rsidRDefault="00A77B9F">
            <w:pPr>
              <w:jc w:val="center"/>
            </w:pPr>
            <w:r>
              <w:rPr>
                <w:rFonts w:asciiTheme="minorEastAsia" w:eastAsiaTheme="minorEastAsia" w:hAnsiTheme="minorEastAsia"/>
                <w:color w:val="000000" w:themeColor="text1"/>
              </w:rPr>
              <w:t>0.0011%</w:t>
            </w:r>
          </w:p>
        </w:tc>
      </w:tr>
      <w:tr w:rsidR="00490177" w14:paraId="1B774D42" w14:textId="77777777">
        <w:tc>
          <w:tcPr>
            <w:tcW w:w="1328" w:type="dxa"/>
            <w:vAlign w:val="center"/>
          </w:tcPr>
          <w:p w14:paraId="752E1517" w14:textId="77777777" w:rsidR="00490177" w:rsidRDefault="00A77B9F">
            <w:pPr>
              <w:jc w:val="left"/>
            </w:pPr>
            <w:r>
              <w:rPr>
                <w:rFonts w:asciiTheme="minorEastAsia" w:eastAsiaTheme="minorEastAsia" w:hAnsiTheme="minorEastAsia"/>
                <w:color w:val="000000" w:themeColor="text1"/>
              </w:rPr>
              <w:t>过去五年</w:t>
            </w:r>
          </w:p>
        </w:tc>
        <w:tc>
          <w:tcPr>
            <w:tcW w:w="1329" w:type="dxa"/>
            <w:vAlign w:val="center"/>
          </w:tcPr>
          <w:p w14:paraId="03EC0879" w14:textId="77777777" w:rsidR="00490177" w:rsidRDefault="00A77B9F">
            <w:pPr>
              <w:jc w:val="center"/>
            </w:pPr>
            <w:r>
              <w:rPr>
                <w:rFonts w:asciiTheme="minorEastAsia" w:eastAsiaTheme="minorEastAsia" w:hAnsiTheme="minorEastAsia"/>
                <w:color w:val="000000" w:themeColor="text1"/>
              </w:rPr>
              <w:t>9.6601%</w:t>
            </w:r>
          </w:p>
        </w:tc>
        <w:tc>
          <w:tcPr>
            <w:tcW w:w="1329" w:type="dxa"/>
            <w:vAlign w:val="center"/>
          </w:tcPr>
          <w:p w14:paraId="110DB9D7" w14:textId="77777777" w:rsidR="00490177" w:rsidRDefault="00A77B9F">
            <w:pPr>
              <w:jc w:val="center"/>
            </w:pPr>
            <w:r>
              <w:rPr>
                <w:rFonts w:asciiTheme="minorEastAsia" w:eastAsiaTheme="minorEastAsia" w:hAnsiTheme="minorEastAsia"/>
                <w:color w:val="000000" w:themeColor="text1"/>
              </w:rPr>
              <w:t>0.0012%</w:t>
            </w:r>
          </w:p>
        </w:tc>
        <w:tc>
          <w:tcPr>
            <w:tcW w:w="1329" w:type="dxa"/>
            <w:vAlign w:val="center"/>
          </w:tcPr>
          <w:p w14:paraId="569F2334" w14:textId="77777777" w:rsidR="00490177" w:rsidRDefault="00A77B9F">
            <w:pPr>
              <w:jc w:val="center"/>
            </w:pPr>
            <w:r>
              <w:rPr>
                <w:rFonts w:asciiTheme="minorEastAsia" w:eastAsiaTheme="minorEastAsia" w:hAnsiTheme="minorEastAsia"/>
                <w:color w:val="000000" w:themeColor="text1"/>
              </w:rPr>
              <w:t>6.7546%</w:t>
            </w:r>
          </w:p>
        </w:tc>
        <w:tc>
          <w:tcPr>
            <w:tcW w:w="1329" w:type="dxa"/>
            <w:vAlign w:val="center"/>
          </w:tcPr>
          <w:p w14:paraId="32166147" w14:textId="77777777" w:rsidR="00490177" w:rsidRDefault="00A77B9F">
            <w:pPr>
              <w:jc w:val="center"/>
            </w:pPr>
            <w:r>
              <w:rPr>
                <w:rFonts w:asciiTheme="minorEastAsia" w:eastAsiaTheme="minorEastAsia" w:hAnsiTheme="minorEastAsia"/>
                <w:color w:val="000000" w:themeColor="text1"/>
              </w:rPr>
              <w:t>0.0000%</w:t>
            </w:r>
          </w:p>
        </w:tc>
        <w:tc>
          <w:tcPr>
            <w:tcW w:w="1329" w:type="dxa"/>
            <w:vAlign w:val="center"/>
          </w:tcPr>
          <w:p w14:paraId="1F9E9D0A" w14:textId="77777777" w:rsidR="00490177" w:rsidRDefault="00A77B9F">
            <w:pPr>
              <w:jc w:val="center"/>
            </w:pPr>
            <w:r>
              <w:rPr>
                <w:rFonts w:asciiTheme="minorEastAsia" w:eastAsiaTheme="minorEastAsia" w:hAnsiTheme="minorEastAsia"/>
                <w:color w:val="000000" w:themeColor="text1"/>
              </w:rPr>
              <w:t>2.9055%</w:t>
            </w:r>
          </w:p>
        </w:tc>
        <w:tc>
          <w:tcPr>
            <w:tcW w:w="1329" w:type="dxa"/>
            <w:vAlign w:val="center"/>
          </w:tcPr>
          <w:p w14:paraId="22FB3D9C" w14:textId="77777777" w:rsidR="00490177" w:rsidRDefault="00A77B9F">
            <w:pPr>
              <w:jc w:val="center"/>
            </w:pPr>
            <w:r>
              <w:rPr>
                <w:rFonts w:asciiTheme="minorEastAsia" w:eastAsiaTheme="minorEastAsia" w:hAnsiTheme="minorEastAsia"/>
                <w:color w:val="000000" w:themeColor="text1"/>
              </w:rPr>
              <w:t>0.0012%</w:t>
            </w:r>
          </w:p>
        </w:tc>
      </w:tr>
      <w:tr w:rsidR="00490177" w14:paraId="2873E843" w14:textId="77777777">
        <w:tc>
          <w:tcPr>
            <w:tcW w:w="1328" w:type="dxa"/>
            <w:vAlign w:val="center"/>
          </w:tcPr>
          <w:p w14:paraId="4ADBB0AC" w14:textId="77777777" w:rsidR="00490177" w:rsidRDefault="00A77B9F">
            <w:pPr>
              <w:jc w:val="left"/>
            </w:pPr>
            <w:r>
              <w:rPr>
                <w:rFonts w:asciiTheme="minorEastAsia" w:eastAsiaTheme="minorEastAsia" w:hAnsiTheme="minorEastAsia"/>
                <w:color w:val="000000" w:themeColor="text1"/>
              </w:rPr>
              <w:t>自基金合同生效起至今</w:t>
            </w:r>
          </w:p>
        </w:tc>
        <w:tc>
          <w:tcPr>
            <w:tcW w:w="1329" w:type="dxa"/>
            <w:vAlign w:val="center"/>
          </w:tcPr>
          <w:p w14:paraId="69158C33" w14:textId="77777777" w:rsidR="00490177" w:rsidRDefault="00A77B9F">
            <w:pPr>
              <w:jc w:val="center"/>
            </w:pPr>
            <w:r>
              <w:rPr>
                <w:rFonts w:asciiTheme="minorEastAsia" w:eastAsiaTheme="minorEastAsia" w:hAnsiTheme="minorEastAsia"/>
                <w:color w:val="000000" w:themeColor="text1"/>
              </w:rPr>
              <w:t>25.3651%</w:t>
            </w:r>
          </w:p>
        </w:tc>
        <w:tc>
          <w:tcPr>
            <w:tcW w:w="1329" w:type="dxa"/>
            <w:vAlign w:val="center"/>
          </w:tcPr>
          <w:p w14:paraId="7AB078EF" w14:textId="77777777" w:rsidR="00490177" w:rsidRDefault="00A77B9F">
            <w:pPr>
              <w:jc w:val="center"/>
            </w:pPr>
            <w:r>
              <w:rPr>
                <w:rFonts w:asciiTheme="minorEastAsia" w:eastAsiaTheme="minorEastAsia" w:hAnsiTheme="minorEastAsia"/>
                <w:color w:val="000000" w:themeColor="text1"/>
              </w:rPr>
              <w:t>0.0023%</w:t>
            </w:r>
          </w:p>
        </w:tc>
        <w:tc>
          <w:tcPr>
            <w:tcW w:w="1329" w:type="dxa"/>
            <w:vAlign w:val="center"/>
          </w:tcPr>
          <w:p w14:paraId="5F1C650E" w14:textId="77777777" w:rsidR="00490177" w:rsidRDefault="00A77B9F">
            <w:pPr>
              <w:jc w:val="center"/>
            </w:pPr>
            <w:r>
              <w:rPr>
                <w:rFonts w:asciiTheme="minorEastAsia" w:eastAsiaTheme="minorEastAsia" w:hAnsiTheme="minorEastAsia"/>
                <w:color w:val="000000" w:themeColor="text1"/>
              </w:rPr>
              <w:t>13.3049%</w:t>
            </w:r>
          </w:p>
        </w:tc>
        <w:tc>
          <w:tcPr>
            <w:tcW w:w="1329" w:type="dxa"/>
            <w:vAlign w:val="center"/>
          </w:tcPr>
          <w:p w14:paraId="5F5DAA38" w14:textId="77777777" w:rsidR="00490177" w:rsidRDefault="00A77B9F">
            <w:pPr>
              <w:jc w:val="center"/>
            </w:pPr>
            <w:r>
              <w:rPr>
                <w:rFonts w:asciiTheme="minorEastAsia" w:eastAsiaTheme="minorEastAsia" w:hAnsiTheme="minorEastAsia"/>
                <w:color w:val="000000" w:themeColor="text1"/>
              </w:rPr>
              <w:t>0.0000%</w:t>
            </w:r>
          </w:p>
        </w:tc>
        <w:tc>
          <w:tcPr>
            <w:tcW w:w="1329" w:type="dxa"/>
            <w:vAlign w:val="center"/>
          </w:tcPr>
          <w:p w14:paraId="275801E8" w14:textId="77777777" w:rsidR="00490177" w:rsidRDefault="00A77B9F">
            <w:pPr>
              <w:jc w:val="center"/>
            </w:pPr>
            <w:r>
              <w:rPr>
                <w:rFonts w:asciiTheme="minorEastAsia" w:eastAsiaTheme="minorEastAsia" w:hAnsiTheme="minorEastAsia"/>
                <w:color w:val="000000" w:themeColor="text1"/>
              </w:rPr>
              <w:t>12.0602%</w:t>
            </w:r>
          </w:p>
        </w:tc>
        <w:tc>
          <w:tcPr>
            <w:tcW w:w="1329" w:type="dxa"/>
            <w:vAlign w:val="center"/>
          </w:tcPr>
          <w:p w14:paraId="764DF9C5" w14:textId="77777777" w:rsidR="00490177" w:rsidRDefault="00A77B9F">
            <w:pPr>
              <w:jc w:val="center"/>
            </w:pPr>
            <w:r>
              <w:rPr>
                <w:rFonts w:asciiTheme="minorEastAsia" w:eastAsiaTheme="minorEastAsia" w:hAnsiTheme="minorEastAsia"/>
                <w:color w:val="000000" w:themeColor="text1"/>
              </w:rPr>
              <w:t>0.0023%</w:t>
            </w:r>
          </w:p>
        </w:tc>
      </w:tr>
    </w:tbl>
    <w:p w14:paraId="01A22930" w14:textId="77777777" w:rsidR="00DA315C" w:rsidRDefault="00CC2E83" w:rsidP="00FC703D">
      <w:pPr>
        <w:pStyle w:val="20"/>
        <w:spacing w:beforeLines="50" w:before="120"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2、</w:t>
      </w:r>
      <w:r w:rsidR="00050540">
        <w:rPr>
          <w:rFonts w:asciiTheme="minorEastAsia" w:eastAsiaTheme="minorEastAsia" w:hAnsiTheme="minorEastAsia" w:hint="eastAsia"/>
          <w:b/>
          <w:color w:val="000000" w:themeColor="text1"/>
        </w:rPr>
        <w:t>摩根天添盈货币B类</w:t>
      </w:r>
      <w:r>
        <w:rPr>
          <w:rFonts w:asciiTheme="minorEastAsia" w:eastAsiaTheme="minorEastAsia" w:hAnsiTheme="minorEastAsia" w:hint="eastAsia"/>
          <w:b/>
          <w:color w:val="000000" w:themeColor="text1"/>
        </w:rPr>
        <w:t>：</w:t>
      </w:r>
    </w:p>
    <w:p w14:paraId="4512B78E" w14:textId="77777777" w:rsidR="00DA315C" w:rsidRDefault="00050540"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自2018年6月22日起，本基金B类基金份额为零且停止计算B类基金份额每万份收益。</w:t>
      </w:r>
    </w:p>
    <w:p w14:paraId="7A18A75D" w14:textId="77777777" w:rsidR="00DA315C" w:rsidRDefault="00CC2E83" w:rsidP="00FC703D">
      <w:pPr>
        <w:pStyle w:val="20"/>
        <w:spacing w:beforeLines="50" w:before="120"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3、</w:t>
      </w:r>
      <w:r w:rsidR="00050540">
        <w:rPr>
          <w:rFonts w:asciiTheme="minorEastAsia" w:eastAsiaTheme="minorEastAsia" w:hAnsiTheme="minorEastAsia" w:hint="eastAsia"/>
          <w:b/>
          <w:color w:val="000000" w:themeColor="text1"/>
        </w:rPr>
        <w:t>摩根天添盈货币E类</w:t>
      </w:r>
      <w:r>
        <w:rPr>
          <w:rFonts w:asciiTheme="minorEastAsia" w:eastAsiaTheme="minorEastAsia" w:hAnsiTheme="minorEastAsia" w:hint="eastAsia"/>
          <w:b/>
          <w:color w:val="000000" w:themeColor="text1"/>
        </w:rPr>
        <w:t>：</w:t>
      </w:r>
    </w:p>
    <w:tbl>
      <w:tblPr>
        <w:tblStyle w:val="af2"/>
        <w:tblW w:w="0" w:type="auto"/>
        <w:tblLayout w:type="fixed"/>
        <w:tblLook w:val="04A0" w:firstRow="1" w:lastRow="0" w:firstColumn="1" w:lastColumn="0" w:noHBand="0" w:noVBand="1"/>
      </w:tblPr>
      <w:tblGrid>
        <w:gridCol w:w="1328"/>
        <w:gridCol w:w="1329"/>
        <w:gridCol w:w="1329"/>
        <w:gridCol w:w="1329"/>
        <w:gridCol w:w="1329"/>
        <w:gridCol w:w="1329"/>
        <w:gridCol w:w="1329"/>
      </w:tblGrid>
      <w:tr w:rsidR="00DA315C" w14:paraId="4CD444D9" w14:textId="77777777">
        <w:tc>
          <w:tcPr>
            <w:tcW w:w="1328" w:type="dxa"/>
            <w:vAlign w:val="center"/>
          </w:tcPr>
          <w:p w14:paraId="1ED98BDB"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阶段</w:t>
            </w:r>
          </w:p>
        </w:tc>
        <w:tc>
          <w:tcPr>
            <w:tcW w:w="1329" w:type="dxa"/>
            <w:vAlign w:val="center"/>
          </w:tcPr>
          <w:p w14:paraId="1AD707C9"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净值收益率①</w:t>
            </w:r>
          </w:p>
        </w:tc>
        <w:tc>
          <w:tcPr>
            <w:tcW w:w="1329" w:type="dxa"/>
            <w:vAlign w:val="center"/>
          </w:tcPr>
          <w:p w14:paraId="4652587A"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净值收益率标准差②</w:t>
            </w:r>
          </w:p>
        </w:tc>
        <w:tc>
          <w:tcPr>
            <w:tcW w:w="1329" w:type="dxa"/>
            <w:vAlign w:val="center"/>
          </w:tcPr>
          <w:p w14:paraId="60190B79"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业绩比较基准收益率③</w:t>
            </w:r>
          </w:p>
        </w:tc>
        <w:tc>
          <w:tcPr>
            <w:tcW w:w="1329" w:type="dxa"/>
            <w:vAlign w:val="center"/>
          </w:tcPr>
          <w:p w14:paraId="3BDA01EA"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业绩比较基准收益率标准差④</w:t>
            </w:r>
          </w:p>
        </w:tc>
        <w:tc>
          <w:tcPr>
            <w:tcW w:w="1329" w:type="dxa"/>
            <w:vAlign w:val="center"/>
          </w:tcPr>
          <w:p w14:paraId="3588497F"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①-③</w:t>
            </w:r>
          </w:p>
        </w:tc>
        <w:tc>
          <w:tcPr>
            <w:tcW w:w="1329" w:type="dxa"/>
            <w:vAlign w:val="center"/>
          </w:tcPr>
          <w:p w14:paraId="48785EA9"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②-④</w:t>
            </w:r>
          </w:p>
        </w:tc>
      </w:tr>
      <w:tr w:rsidR="00490177" w14:paraId="308D17B4" w14:textId="77777777">
        <w:tc>
          <w:tcPr>
            <w:tcW w:w="1328" w:type="dxa"/>
            <w:vAlign w:val="center"/>
          </w:tcPr>
          <w:p w14:paraId="06620F4E" w14:textId="77777777" w:rsidR="00490177" w:rsidRDefault="00A77B9F">
            <w:pPr>
              <w:jc w:val="left"/>
            </w:pPr>
            <w:r>
              <w:rPr>
                <w:rFonts w:asciiTheme="minorEastAsia" w:eastAsiaTheme="minorEastAsia" w:hAnsiTheme="minorEastAsia"/>
                <w:color w:val="000000" w:themeColor="text1"/>
              </w:rPr>
              <w:t>过去三个月</w:t>
            </w:r>
          </w:p>
        </w:tc>
        <w:tc>
          <w:tcPr>
            <w:tcW w:w="1329" w:type="dxa"/>
            <w:vAlign w:val="center"/>
          </w:tcPr>
          <w:p w14:paraId="7AF1C7F9" w14:textId="77777777" w:rsidR="00490177" w:rsidRDefault="00A77B9F">
            <w:pPr>
              <w:jc w:val="center"/>
            </w:pPr>
            <w:r>
              <w:rPr>
                <w:rFonts w:asciiTheme="minorEastAsia" w:eastAsiaTheme="minorEastAsia" w:hAnsiTheme="minorEastAsia"/>
                <w:color w:val="000000" w:themeColor="text1"/>
              </w:rPr>
              <w:t>0.4163%</w:t>
            </w:r>
          </w:p>
        </w:tc>
        <w:tc>
          <w:tcPr>
            <w:tcW w:w="1329" w:type="dxa"/>
            <w:vAlign w:val="center"/>
          </w:tcPr>
          <w:p w14:paraId="289194D8" w14:textId="77777777" w:rsidR="00490177" w:rsidRDefault="00A77B9F">
            <w:pPr>
              <w:jc w:val="center"/>
            </w:pPr>
            <w:r>
              <w:rPr>
                <w:rFonts w:asciiTheme="minorEastAsia" w:eastAsiaTheme="minorEastAsia" w:hAnsiTheme="minorEastAsia"/>
                <w:color w:val="000000" w:themeColor="text1"/>
              </w:rPr>
              <w:t>0.0010%</w:t>
            </w:r>
          </w:p>
        </w:tc>
        <w:tc>
          <w:tcPr>
            <w:tcW w:w="1329" w:type="dxa"/>
            <w:vAlign w:val="center"/>
          </w:tcPr>
          <w:p w14:paraId="7407DFD5" w14:textId="77777777" w:rsidR="00490177" w:rsidRDefault="00A77B9F">
            <w:pPr>
              <w:jc w:val="center"/>
            </w:pPr>
            <w:r>
              <w:rPr>
                <w:rFonts w:asciiTheme="minorEastAsia" w:eastAsiaTheme="minorEastAsia" w:hAnsiTheme="minorEastAsia"/>
                <w:color w:val="000000" w:themeColor="text1"/>
              </w:rPr>
              <w:t>0.3393%</w:t>
            </w:r>
          </w:p>
        </w:tc>
        <w:tc>
          <w:tcPr>
            <w:tcW w:w="1329" w:type="dxa"/>
            <w:vAlign w:val="center"/>
          </w:tcPr>
          <w:p w14:paraId="6D22E583" w14:textId="77777777" w:rsidR="00490177" w:rsidRDefault="00A77B9F">
            <w:pPr>
              <w:jc w:val="center"/>
            </w:pPr>
            <w:r>
              <w:rPr>
                <w:rFonts w:asciiTheme="minorEastAsia" w:eastAsiaTheme="minorEastAsia" w:hAnsiTheme="minorEastAsia"/>
                <w:color w:val="000000" w:themeColor="text1"/>
              </w:rPr>
              <w:t>0.0000%</w:t>
            </w:r>
          </w:p>
        </w:tc>
        <w:tc>
          <w:tcPr>
            <w:tcW w:w="1329" w:type="dxa"/>
            <w:vAlign w:val="center"/>
          </w:tcPr>
          <w:p w14:paraId="6ECBCB99" w14:textId="77777777" w:rsidR="00490177" w:rsidRDefault="00A77B9F">
            <w:pPr>
              <w:jc w:val="center"/>
            </w:pPr>
            <w:r>
              <w:rPr>
                <w:rFonts w:asciiTheme="minorEastAsia" w:eastAsiaTheme="minorEastAsia" w:hAnsiTheme="minorEastAsia"/>
                <w:color w:val="000000" w:themeColor="text1"/>
              </w:rPr>
              <w:t>0.0770%</w:t>
            </w:r>
          </w:p>
        </w:tc>
        <w:tc>
          <w:tcPr>
            <w:tcW w:w="1329" w:type="dxa"/>
            <w:vAlign w:val="center"/>
          </w:tcPr>
          <w:p w14:paraId="1B4E93E9" w14:textId="77777777" w:rsidR="00490177" w:rsidRDefault="00A77B9F">
            <w:pPr>
              <w:jc w:val="center"/>
            </w:pPr>
            <w:r>
              <w:rPr>
                <w:rFonts w:asciiTheme="minorEastAsia" w:eastAsiaTheme="minorEastAsia" w:hAnsiTheme="minorEastAsia"/>
                <w:color w:val="000000" w:themeColor="text1"/>
              </w:rPr>
              <w:t>0.0010%</w:t>
            </w:r>
          </w:p>
        </w:tc>
      </w:tr>
      <w:tr w:rsidR="00490177" w14:paraId="15D2C2C9" w14:textId="77777777">
        <w:tc>
          <w:tcPr>
            <w:tcW w:w="1328" w:type="dxa"/>
            <w:vAlign w:val="center"/>
          </w:tcPr>
          <w:p w14:paraId="2FD327DD" w14:textId="77777777" w:rsidR="00490177" w:rsidRDefault="00A77B9F">
            <w:pPr>
              <w:jc w:val="left"/>
            </w:pPr>
            <w:r>
              <w:rPr>
                <w:rFonts w:asciiTheme="minorEastAsia" w:eastAsiaTheme="minorEastAsia" w:hAnsiTheme="minorEastAsia"/>
                <w:color w:val="000000" w:themeColor="text1"/>
              </w:rPr>
              <w:t>过去六个月</w:t>
            </w:r>
          </w:p>
        </w:tc>
        <w:tc>
          <w:tcPr>
            <w:tcW w:w="1329" w:type="dxa"/>
            <w:vAlign w:val="center"/>
          </w:tcPr>
          <w:p w14:paraId="52AD0A19" w14:textId="77777777" w:rsidR="00490177" w:rsidRDefault="00A77B9F">
            <w:pPr>
              <w:jc w:val="center"/>
            </w:pPr>
            <w:r>
              <w:rPr>
                <w:rFonts w:asciiTheme="minorEastAsia" w:eastAsiaTheme="minorEastAsia" w:hAnsiTheme="minorEastAsia"/>
                <w:color w:val="000000" w:themeColor="text1"/>
              </w:rPr>
              <w:t>0.8660%</w:t>
            </w:r>
          </w:p>
        </w:tc>
        <w:tc>
          <w:tcPr>
            <w:tcW w:w="1329" w:type="dxa"/>
            <w:vAlign w:val="center"/>
          </w:tcPr>
          <w:p w14:paraId="53693F7E" w14:textId="77777777" w:rsidR="00490177" w:rsidRDefault="00A77B9F">
            <w:pPr>
              <w:jc w:val="center"/>
            </w:pPr>
            <w:r>
              <w:rPr>
                <w:rFonts w:asciiTheme="minorEastAsia" w:eastAsiaTheme="minorEastAsia" w:hAnsiTheme="minorEastAsia"/>
                <w:color w:val="000000" w:themeColor="text1"/>
              </w:rPr>
              <w:t>0.0019%</w:t>
            </w:r>
          </w:p>
        </w:tc>
        <w:tc>
          <w:tcPr>
            <w:tcW w:w="1329" w:type="dxa"/>
            <w:vAlign w:val="center"/>
          </w:tcPr>
          <w:p w14:paraId="07B59985" w14:textId="77777777" w:rsidR="00490177" w:rsidRDefault="00A77B9F">
            <w:pPr>
              <w:jc w:val="center"/>
            </w:pPr>
            <w:r>
              <w:rPr>
                <w:rFonts w:asciiTheme="minorEastAsia" w:eastAsiaTheme="minorEastAsia" w:hAnsiTheme="minorEastAsia"/>
                <w:color w:val="000000" w:themeColor="text1"/>
              </w:rPr>
              <w:t>0.6750%</w:t>
            </w:r>
          </w:p>
        </w:tc>
        <w:tc>
          <w:tcPr>
            <w:tcW w:w="1329" w:type="dxa"/>
            <w:vAlign w:val="center"/>
          </w:tcPr>
          <w:p w14:paraId="5CCF4780" w14:textId="77777777" w:rsidR="00490177" w:rsidRDefault="00A77B9F">
            <w:pPr>
              <w:jc w:val="center"/>
            </w:pPr>
            <w:r>
              <w:rPr>
                <w:rFonts w:asciiTheme="minorEastAsia" w:eastAsiaTheme="minorEastAsia" w:hAnsiTheme="minorEastAsia"/>
                <w:color w:val="000000" w:themeColor="text1"/>
              </w:rPr>
              <w:t>0.0000%</w:t>
            </w:r>
          </w:p>
        </w:tc>
        <w:tc>
          <w:tcPr>
            <w:tcW w:w="1329" w:type="dxa"/>
            <w:vAlign w:val="center"/>
          </w:tcPr>
          <w:p w14:paraId="16F6DE95" w14:textId="77777777" w:rsidR="00490177" w:rsidRDefault="00A77B9F">
            <w:pPr>
              <w:jc w:val="center"/>
            </w:pPr>
            <w:r>
              <w:rPr>
                <w:rFonts w:asciiTheme="minorEastAsia" w:eastAsiaTheme="minorEastAsia" w:hAnsiTheme="minorEastAsia"/>
                <w:color w:val="000000" w:themeColor="text1"/>
              </w:rPr>
              <w:t>0.1910%</w:t>
            </w:r>
          </w:p>
        </w:tc>
        <w:tc>
          <w:tcPr>
            <w:tcW w:w="1329" w:type="dxa"/>
            <w:vAlign w:val="center"/>
          </w:tcPr>
          <w:p w14:paraId="17C5AEE2" w14:textId="77777777" w:rsidR="00490177" w:rsidRDefault="00A77B9F">
            <w:pPr>
              <w:jc w:val="center"/>
            </w:pPr>
            <w:r>
              <w:rPr>
                <w:rFonts w:asciiTheme="minorEastAsia" w:eastAsiaTheme="minorEastAsia" w:hAnsiTheme="minorEastAsia"/>
                <w:color w:val="000000" w:themeColor="text1"/>
              </w:rPr>
              <w:t>0.0019%</w:t>
            </w:r>
          </w:p>
        </w:tc>
      </w:tr>
      <w:tr w:rsidR="00490177" w14:paraId="373C9550" w14:textId="77777777">
        <w:tc>
          <w:tcPr>
            <w:tcW w:w="1328" w:type="dxa"/>
            <w:vAlign w:val="center"/>
          </w:tcPr>
          <w:p w14:paraId="518752B7" w14:textId="77777777" w:rsidR="00490177" w:rsidRDefault="00A77B9F">
            <w:pPr>
              <w:jc w:val="left"/>
            </w:pPr>
            <w:r>
              <w:rPr>
                <w:rFonts w:asciiTheme="minorEastAsia" w:eastAsiaTheme="minorEastAsia" w:hAnsiTheme="minorEastAsia"/>
                <w:color w:val="000000" w:themeColor="text1"/>
              </w:rPr>
              <w:t>过去一年</w:t>
            </w:r>
          </w:p>
        </w:tc>
        <w:tc>
          <w:tcPr>
            <w:tcW w:w="1329" w:type="dxa"/>
            <w:vAlign w:val="center"/>
          </w:tcPr>
          <w:p w14:paraId="4F7D0B13" w14:textId="77777777" w:rsidR="00490177" w:rsidRDefault="00A77B9F">
            <w:pPr>
              <w:jc w:val="center"/>
            </w:pPr>
            <w:r>
              <w:rPr>
                <w:rFonts w:asciiTheme="minorEastAsia" w:eastAsiaTheme="minorEastAsia" w:hAnsiTheme="minorEastAsia"/>
                <w:color w:val="000000" w:themeColor="text1"/>
              </w:rPr>
              <w:t>1.8941%</w:t>
            </w:r>
          </w:p>
        </w:tc>
        <w:tc>
          <w:tcPr>
            <w:tcW w:w="1329" w:type="dxa"/>
            <w:vAlign w:val="center"/>
          </w:tcPr>
          <w:p w14:paraId="0B1EB484" w14:textId="77777777" w:rsidR="00490177" w:rsidRDefault="00A77B9F">
            <w:pPr>
              <w:jc w:val="center"/>
            </w:pPr>
            <w:r>
              <w:rPr>
                <w:rFonts w:asciiTheme="minorEastAsia" w:eastAsiaTheme="minorEastAsia" w:hAnsiTheme="minorEastAsia"/>
                <w:color w:val="000000" w:themeColor="text1"/>
              </w:rPr>
              <w:t>0.0016%</w:t>
            </w:r>
          </w:p>
        </w:tc>
        <w:tc>
          <w:tcPr>
            <w:tcW w:w="1329" w:type="dxa"/>
            <w:vAlign w:val="center"/>
          </w:tcPr>
          <w:p w14:paraId="33FFF2E9" w14:textId="77777777" w:rsidR="00490177" w:rsidRDefault="00A77B9F">
            <w:pPr>
              <w:jc w:val="center"/>
            </w:pPr>
            <w:r>
              <w:rPr>
                <w:rFonts w:asciiTheme="minorEastAsia" w:eastAsiaTheme="minorEastAsia" w:hAnsiTheme="minorEastAsia"/>
                <w:color w:val="000000" w:themeColor="text1"/>
              </w:rPr>
              <w:t>1.3509%</w:t>
            </w:r>
          </w:p>
        </w:tc>
        <w:tc>
          <w:tcPr>
            <w:tcW w:w="1329" w:type="dxa"/>
            <w:vAlign w:val="center"/>
          </w:tcPr>
          <w:p w14:paraId="7D16AF01" w14:textId="77777777" w:rsidR="00490177" w:rsidRDefault="00A77B9F">
            <w:pPr>
              <w:jc w:val="center"/>
            </w:pPr>
            <w:r>
              <w:rPr>
                <w:rFonts w:asciiTheme="minorEastAsia" w:eastAsiaTheme="minorEastAsia" w:hAnsiTheme="minorEastAsia"/>
                <w:color w:val="000000" w:themeColor="text1"/>
              </w:rPr>
              <w:t>0.0000%</w:t>
            </w:r>
          </w:p>
        </w:tc>
        <w:tc>
          <w:tcPr>
            <w:tcW w:w="1329" w:type="dxa"/>
            <w:vAlign w:val="center"/>
          </w:tcPr>
          <w:p w14:paraId="6A44BBD0" w14:textId="77777777" w:rsidR="00490177" w:rsidRDefault="00A77B9F">
            <w:pPr>
              <w:jc w:val="center"/>
            </w:pPr>
            <w:r>
              <w:rPr>
                <w:rFonts w:asciiTheme="minorEastAsia" w:eastAsiaTheme="minorEastAsia" w:hAnsiTheme="minorEastAsia"/>
                <w:color w:val="000000" w:themeColor="text1"/>
              </w:rPr>
              <w:t>0.5432%</w:t>
            </w:r>
          </w:p>
        </w:tc>
        <w:tc>
          <w:tcPr>
            <w:tcW w:w="1329" w:type="dxa"/>
            <w:vAlign w:val="center"/>
          </w:tcPr>
          <w:p w14:paraId="69E5FD8A" w14:textId="77777777" w:rsidR="00490177" w:rsidRDefault="00A77B9F">
            <w:pPr>
              <w:jc w:val="center"/>
            </w:pPr>
            <w:r>
              <w:rPr>
                <w:rFonts w:asciiTheme="minorEastAsia" w:eastAsiaTheme="minorEastAsia" w:hAnsiTheme="minorEastAsia"/>
                <w:color w:val="000000" w:themeColor="text1"/>
              </w:rPr>
              <w:t>0.0016%</w:t>
            </w:r>
          </w:p>
        </w:tc>
      </w:tr>
      <w:tr w:rsidR="00490177" w14:paraId="3FF0450B" w14:textId="77777777">
        <w:tc>
          <w:tcPr>
            <w:tcW w:w="1328" w:type="dxa"/>
            <w:vAlign w:val="center"/>
          </w:tcPr>
          <w:p w14:paraId="2A38F368" w14:textId="77777777" w:rsidR="00490177" w:rsidRDefault="00A77B9F">
            <w:pPr>
              <w:jc w:val="left"/>
            </w:pPr>
            <w:r>
              <w:rPr>
                <w:rFonts w:asciiTheme="minorEastAsia" w:eastAsiaTheme="minorEastAsia" w:hAnsiTheme="minorEastAsia"/>
                <w:color w:val="000000" w:themeColor="text1"/>
              </w:rPr>
              <w:t>过去三年</w:t>
            </w:r>
          </w:p>
        </w:tc>
        <w:tc>
          <w:tcPr>
            <w:tcW w:w="1329" w:type="dxa"/>
            <w:vAlign w:val="center"/>
          </w:tcPr>
          <w:p w14:paraId="65DEB259" w14:textId="77777777" w:rsidR="00490177" w:rsidRDefault="00A77B9F">
            <w:pPr>
              <w:jc w:val="center"/>
            </w:pPr>
            <w:r>
              <w:rPr>
                <w:rFonts w:asciiTheme="minorEastAsia" w:eastAsiaTheme="minorEastAsia" w:hAnsiTheme="minorEastAsia"/>
                <w:color w:val="000000" w:themeColor="text1"/>
              </w:rPr>
              <w:t>5.9941%</w:t>
            </w:r>
          </w:p>
        </w:tc>
        <w:tc>
          <w:tcPr>
            <w:tcW w:w="1329" w:type="dxa"/>
            <w:vAlign w:val="center"/>
          </w:tcPr>
          <w:p w14:paraId="2B6CEACF" w14:textId="77777777" w:rsidR="00490177" w:rsidRDefault="00A77B9F">
            <w:pPr>
              <w:jc w:val="center"/>
            </w:pPr>
            <w:r>
              <w:rPr>
                <w:rFonts w:asciiTheme="minorEastAsia" w:eastAsiaTheme="minorEastAsia" w:hAnsiTheme="minorEastAsia"/>
                <w:color w:val="000000" w:themeColor="text1"/>
              </w:rPr>
              <w:t>0.0011%</w:t>
            </w:r>
          </w:p>
        </w:tc>
        <w:tc>
          <w:tcPr>
            <w:tcW w:w="1329" w:type="dxa"/>
            <w:vAlign w:val="center"/>
          </w:tcPr>
          <w:p w14:paraId="0C78BEF3" w14:textId="77777777" w:rsidR="00490177" w:rsidRDefault="00A77B9F">
            <w:pPr>
              <w:jc w:val="center"/>
            </w:pPr>
            <w:r>
              <w:rPr>
                <w:rFonts w:asciiTheme="minorEastAsia" w:eastAsiaTheme="minorEastAsia" w:hAnsiTheme="minorEastAsia"/>
                <w:color w:val="000000" w:themeColor="text1"/>
              </w:rPr>
              <w:t>4.0509%</w:t>
            </w:r>
          </w:p>
        </w:tc>
        <w:tc>
          <w:tcPr>
            <w:tcW w:w="1329" w:type="dxa"/>
            <w:vAlign w:val="center"/>
          </w:tcPr>
          <w:p w14:paraId="0F422927" w14:textId="77777777" w:rsidR="00490177" w:rsidRDefault="00A77B9F">
            <w:pPr>
              <w:jc w:val="center"/>
            </w:pPr>
            <w:r>
              <w:rPr>
                <w:rFonts w:asciiTheme="minorEastAsia" w:eastAsiaTheme="minorEastAsia" w:hAnsiTheme="minorEastAsia"/>
                <w:color w:val="000000" w:themeColor="text1"/>
              </w:rPr>
              <w:t>0.0000%</w:t>
            </w:r>
          </w:p>
        </w:tc>
        <w:tc>
          <w:tcPr>
            <w:tcW w:w="1329" w:type="dxa"/>
            <w:vAlign w:val="center"/>
          </w:tcPr>
          <w:p w14:paraId="78316B78" w14:textId="77777777" w:rsidR="00490177" w:rsidRDefault="00A77B9F">
            <w:pPr>
              <w:jc w:val="center"/>
            </w:pPr>
            <w:r>
              <w:rPr>
                <w:rFonts w:asciiTheme="minorEastAsia" w:eastAsiaTheme="minorEastAsia" w:hAnsiTheme="minorEastAsia"/>
                <w:color w:val="000000" w:themeColor="text1"/>
              </w:rPr>
              <w:t>1.9432%</w:t>
            </w:r>
          </w:p>
        </w:tc>
        <w:tc>
          <w:tcPr>
            <w:tcW w:w="1329" w:type="dxa"/>
            <w:vAlign w:val="center"/>
          </w:tcPr>
          <w:p w14:paraId="1AF4E48A" w14:textId="77777777" w:rsidR="00490177" w:rsidRDefault="00A77B9F">
            <w:pPr>
              <w:jc w:val="center"/>
            </w:pPr>
            <w:r>
              <w:rPr>
                <w:rFonts w:asciiTheme="minorEastAsia" w:eastAsiaTheme="minorEastAsia" w:hAnsiTheme="minorEastAsia"/>
                <w:color w:val="000000" w:themeColor="text1"/>
              </w:rPr>
              <w:t>0.0011%</w:t>
            </w:r>
          </w:p>
        </w:tc>
      </w:tr>
      <w:tr w:rsidR="00490177" w14:paraId="2A01B2AF" w14:textId="77777777">
        <w:tc>
          <w:tcPr>
            <w:tcW w:w="1328" w:type="dxa"/>
            <w:vAlign w:val="center"/>
          </w:tcPr>
          <w:p w14:paraId="7F9598B3" w14:textId="77777777" w:rsidR="00490177" w:rsidRDefault="00A77B9F">
            <w:pPr>
              <w:jc w:val="left"/>
            </w:pPr>
            <w:r>
              <w:rPr>
                <w:rFonts w:asciiTheme="minorEastAsia" w:eastAsiaTheme="minorEastAsia" w:hAnsiTheme="minorEastAsia"/>
                <w:color w:val="000000" w:themeColor="text1"/>
              </w:rPr>
              <w:t>过去五年</w:t>
            </w:r>
          </w:p>
        </w:tc>
        <w:tc>
          <w:tcPr>
            <w:tcW w:w="1329" w:type="dxa"/>
            <w:vAlign w:val="center"/>
          </w:tcPr>
          <w:p w14:paraId="291005D6" w14:textId="77777777" w:rsidR="00490177" w:rsidRDefault="00A77B9F">
            <w:pPr>
              <w:jc w:val="center"/>
            </w:pPr>
            <w:r>
              <w:rPr>
                <w:rFonts w:asciiTheme="minorEastAsia" w:eastAsiaTheme="minorEastAsia" w:hAnsiTheme="minorEastAsia"/>
                <w:color w:val="000000" w:themeColor="text1"/>
              </w:rPr>
              <w:t>10.7749%</w:t>
            </w:r>
          </w:p>
        </w:tc>
        <w:tc>
          <w:tcPr>
            <w:tcW w:w="1329" w:type="dxa"/>
            <w:vAlign w:val="center"/>
          </w:tcPr>
          <w:p w14:paraId="66BCB17D" w14:textId="77777777" w:rsidR="00490177" w:rsidRDefault="00A77B9F">
            <w:pPr>
              <w:jc w:val="center"/>
            </w:pPr>
            <w:r>
              <w:rPr>
                <w:rFonts w:asciiTheme="minorEastAsia" w:eastAsiaTheme="minorEastAsia" w:hAnsiTheme="minorEastAsia"/>
                <w:color w:val="000000" w:themeColor="text1"/>
              </w:rPr>
              <w:t>0.0011%</w:t>
            </w:r>
          </w:p>
        </w:tc>
        <w:tc>
          <w:tcPr>
            <w:tcW w:w="1329" w:type="dxa"/>
            <w:vAlign w:val="center"/>
          </w:tcPr>
          <w:p w14:paraId="6FF204F0" w14:textId="77777777" w:rsidR="00490177" w:rsidRDefault="00A77B9F">
            <w:pPr>
              <w:jc w:val="center"/>
            </w:pPr>
            <w:r>
              <w:rPr>
                <w:rFonts w:asciiTheme="minorEastAsia" w:eastAsiaTheme="minorEastAsia" w:hAnsiTheme="minorEastAsia"/>
                <w:color w:val="000000" w:themeColor="text1"/>
              </w:rPr>
              <w:t>6.7546%</w:t>
            </w:r>
          </w:p>
        </w:tc>
        <w:tc>
          <w:tcPr>
            <w:tcW w:w="1329" w:type="dxa"/>
            <w:vAlign w:val="center"/>
          </w:tcPr>
          <w:p w14:paraId="32B4670C" w14:textId="77777777" w:rsidR="00490177" w:rsidRDefault="00A77B9F">
            <w:pPr>
              <w:jc w:val="center"/>
            </w:pPr>
            <w:r>
              <w:rPr>
                <w:rFonts w:asciiTheme="minorEastAsia" w:eastAsiaTheme="minorEastAsia" w:hAnsiTheme="minorEastAsia"/>
                <w:color w:val="000000" w:themeColor="text1"/>
              </w:rPr>
              <w:t>0.0000%</w:t>
            </w:r>
          </w:p>
        </w:tc>
        <w:tc>
          <w:tcPr>
            <w:tcW w:w="1329" w:type="dxa"/>
            <w:vAlign w:val="center"/>
          </w:tcPr>
          <w:p w14:paraId="4DE1F493" w14:textId="77777777" w:rsidR="00490177" w:rsidRDefault="00A77B9F">
            <w:pPr>
              <w:jc w:val="center"/>
            </w:pPr>
            <w:r>
              <w:rPr>
                <w:rFonts w:asciiTheme="minorEastAsia" w:eastAsiaTheme="minorEastAsia" w:hAnsiTheme="minorEastAsia"/>
                <w:color w:val="000000" w:themeColor="text1"/>
              </w:rPr>
              <w:t>4.0203%</w:t>
            </w:r>
          </w:p>
        </w:tc>
        <w:tc>
          <w:tcPr>
            <w:tcW w:w="1329" w:type="dxa"/>
            <w:vAlign w:val="center"/>
          </w:tcPr>
          <w:p w14:paraId="70709499" w14:textId="77777777" w:rsidR="00490177" w:rsidRDefault="00A77B9F">
            <w:pPr>
              <w:jc w:val="center"/>
            </w:pPr>
            <w:r>
              <w:rPr>
                <w:rFonts w:asciiTheme="minorEastAsia" w:eastAsiaTheme="minorEastAsia" w:hAnsiTheme="minorEastAsia"/>
                <w:color w:val="000000" w:themeColor="text1"/>
              </w:rPr>
              <w:t>0.0011%</w:t>
            </w:r>
          </w:p>
        </w:tc>
      </w:tr>
      <w:tr w:rsidR="00490177" w14:paraId="5C689E55" w14:textId="77777777">
        <w:tc>
          <w:tcPr>
            <w:tcW w:w="1328" w:type="dxa"/>
            <w:vAlign w:val="center"/>
          </w:tcPr>
          <w:p w14:paraId="1E30BC37" w14:textId="77777777" w:rsidR="00490177" w:rsidRDefault="00A77B9F">
            <w:pPr>
              <w:jc w:val="left"/>
            </w:pPr>
            <w:r>
              <w:rPr>
                <w:rFonts w:asciiTheme="minorEastAsia" w:eastAsiaTheme="minorEastAsia" w:hAnsiTheme="minorEastAsia"/>
                <w:color w:val="000000" w:themeColor="text1"/>
              </w:rPr>
              <w:t>自基金合同生效起至今</w:t>
            </w:r>
          </w:p>
        </w:tc>
        <w:tc>
          <w:tcPr>
            <w:tcW w:w="1329" w:type="dxa"/>
            <w:vAlign w:val="center"/>
          </w:tcPr>
          <w:p w14:paraId="4EB15F40" w14:textId="77777777" w:rsidR="00490177" w:rsidRDefault="00A77B9F">
            <w:pPr>
              <w:jc w:val="center"/>
            </w:pPr>
            <w:r>
              <w:rPr>
                <w:rFonts w:asciiTheme="minorEastAsia" w:eastAsiaTheme="minorEastAsia" w:hAnsiTheme="minorEastAsia"/>
                <w:color w:val="000000" w:themeColor="text1"/>
              </w:rPr>
              <w:t>27.5685%</w:t>
            </w:r>
          </w:p>
        </w:tc>
        <w:tc>
          <w:tcPr>
            <w:tcW w:w="1329" w:type="dxa"/>
            <w:vAlign w:val="center"/>
          </w:tcPr>
          <w:p w14:paraId="059FE8DB" w14:textId="77777777" w:rsidR="00490177" w:rsidRDefault="00A77B9F">
            <w:pPr>
              <w:jc w:val="center"/>
            </w:pPr>
            <w:r>
              <w:rPr>
                <w:rFonts w:asciiTheme="minorEastAsia" w:eastAsiaTheme="minorEastAsia" w:hAnsiTheme="minorEastAsia"/>
                <w:color w:val="000000" w:themeColor="text1"/>
              </w:rPr>
              <w:t>0.0023%</w:t>
            </w:r>
          </w:p>
        </w:tc>
        <w:tc>
          <w:tcPr>
            <w:tcW w:w="1329" w:type="dxa"/>
            <w:vAlign w:val="center"/>
          </w:tcPr>
          <w:p w14:paraId="62B4BB6D" w14:textId="77777777" w:rsidR="00490177" w:rsidRDefault="00A77B9F">
            <w:pPr>
              <w:jc w:val="center"/>
            </w:pPr>
            <w:r>
              <w:rPr>
                <w:rFonts w:asciiTheme="minorEastAsia" w:eastAsiaTheme="minorEastAsia" w:hAnsiTheme="minorEastAsia"/>
                <w:color w:val="000000" w:themeColor="text1"/>
              </w:rPr>
              <w:t>13.3049%</w:t>
            </w:r>
          </w:p>
        </w:tc>
        <w:tc>
          <w:tcPr>
            <w:tcW w:w="1329" w:type="dxa"/>
            <w:vAlign w:val="center"/>
          </w:tcPr>
          <w:p w14:paraId="4A872255" w14:textId="77777777" w:rsidR="00490177" w:rsidRDefault="00A77B9F">
            <w:pPr>
              <w:jc w:val="center"/>
            </w:pPr>
            <w:r>
              <w:rPr>
                <w:rFonts w:asciiTheme="minorEastAsia" w:eastAsiaTheme="minorEastAsia" w:hAnsiTheme="minorEastAsia"/>
                <w:color w:val="000000" w:themeColor="text1"/>
              </w:rPr>
              <w:t>0.0000%</w:t>
            </w:r>
          </w:p>
        </w:tc>
        <w:tc>
          <w:tcPr>
            <w:tcW w:w="1329" w:type="dxa"/>
            <w:vAlign w:val="center"/>
          </w:tcPr>
          <w:p w14:paraId="3D3CF9A3" w14:textId="77777777" w:rsidR="00490177" w:rsidRDefault="00A77B9F">
            <w:pPr>
              <w:jc w:val="center"/>
            </w:pPr>
            <w:r>
              <w:rPr>
                <w:rFonts w:asciiTheme="minorEastAsia" w:eastAsiaTheme="minorEastAsia" w:hAnsiTheme="minorEastAsia"/>
                <w:color w:val="000000" w:themeColor="text1"/>
              </w:rPr>
              <w:t>14.2636%</w:t>
            </w:r>
          </w:p>
        </w:tc>
        <w:tc>
          <w:tcPr>
            <w:tcW w:w="1329" w:type="dxa"/>
            <w:vAlign w:val="center"/>
          </w:tcPr>
          <w:p w14:paraId="6741A520" w14:textId="77777777" w:rsidR="00490177" w:rsidRDefault="00A77B9F">
            <w:pPr>
              <w:jc w:val="center"/>
            </w:pPr>
            <w:r>
              <w:rPr>
                <w:rFonts w:asciiTheme="minorEastAsia" w:eastAsiaTheme="minorEastAsia" w:hAnsiTheme="minorEastAsia"/>
                <w:color w:val="000000" w:themeColor="text1"/>
              </w:rPr>
              <w:t>0.0023%</w:t>
            </w:r>
          </w:p>
        </w:tc>
      </w:tr>
    </w:tbl>
    <w:p w14:paraId="348EF753" w14:textId="77777777" w:rsidR="00DA315C" w:rsidRDefault="00CC2E83" w:rsidP="004600C4">
      <w:pPr>
        <w:pStyle w:val="20"/>
        <w:spacing w:beforeLines="50" w:before="120"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4、</w:t>
      </w:r>
      <w:r w:rsidR="00050540">
        <w:rPr>
          <w:rFonts w:asciiTheme="minorEastAsia" w:eastAsiaTheme="minorEastAsia" w:hAnsiTheme="minorEastAsia" w:hint="eastAsia"/>
          <w:b/>
          <w:color w:val="000000" w:themeColor="text1"/>
        </w:rPr>
        <w:t>摩根天添盈货币C类</w:t>
      </w:r>
      <w:r>
        <w:rPr>
          <w:rFonts w:asciiTheme="minorEastAsia" w:eastAsiaTheme="minorEastAsia" w:hAnsiTheme="minorEastAsia" w:hint="eastAsia"/>
          <w:b/>
          <w:color w:val="000000" w:themeColor="text1"/>
        </w:rPr>
        <w:t>：</w:t>
      </w:r>
    </w:p>
    <w:tbl>
      <w:tblPr>
        <w:tblStyle w:val="af2"/>
        <w:tblW w:w="0" w:type="auto"/>
        <w:tblLayout w:type="fixed"/>
        <w:tblLook w:val="04A0" w:firstRow="1" w:lastRow="0" w:firstColumn="1" w:lastColumn="0" w:noHBand="0" w:noVBand="1"/>
      </w:tblPr>
      <w:tblGrid>
        <w:gridCol w:w="1328"/>
        <w:gridCol w:w="1329"/>
        <w:gridCol w:w="1329"/>
        <w:gridCol w:w="1329"/>
        <w:gridCol w:w="1329"/>
        <w:gridCol w:w="1329"/>
        <w:gridCol w:w="1329"/>
      </w:tblGrid>
      <w:tr w:rsidR="00DA315C" w14:paraId="3370959B" w14:textId="77777777">
        <w:tc>
          <w:tcPr>
            <w:tcW w:w="1328" w:type="dxa"/>
            <w:vAlign w:val="center"/>
          </w:tcPr>
          <w:p w14:paraId="6BB2F9D3"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阶段</w:t>
            </w:r>
          </w:p>
        </w:tc>
        <w:tc>
          <w:tcPr>
            <w:tcW w:w="1329" w:type="dxa"/>
            <w:vAlign w:val="center"/>
          </w:tcPr>
          <w:p w14:paraId="4C270937"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净值收益率①</w:t>
            </w:r>
          </w:p>
        </w:tc>
        <w:tc>
          <w:tcPr>
            <w:tcW w:w="1329" w:type="dxa"/>
            <w:vAlign w:val="center"/>
          </w:tcPr>
          <w:p w14:paraId="10995CAC"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净值收益率标准差②</w:t>
            </w:r>
          </w:p>
        </w:tc>
        <w:tc>
          <w:tcPr>
            <w:tcW w:w="1329" w:type="dxa"/>
            <w:vAlign w:val="center"/>
          </w:tcPr>
          <w:p w14:paraId="6684F638"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业绩比较基准收益率③</w:t>
            </w:r>
          </w:p>
        </w:tc>
        <w:tc>
          <w:tcPr>
            <w:tcW w:w="1329" w:type="dxa"/>
            <w:vAlign w:val="center"/>
          </w:tcPr>
          <w:p w14:paraId="15E6A3FA"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业绩比较基准收益率标准差④</w:t>
            </w:r>
          </w:p>
        </w:tc>
        <w:tc>
          <w:tcPr>
            <w:tcW w:w="1329" w:type="dxa"/>
            <w:vAlign w:val="center"/>
          </w:tcPr>
          <w:p w14:paraId="4C2D7B4C"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①-③</w:t>
            </w:r>
          </w:p>
        </w:tc>
        <w:tc>
          <w:tcPr>
            <w:tcW w:w="1329" w:type="dxa"/>
            <w:vAlign w:val="center"/>
          </w:tcPr>
          <w:p w14:paraId="07DFE569"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②-④</w:t>
            </w:r>
          </w:p>
        </w:tc>
      </w:tr>
      <w:tr w:rsidR="00490177" w14:paraId="4A443644" w14:textId="77777777">
        <w:tc>
          <w:tcPr>
            <w:tcW w:w="1328" w:type="dxa"/>
            <w:vAlign w:val="center"/>
          </w:tcPr>
          <w:p w14:paraId="01283873" w14:textId="77777777" w:rsidR="00490177" w:rsidRDefault="00A77B9F">
            <w:pPr>
              <w:jc w:val="left"/>
            </w:pPr>
            <w:r>
              <w:rPr>
                <w:rFonts w:asciiTheme="minorEastAsia" w:eastAsiaTheme="minorEastAsia" w:hAnsiTheme="minorEastAsia"/>
                <w:color w:val="000000" w:themeColor="text1"/>
              </w:rPr>
              <w:t>过去三个月</w:t>
            </w:r>
          </w:p>
        </w:tc>
        <w:tc>
          <w:tcPr>
            <w:tcW w:w="1329" w:type="dxa"/>
            <w:vAlign w:val="center"/>
          </w:tcPr>
          <w:p w14:paraId="7F0A3EC8" w14:textId="77777777" w:rsidR="00490177" w:rsidRDefault="00A77B9F">
            <w:pPr>
              <w:jc w:val="center"/>
            </w:pPr>
            <w:r>
              <w:rPr>
                <w:rFonts w:asciiTheme="minorEastAsia" w:eastAsiaTheme="minorEastAsia" w:hAnsiTheme="minorEastAsia"/>
                <w:color w:val="000000" w:themeColor="text1"/>
              </w:rPr>
              <w:t>0.3556%</w:t>
            </w:r>
          </w:p>
        </w:tc>
        <w:tc>
          <w:tcPr>
            <w:tcW w:w="1329" w:type="dxa"/>
            <w:vAlign w:val="center"/>
          </w:tcPr>
          <w:p w14:paraId="471788E6" w14:textId="77777777" w:rsidR="00490177" w:rsidRDefault="00A77B9F">
            <w:pPr>
              <w:jc w:val="center"/>
            </w:pPr>
            <w:r>
              <w:rPr>
                <w:rFonts w:asciiTheme="minorEastAsia" w:eastAsiaTheme="minorEastAsia" w:hAnsiTheme="minorEastAsia"/>
                <w:color w:val="000000" w:themeColor="text1"/>
              </w:rPr>
              <w:t>0.0010%</w:t>
            </w:r>
          </w:p>
        </w:tc>
        <w:tc>
          <w:tcPr>
            <w:tcW w:w="1329" w:type="dxa"/>
            <w:vAlign w:val="center"/>
          </w:tcPr>
          <w:p w14:paraId="6CEBC9E0" w14:textId="77777777" w:rsidR="00490177" w:rsidRDefault="00A77B9F">
            <w:pPr>
              <w:jc w:val="center"/>
            </w:pPr>
            <w:r>
              <w:rPr>
                <w:rFonts w:asciiTheme="minorEastAsia" w:eastAsiaTheme="minorEastAsia" w:hAnsiTheme="minorEastAsia"/>
                <w:color w:val="000000" w:themeColor="text1"/>
              </w:rPr>
              <w:t>0.3393%</w:t>
            </w:r>
          </w:p>
        </w:tc>
        <w:tc>
          <w:tcPr>
            <w:tcW w:w="1329" w:type="dxa"/>
            <w:vAlign w:val="center"/>
          </w:tcPr>
          <w:p w14:paraId="2CAC8CEA" w14:textId="77777777" w:rsidR="00490177" w:rsidRDefault="00A77B9F">
            <w:pPr>
              <w:jc w:val="center"/>
            </w:pPr>
            <w:r>
              <w:rPr>
                <w:rFonts w:asciiTheme="minorEastAsia" w:eastAsiaTheme="minorEastAsia" w:hAnsiTheme="minorEastAsia"/>
                <w:color w:val="000000" w:themeColor="text1"/>
              </w:rPr>
              <w:t>0.0000%</w:t>
            </w:r>
          </w:p>
        </w:tc>
        <w:tc>
          <w:tcPr>
            <w:tcW w:w="1329" w:type="dxa"/>
            <w:vAlign w:val="center"/>
          </w:tcPr>
          <w:p w14:paraId="72A6AE45" w14:textId="77777777" w:rsidR="00490177" w:rsidRDefault="00A77B9F">
            <w:pPr>
              <w:jc w:val="center"/>
            </w:pPr>
            <w:r>
              <w:rPr>
                <w:rFonts w:asciiTheme="minorEastAsia" w:eastAsiaTheme="minorEastAsia" w:hAnsiTheme="minorEastAsia"/>
                <w:color w:val="000000" w:themeColor="text1"/>
              </w:rPr>
              <w:t>0.0163%</w:t>
            </w:r>
          </w:p>
        </w:tc>
        <w:tc>
          <w:tcPr>
            <w:tcW w:w="1329" w:type="dxa"/>
            <w:vAlign w:val="center"/>
          </w:tcPr>
          <w:p w14:paraId="7F786EEB" w14:textId="77777777" w:rsidR="00490177" w:rsidRDefault="00A77B9F">
            <w:pPr>
              <w:jc w:val="center"/>
            </w:pPr>
            <w:r>
              <w:rPr>
                <w:rFonts w:asciiTheme="minorEastAsia" w:eastAsiaTheme="minorEastAsia" w:hAnsiTheme="minorEastAsia"/>
                <w:color w:val="000000" w:themeColor="text1"/>
              </w:rPr>
              <w:t>0.0010%</w:t>
            </w:r>
          </w:p>
        </w:tc>
      </w:tr>
      <w:tr w:rsidR="00490177" w14:paraId="11E8AD3D" w14:textId="77777777">
        <w:tc>
          <w:tcPr>
            <w:tcW w:w="1328" w:type="dxa"/>
            <w:vAlign w:val="center"/>
          </w:tcPr>
          <w:p w14:paraId="35E2A326" w14:textId="77777777" w:rsidR="00490177" w:rsidRDefault="00A77B9F">
            <w:pPr>
              <w:jc w:val="left"/>
            </w:pPr>
            <w:r>
              <w:rPr>
                <w:rFonts w:asciiTheme="minorEastAsia" w:eastAsiaTheme="minorEastAsia" w:hAnsiTheme="minorEastAsia"/>
                <w:color w:val="000000" w:themeColor="text1"/>
              </w:rPr>
              <w:t>过去六个月</w:t>
            </w:r>
          </w:p>
        </w:tc>
        <w:tc>
          <w:tcPr>
            <w:tcW w:w="1329" w:type="dxa"/>
            <w:vAlign w:val="center"/>
          </w:tcPr>
          <w:p w14:paraId="5299B77B" w14:textId="77777777" w:rsidR="00490177" w:rsidRDefault="00A77B9F">
            <w:pPr>
              <w:jc w:val="center"/>
            </w:pPr>
            <w:r>
              <w:rPr>
                <w:rFonts w:asciiTheme="minorEastAsia" w:eastAsiaTheme="minorEastAsia" w:hAnsiTheme="minorEastAsia"/>
                <w:color w:val="000000" w:themeColor="text1"/>
              </w:rPr>
              <w:t>0.7450%</w:t>
            </w:r>
          </w:p>
        </w:tc>
        <w:tc>
          <w:tcPr>
            <w:tcW w:w="1329" w:type="dxa"/>
            <w:vAlign w:val="center"/>
          </w:tcPr>
          <w:p w14:paraId="6E20B8E1" w14:textId="77777777" w:rsidR="00490177" w:rsidRDefault="00A77B9F">
            <w:pPr>
              <w:jc w:val="center"/>
            </w:pPr>
            <w:r>
              <w:rPr>
                <w:rFonts w:asciiTheme="minorEastAsia" w:eastAsiaTheme="minorEastAsia" w:hAnsiTheme="minorEastAsia"/>
                <w:color w:val="000000" w:themeColor="text1"/>
              </w:rPr>
              <w:t>0.0019%</w:t>
            </w:r>
          </w:p>
        </w:tc>
        <w:tc>
          <w:tcPr>
            <w:tcW w:w="1329" w:type="dxa"/>
            <w:vAlign w:val="center"/>
          </w:tcPr>
          <w:p w14:paraId="78618FB6" w14:textId="77777777" w:rsidR="00490177" w:rsidRDefault="00A77B9F">
            <w:pPr>
              <w:jc w:val="center"/>
            </w:pPr>
            <w:r>
              <w:rPr>
                <w:rFonts w:asciiTheme="minorEastAsia" w:eastAsiaTheme="minorEastAsia" w:hAnsiTheme="minorEastAsia"/>
                <w:color w:val="000000" w:themeColor="text1"/>
              </w:rPr>
              <w:t>0.6750%</w:t>
            </w:r>
          </w:p>
        </w:tc>
        <w:tc>
          <w:tcPr>
            <w:tcW w:w="1329" w:type="dxa"/>
            <w:vAlign w:val="center"/>
          </w:tcPr>
          <w:p w14:paraId="51D3429C" w14:textId="77777777" w:rsidR="00490177" w:rsidRDefault="00A77B9F">
            <w:pPr>
              <w:jc w:val="center"/>
            </w:pPr>
            <w:r>
              <w:rPr>
                <w:rFonts w:asciiTheme="minorEastAsia" w:eastAsiaTheme="minorEastAsia" w:hAnsiTheme="minorEastAsia"/>
                <w:color w:val="000000" w:themeColor="text1"/>
              </w:rPr>
              <w:t>0.0000%</w:t>
            </w:r>
          </w:p>
        </w:tc>
        <w:tc>
          <w:tcPr>
            <w:tcW w:w="1329" w:type="dxa"/>
            <w:vAlign w:val="center"/>
          </w:tcPr>
          <w:p w14:paraId="30AF4080" w14:textId="77777777" w:rsidR="00490177" w:rsidRDefault="00A77B9F">
            <w:pPr>
              <w:jc w:val="center"/>
            </w:pPr>
            <w:r>
              <w:rPr>
                <w:rFonts w:asciiTheme="minorEastAsia" w:eastAsiaTheme="minorEastAsia" w:hAnsiTheme="minorEastAsia"/>
                <w:color w:val="000000" w:themeColor="text1"/>
              </w:rPr>
              <w:t>0.0700%</w:t>
            </w:r>
          </w:p>
        </w:tc>
        <w:tc>
          <w:tcPr>
            <w:tcW w:w="1329" w:type="dxa"/>
            <w:vAlign w:val="center"/>
          </w:tcPr>
          <w:p w14:paraId="4E4A4292" w14:textId="77777777" w:rsidR="00490177" w:rsidRDefault="00A77B9F">
            <w:pPr>
              <w:jc w:val="center"/>
            </w:pPr>
            <w:r>
              <w:rPr>
                <w:rFonts w:asciiTheme="minorEastAsia" w:eastAsiaTheme="minorEastAsia" w:hAnsiTheme="minorEastAsia"/>
                <w:color w:val="000000" w:themeColor="text1"/>
              </w:rPr>
              <w:t>0.0019%</w:t>
            </w:r>
          </w:p>
        </w:tc>
      </w:tr>
      <w:tr w:rsidR="00490177" w14:paraId="7637CE8C" w14:textId="77777777">
        <w:tc>
          <w:tcPr>
            <w:tcW w:w="1328" w:type="dxa"/>
            <w:vAlign w:val="center"/>
          </w:tcPr>
          <w:p w14:paraId="264ABA9A" w14:textId="77777777" w:rsidR="00490177" w:rsidRDefault="00A77B9F">
            <w:pPr>
              <w:jc w:val="left"/>
            </w:pPr>
            <w:r>
              <w:rPr>
                <w:rFonts w:asciiTheme="minorEastAsia" w:eastAsiaTheme="minorEastAsia" w:hAnsiTheme="minorEastAsia"/>
                <w:color w:val="000000" w:themeColor="text1"/>
              </w:rPr>
              <w:lastRenderedPageBreak/>
              <w:t>过去一年</w:t>
            </w:r>
          </w:p>
        </w:tc>
        <w:tc>
          <w:tcPr>
            <w:tcW w:w="1329" w:type="dxa"/>
            <w:vAlign w:val="center"/>
          </w:tcPr>
          <w:p w14:paraId="1BE57DB0" w14:textId="77777777" w:rsidR="00490177" w:rsidRDefault="00A77B9F">
            <w:pPr>
              <w:jc w:val="center"/>
            </w:pPr>
            <w:r>
              <w:rPr>
                <w:rFonts w:asciiTheme="minorEastAsia" w:eastAsiaTheme="minorEastAsia" w:hAnsiTheme="minorEastAsia"/>
                <w:color w:val="000000" w:themeColor="text1"/>
              </w:rPr>
              <w:t>1.7244%</w:t>
            </w:r>
          </w:p>
        </w:tc>
        <w:tc>
          <w:tcPr>
            <w:tcW w:w="1329" w:type="dxa"/>
            <w:vAlign w:val="center"/>
          </w:tcPr>
          <w:p w14:paraId="4E139750" w14:textId="77777777" w:rsidR="00490177" w:rsidRDefault="00A77B9F">
            <w:pPr>
              <w:jc w:val="center"/>
            </w:pPr>
            <w:r>
              <w:rPr>
                <w:rFonts w:asciiTheme="minorEastAsia" w:eastAsiaTheme="minorEastAsia" w:hAnsiTheme="minorEastAsia"/>
                <w:color w:val="000000" w:themeColor="text1"/>
              </w:rPr>
              <w:t>0.0017%</w:t>
            </w:r>
          </w:p>
        </w:tc>
        <w:tc>
          <w:tcPr>
            <w:tcW w:w="1329" w:type="dxa"/>
            <w:vAlign w:val="center"/>
          </w:tcPr>
          <w:p w14:paraId="60A0B1C0" w14:textId="77777777" w:rsidR="00490177" w:rsidRDefault="00A77B9F">
            <w:pPr>
              <w:jc w:val="center"/>
            </w:pPr>
            <w:r>
              <w:rPr>
                <w:rFonts w:asciiTheme="minorEastAsia" w:eastAsiaTheme="minorEastAsia" w:hAnsiTheme="minorEastAsia"/>
                <w:color w:val="000000" w:themeColor="text1"/>
              </w:rPr>
              <w:t>1.3509%</w:t>
            </w:r>
          </w:p>
        </w:tc>
        <w:tc>
          <w:tcPr>
            <w:tcW w:w="1329" w:type="dxa"/>
            <w:vAlign w:val="center"/>
          </w:tcPr>
          <w:p w14:paraId="0FCFFCDA" w14:textId="77777777" w:rsidR="00490177" w:rsidRDefault="00A77B9F">
            <w:pPr>
              <w:jc w:val="center"/>
            </w:pPr>
            <w:r>
              <w:rPr>
                <w:rFonts w:asciiTheme="minorEastAsia" w:eastAsiaTheme="minorEastAsia" w:hAnsiTheme="minorEastAsia"/>
                <w:color w:val="000000" w:themeColor="text1"/>
              </w:rPr>
              <w:t>0.0000%</w:t>
            </w:r>
          </w:p>
        </w:tc>
        <w:tc>
          <w:tcPr>
            <w:tcW w:w="1329" w:type="dxa"/>
            <w:vAlign w:val="center"/>
          </w:tcPr>
          <w:p w14:paraId="3923F277" w14:textId="77777777" w:rsidR="00490177" w:rsidRDefault="00A77B9F">
            <w:pPr>
              <w:jc w:val="center"/>
            </w:pPr>
            <w:r>
              <w:rPr>
                <w:rFonts w:asciiTheme="minorEastAsia" w:eastAsiaTheme="minorEastAsia" w:hAnsiTheme="minorEastAsia"/>
                <w:color w:val="000000" w:themeColor="text1"/>
              </w:rPr>
              <w:t>0.3735%</w:t>
            </w:r>
          </w:p>
        </w:tc>
        <w:tc>
          <w:tcPr>
            <w:tcW w:w="1329" w:type="dxa"/>
            <w:vAlign w:val="center"/>
          </w:tcPr>
          <w:p w14:paraId="33198CB5" w14:textId="77777777" w:rsidR="00490177" w:rsidRDefault="00A77B9F">
            <w:pPr>
              <w:jc w:val="center"/>
            </w:pPr>
            <w:r>
              <w:rPr>
                <w:rFonts w:asciiTheme="minorEastAsia" w:eastAsiaTheme="minorEastAsia" w:hAnsiTheme="minorEastAsia"/>
                <w:color w:val="000000" w:themeColor="text1"/>
              </w:rPr>
              <w:t>0.0017%</w:t>
            </w:r>
          </w:p>
        </w:tc>
      </w:tr>
      <w:tr w:rsidR="00490177" w14:paraId="1B1ED7F8" w14:textId="77777777">
        <w:tc>
          <w:tcPr>
            <w:tcW w:w="1328" w:type="dxa"/>
            <w:vAlign w:val="center"/>
          </w:tcPr>
          <w:p w14:paraId="55FBC60C" w14:textId="77777777" w:rsidR="00490177" w:rsidRDefault="00A77B9F">
            <w:pPr>
              <w:jc w:val="left"/>
            </w:pPr>
            <w:r>
              <w:rPr>
                <w:rFonts w:asciiTheme="minorEastAsia" w:eastAsiaTheme="minorEastAsia" w:hAnsiTheme="minorEastAsia"/>
                <w:color w:val="000000" w:themeColor="text1"/>
              </w:rPr>
              <w:t>过去五年</w:t>
            </w:r>
          </w:p>
        </w:tc>
        <w:tc>
          <w:tcPr>
            <w:tcW w:w="1329" w:type="dxa"/>
            <w:vAlign w:val="center"/>
          </w:tcPr>
          <w:p w14:paraId="36E9977F" w14:textId="77777777" w:rsidR="00490177" w:rsidRDefault="00A77B9F">
            <w:pPr>
              <w:jc w:val="center"/>
            </w:pPr>
            <w:r>
              <w:rPr>
                <w:rFonts w:asciiTheme="minorEastAsia" w:eastAsiaTheme="minorEastAsia" w:hAnsiTheme="minorEastAsia"/>
                <w:color w:val="000000" w:themeColor="text1"/>
              </w:rPr>
              <w:t>-</w:t>
            </w:r>
          </w:p>
        </w:tc>
        <w:tc>
          <w:tcPr>
            <w:tcW w:w="1329" w:type="dxa"/>
            <w:vAlign w:val="center"/>
          </w:tcPr>
          <w:p w14:paraId="3A65B482" w14:textId="77777777" w:rsidR="00490177" w:rsidRDefault="00A77B9F">
            <w:pPr>
              <w:jc w:val="center"/>
            </w:pPr>
            <w:r>
              <w:rPr>
                <w:rFonts w:asciiTheme="minorEastAsia" w:eastAsiaTheme="minorEastAsia" w:hAnsiTheme="minorEastAsia"/>
                <w:color w:val="000000" w:themeColor="text1"/>
              </w:rPr>
              <w:t>-</w:t>
            </w:r>
          </w:p>
        </w:tc>
        <w:tc>
          <w:tcPr>
            <w:tcW w:w="1329" w:type="dxa"/>
            <w:vAlign w:val="center"/>
          </w:tcPr>
          <w:p w14:paraId="6ACAC31B" w14:textId="77777777" w:rsidR="00490177" w:rsidRDefault="00A77B9F">
            <w:pPr>
              <w:jc w:val="center"/>
            </w:pPr>
            <w:r>
              <w:rPr>
                <w:rFonts w:asciiTheme="minorEastAsia" w:eastAsiaTheme="minorEastAsia" w:hAnsiTheme="minorEastAsia"/>
                <w:color w:val="000000" w:themeColor="text1"/>
              </w:rPr>
              <w:t>-</w:t>
            </w:r>
          </w:p>
        </w:tc>
        <w:tc>
          <w:tcPr>
            <w:tcW w:w="1329" w:type="dxa"/>
            <w:vAlign w:val="center"/>
          </w:tcPr>
          <w:p w14:paraId="7FABC184" w14:textId="77777777" w:rsidR="00490177" w:rsidRDefault="00A77B9F">
            <w:pPr>
              <w:jc w:val="center"/>
            </w:pPr>
            <w:r>
              <w:rPr>
                <w:rFonts w:asciiTheme="minorEastAsia" w:eastAsiaTheme="minorEastAsia" w:hAnsiTheme="minorEastAsia"/>
                <w:color w:val="000000" w:themeColor="text1"/>
              </w:rPr>
              <w:t>-</w:t>
            </w:r>
          </w:p>
        </w:tc>
        <w:tc>
          <w:tcPr>
            <w:tcW w:w="1329" w:type="dxa"/>
            <w:vAlign w:val="center"/>
          </w:tcPr>
          <w:p w14:paraId="7B2BD591" w14:textId="77777777" w:rsidR="00490177" w:rsidRDefault="00A77B9F">
            <w:pPr>
              <w:jc w:val="center"/>
            </w:pPr>
            <w:r>
              <w:rPr>
                <w:rFonts w:asciiTheme="minorEastAsia" w:eastAsiaTheme="minorEastAsia" w:hAnsiTheme="minorEastAsia"/>
                <w:color w:val="000000" w:themeColor="text1"/>
              </w:rPr>
              <w:t>-</w:t>
            </w:r>
          </w:p>
        </w:tc>
        <w:tc>
          <w:tcPr>
            <w:tcW w:w="1329" w:type="dxa"/>
            <w:vAlign w:val="center"/>
          </w:tcPr>
          <w:p w14:paraId="5BAD1C2D" w14:textId="77777777" w:rsidR="00490177" w:rsidRDefault="00A77B9F">
            <w:pPr>
              <w:jc w:val="center"/>
            </w:pPr>
            <w:r>
              <w:rPr>
                <w:rFonts w:asciiTheme="minorEastAsia" w:eastAsiaTheme="minorEastAsia" w:hAnsiTheme="minorEastAsia"/>
                <w:color w:val="000000" w:themeColor="text1"/>
              </w:rPr>
              <w:t>-</w:t>
            </w:r>
          </w:p>
        </w:tc>
      </w:tr>
      <w:tr w:rsidR="00490177" w14:paraId="1669A13E" w14:textId="77777777">
        <w:tc>
          <w:tcPr>
            <w:tcW w:w="1328" w:type="dxa"/>
            <w:vAlign w:val="center"/>
          </w:tcPr>
          <w:p w14:paraId="095014F9" w14:textId="77777777" w:rsidR="00490177" w:rsidRDefault="00A77B9F">
            <w:pPr>
              <w:jc w:val="left"/>
            </w:pPr>
            <w:r>
              <w:rPr>
                <w:rFonts w:asciiTheme="minorEastAsia" w:eastAsiaTheme="minorEastAsia" w:hAnsiTheme="minorEastAsia"/>
                <w:color w:val="000000" w:themeColor="text1"/>
              </w:rPr>
              <w:t>过去三年</w:t>
            </w:r>
          </w:p>
        </w:tc>
        <w:tc>
          <w:tcPr>
            <w:tcW w:w="1329" w:type="dxa"/>
            <w:vAlign w:val="center"/>
          </w:tcPr>
          <w:p w14:paraId="604139B2" w14:textId="77777777" w:rsidR="00490177" w:rsidRDefault="00A77B9F">
            <w:pPr>
              <w:jc w:val="center"/>
            </w:pPr>
            <w:r>
              <w:rPr>
                <w:rFonts w:asciiTheme="minorEastAsia" w:eastAsiaTheme="minorEastAsia" w:hAnsiTheme="minorEastAsia"/>
                <w:color w:val="000000" w:themeColor="text1"/>
              </w:rPr>
              <w:t>-</w:t>
            </w:r>
          </w:p>
        </w:tc>
        <w:tc>
          <w:tcPr>
            <w:tcW w:w="1329" w:type="dxa"/>
            <w:vAlign w:val="center"/>
          </w:tcPr>
          <w:p w14:paraId="414F4611" w14:textId="77777777" w:rsidR="00490177" w:rsidRDefault="00A77B9F">
            <w:pPr>
              <w:jc w:val="center"/>
            </w:pPr>
            <w:r>
              <w:rPr>
                <w:rFonts w:asciiTheme="minorEastAsia" w:eastAsiaTheme="minorEastAsia" w:hAnsiTheme="minorEastAsia"/>
                <w:color w:val="000000" w:themeColor="text1"/>
              </w:rPr>
              <w:t>-</w:t>
            </w:r>
          </w:p>
        </w:tc>
        <w:tc>
          <w:tcPr>
            <w:tcW w:w="1329" w:type="dxa"/>
            <w:vAlign w:val="center"/>
          </w:tcPr>
          <w:p w14:paraId="193FE34E" w14:textId="77777777" w:rsidR="00490177" w:rsidRDefault="00A77B9F">
            <w:pPr>
              <w:jc w:val="center"/>
            </w:pPr>
            <w:r>
              <w:rPr>
                <w:rFonts w:asciiTheme="minorEastAsia" w:eastAsiaTheme="minorEastAsia" w:hAnsiTheme="minorEastAsia"/>
                <w:color w:val="000000" w:themeColor="text1"/>
              </w:rPr>
              <w:t>-</w:t>
            </w:r>
          </w:p>
        </w:tc>
        <w:tc>
          <w:tcPr>
            <w:tcW w:w="1329" w:type="dxa"/>
            <w:vAlign w:val="center"/>
          </w:tcPr>
          <w:p w14:paraId="42FFD4BE" w14:textId="77777777" w:rsidR="00490177" w:rsidRDefault="00A77B9F">
            <w:pPr>
              <w:jc w:val="center"/>
            </w:pPr>
            <w:r>
              <w:rPr>
                <w:rFonts w:asciiTheme="minorEastAsia" w:eastAsiaTheme="minorEastAsia" w:hAnsiTheme="minorEastAsia"/>
                <w:color w:val="000000" w:themeColor="text1"/>
              </w:rPr>
              <w:t>-</w:t>
            </w:r>
          </w:p>
        </w:tc>
        <w:tc>
          <w:tcPr>
            <w:tcW w:w="1329" w:type="dxa"/>
            <w:vAlign w:val="center"/>
          </w:tcPr>
          <w:p w14:paraId="6B9159B5" w14:textId="77777777" w:rsidR="00490177" w:rsidRDefault="00A77B9F">
            <w:pPr>
              <w:jc w:val="center"/>
            </w:pPr>
            <w:r>
              <w:rPr>
                <w:rFonts w:asciiTheme="minorEastAsia" w:eastAsiaTheme="minorEastAsia" w:hAnsiTheme="minorEastAsia"/>
                <w:color w:val="000000" w:themeColor="text1"/>
              </w:rPr>
              <w:t>-</w:t>
            </w:r>
          </w:p>
        </w:tc>
        <w:tc>
          <w:tcPr>
            <w:tcW w:w="1329" w:type="dxa"/>
            <w:vAlign w:val="center"/>
          </w:tcPr>
          <w:p w14:paraId="422B690B" w14:textId="77777777" w:rsidR="00490177" w:rsidRDefault="00A77B9F">
            <w:pPr>
              <w:jc w:val="center"/>
            </w:pPr>
            <w:r>
              <w:rPr>
                <w:rFonts w:asciiTheme="minorEastAsia" w:eastAsiaTheme="minorEastAsia" w:hAnsiTheme="minorEastAsia"/>
                <w:color w:val="000000" w:themeColor="text1"/>
              </w:rPr>
              <w:t>-</w:t>
            </w:r>
          </w:p>
        </w:tc>
      </w:tr>
      <w:tr w:rsidR="00490177" w14:paraId="18F6EB5D" w14:textId="77777777">
        <w:tc>
          <w:tcPr>
            <w:tcW w:w="1328" w:type="dxa"/>
            <w:vAlign w:val="center"/>
          </w:tcPr>
          <w:p w14:paraId="6D5B7D9F" w14:textId="77777777" w:rsidR="00490177" w:rsidRDefault="00A77B9F">
            <w:pPr>
              <w:jc w:val="left"/>
            </w:pPr>
            <w:r>
              <w:rPr>
                <w:rFonts w:asciiTheme="minorEastAsia" w:eastAsiaTheme="minorEastAsia" w:hAnsiTheme="minorEastAsia"/>
                <w:color w:val="000000" w:themeColor="text1"/>
              </w:rPr>
              <w:t>自基金合同生效起至今</w:t>
            </w:r>
          </w:p>
        </w:tc>
        <w:tc>
          <w:tcPr>
            <w:tcW w:w="1329" w:type="dxa"/>
            <w:vAlign w:val="center"/>
          </w:tcPr>
          <w:p w14:paraId="69EF1C25" w14:textId="77777777" w:rsidR="00490177" w:rsidRDefault="00A77B9F">
            <w:pPr>
              <w:jc w:val="center"/>
            </w:pPr>
            <w:r>
              <w:rPr>
                <w:rFonts w:asciiTheme="minorEastAsia" w:eastAsiaTheme="minorEastAsia" w:hAnsiTheme="minorEastAsia"/>
                <w:color w:val="000000" w:themeColor="text1"/>
              </w:rPr>
              <w:t>3.5676%</w:t>
            </w:r>
          </w:p>
        </w:tc>
        <w:tc>
          <w:tcPr>
            <w:tcW w:w="1329" w:type="dxa"/>
            <w:vAlign w:val="center"/>
          </w:tcPr>
          <w:p w14:paraId="15179A20" w14:textId="77777777" w:rsidR="00490177" w:rsidRDefault="00A77B9F">
            <w:pPr>
              <w:jc w:val="center"/>
            </w:pPr>
            <w:r>
              <w:rPr>
                <w:rFonts w:asciiTheme="minorEastAsia" w:eastAsiaTheme="minorEastAsia" w:hAnsiTheme="minorEastAsia"/>
                <w:color w:val="000000" w:themeColor="text1"/>
              </w:rPr>
              <w:t>0.0015%</w:t>
            </w:r>
          </w:p>
        </w:tc>
        <w:tc>
          <w:tcPr>
            <w:tcW w:w="1329" w:type="dxa"/>
            <w:vAlign w:val="center"/>
          </w:tcPr>
          <w:p w14:paraId="45807991" w14:textId="77777777" w:rsidR="00490177" w:rsidRDefault="00A77B9F">
            <w:pPr>
              <w:jc w:val="center"/>
            </w:pPr>
            <w:r>
              <w:rPr>
                <w:rFonts w:asciiTheme="minorEastAsia" w:eastAsiaTheme="minorEastAsia" w:hAnsiTheme="minorEastAsia"/>
                <w:color w:val="000000" w:themeColor="text1"/>
              </w:rPr>
              <w:t>2.6011%</w:t>
            </w:r>
          </w:p>
        </w:tc>
        <w:tc>
          <w:tcPr>
            <w:tcW w:w="1329" w:type="dxa"/>
            <w:vAlign w:val="center"/>
          </w:tcPr>
          <w:p w14:paraId="6CC49580" w14:textId="77777777" w:rsidR="00490177" w:rsidRDefault="00A77B9F">
            <w:pPr>
              <w:jc w:val="center"/>
            </w:pPr>
            <w:r>
              <w:rPr>
                <w:rFonts w:asciiTheme="minorEastAsia" w:eastAsiaTheme="minorEastAsia" w:hAnsiTheme="minorEastAsia"/>
                <w:color w:val="000000" w:themeColor="text1"/>
              </w:rPr>
              <w:t>0.0000%</w:t>
            </w:r>
          </w:p>
        </w:tc>
        <w:tc>
          <w:tcPr>
            <w:tcW w:w="1329" w:type="dxa"/>
            <w:vAlign w:val="center"/>
          </w:tcPr>
          <w:p w14:paraId="4CA849EF" w14:textId="77777777" w:rsidR="00490177" w:rsidRDefault="00A77B9F">
            <w:pPr>
              <w:jc w:val="center"/>
            </w:pPr>
            <w:r>
              <w:rPr>
                <w:rFonts w:asciiTheme="minorEastAsia" w:eastAsiaTheme="minorEastAsia" w:hAnsiTheme="minorEastAsia"/>
                <w:color w:val="000000" w:themeColor="text1"/>
              </w:rPr>
              <w:t>0.9665%</w:t>
            </w:r>
          </w:p>
        </w:tc>
        <w:tc>
          <w:tcPr>
            <w:tcW w:w="1329" w:type="dxa"/>
            <w:vAlign w:val="center"/>
          </w:tcPr>
          <w:p w14:paraId="6F29282B" w14:textId="77777777" w:rsidR="00490177" w:rsidRDefault="00A77B9F">
            <w:pPr>
              <w:jc w:val="center"/>
            </w:pPr>
            <w:r>
              <w:rPr>
                <w:rFonts w:asciiTheme="minorEastAsia" w:eastAsiaTheme="minorEastAsia" w:hAnsiTheme="minorEastAsia"/>
                <w:color w:val="000000" w:themeColor="text1"/>
              </w:rPr>
              <w:t>0.0015%</w:t>
            </w:r>
          </w:p>
        </w:tc>
      </w:tr>
    </w:tbl>
    <w:p w14:paraId="53B01E6F" w14:textId="77777777" w:rsidR="00DA315C" w:rsidRDefault="00CC2E83" w:rsidP="00614961">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注：本基金收益分配按日结转份额。</w:t>
      </w:r>
    </w:p>
    <w:p w14:paraId="268C6563" w14:textId="77777777" w:rsidR="00DA315C" w:rsidRDefault="00CC2E83" w:rsidP="004600C4">
      <w:pPr>
        <w:spacing w:beforeLines="50" w:before="12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3.2.2</w:t>
      </w:r>
      <w:r>
        <w:rPr>
          <w:rFonts w:asciiTheme="minorEastAsia" w:eastAsiaTheme="minorEastAsia" w:hAnsiTheme="minorEastAsia" w:cs="Arial" w:hint="eastAsia"/>
          <w:b/>
          <w:color w:val="000000" w:themeColor="text1"/>
          <w:kern w:val="0"/>
          <w:sz w:val="24"/>
        </w:rPr>
        <w:t xml:space="preserve"> </w:t>
      </w:r>
      <w:r>
        <w:rPr>
          <w:rStyle w:val="af3"/>
          <w:rFonts w:hint="eastAsia"/>
          <w:color w:val="000000" w:themeColor="text1"/>
          <w:sz w:val="24"/>
          <w:shd w:val="clear" w:color="auto" w:fill="FFFFFF"/>
        </w:rPr>
        <w:t>自基金合同生效以来</w:t>
      </w:r>
      <w:r>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14:paraId="731A515E"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摩根天添盈货币市场基金</w:t>
      </w:r>
    </w:p>
    <w:p w14:paraId="53B06B26" w14:textId="77777777" w:rsidR="00DA315C" w:rsidRDefault="00CC2E83">
      <w:pPr>
        <w:pStyle w:val="a5"/>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份额累计净值收益率与业绩比较基准收益率历史走势对比图</w:t>
      </w:r>
    </w:p>
    <w:p w14:paraId="320B6F24"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kern w:val="0"/>
          <w:sz w:val="24"/>
        </w:rPr>
        <w:t>(</w:t>
      </w:r>
      <w:r>
        <w:rPr>
          <w:rFonts w:asciiTheme="minorEastAsia" w:eastAsiaTheme="minorEastAsia" w:hAnsiTheme="minorEastAsia"/>
          <w:color w:val="000000" w:themeColor="text1"/>
          <w:kern w:val="0"/>
          <w:sz w:val="24"/>
        </w:rPr>
        <w:t>2014年11月25日</w:t>
      </w:r>
      <w:r>
        <w:rPr>
          <w:rFonts w:asciiTheme="minorEastAsia" w:eastAsiaTheme="minorEastAsia" w:hAnsiTheme="minorEastAsia" w:hint="eastAsia"/>
          <w:color w:val="000000" w:themeColor="text1"/>
          <w:kern w:val="0"/>
          <w:sz w:val="24"/>
        </w:rPr>
        <w:t>至2024年9月30日)</w:t>
      </w:r>
    </w:p>
    <w:p w14:paraId="7BB385DA" w14:textId="77777777" w:rsidR="00DA315C" w:rsidRPr="00EB02DE" w:rsidRDefault="00CC2E83" w:rsidP="004600C4">
      <w:pPr>
        <w:snapToGrid w:val="0"/>
        <w:spacing w:beforeLines="50" w:before="120" w:line="360" w:lineRule="auto"/>
        <w:ind w:left="471"/>
        <w:rPr>
          <w:rFonts w:asciiTheme="minorEastAsia" w:eastAsiaTheme="minorEastAsia" w:hAnsiTheme="minorEastAsia"/>
          <w:b/>
          <w:color w:val="000000" w:themeColor="text1"/>
          <w:sz w:val="24"/>
        </w:rPr>
      </w:pPr>
      <w:r w:rsidRPr="00EB02DE">
        <w:rPr>
          <w:rFonts w:asciiTheme="minorEastAsia" w:eastAsiaTheme="minorEastAsia" w:hAnsiTheme="minorEastAsia" w:hint="eastAsia"/>
          <w:b/>
          <w:color w:val="000000" w:themeColor="text1"/>
          <w:kern w:val="0"/>
          <w:sz w:val="24"/>
        </w:rPr>
        <w:t>1、</w:t>
      </w:r>
      <w:r w:rsidRPr="00EB02DE">
        <w:rPr>
          <w:rFonts w:asciiTheme="minorEastAsia" w:eastAsiaTheme="minorEastAsia" w:hAnsiTheme="minorEastAsia"/>
          <w:b/>
          <w:color w:val="000000" w:themeColor="text1"/>
          <w:kern w:val="0"/>
          <w:sz w:val="24"/>
        </w:rPr>
        <w:t>摩根天添盈货币A类</w:t>
      </w:r>
      <w:r w:rsidR="00EB02DE" w:rsidRPr="00EB02DE">
        <w:rPr>
          <w:rFonts w:asciiTheme="minorEastAsia" w:eastAsiaTheme="minorEastAsia" w:hAnsiTheme="minorEastAsia" w:hint="eastAsia"/>
          <w:b/>
          <w:color w:val="000000" w:themeColor="text1"/>
          <w:kern w:val="0"/>
          <w:sz w:val="24"/>
        </w:rPr>
        <w:t>：</w:t>
      </w:r>
    </w:p>
    <w:p w14:paraId="3122EADE" w14:textId="77777777" w:rsidR="00DA315C" w:rsidRDefault="00CC2E83">
      <w:pPr>
        <w:tabs>
          <w:tab w:val="left" w:pos="0"/>
        </w:tabs>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w:drawing>
          <wp:inline distT="0" distB="0" distL="0" distR="0" wp14:anchorId="2DC4FB69" wp14:editId="78EDA73C">
            <wp:extent cx="5772150" cy="3381375"/>
            <wp:effectExtent l="0" t="0" r="0" b="9525"/>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72150" cy="3381375"/>
                    </a:xfrm>
                    <a:prstGeom prst="rect">
                      <a:avLst/>
                    </a:prstGeom>
                    <a:noFill/>
                    <a:ln>
                      <a:noFill/>
                    </a:ln>
                  </pic:spPr>
                </pic:pic>
              </a:graphicData>
            </a:graphic>
          </wp:inline>
        </w:drawing>
      </w:r>
    </w:p>
    <w:p w14:paraId="23990511" w14:textId="77777777" w:rsidR="00DA315C" w:rsidRPr="004600C4" w:rsidRDefault="00CC2E83" w:rsidP="004600C4">
      <w:pPr>
        <w:snapToGrid w:val="0"/>
        <w:spacing w:beforeLines="50" w:before="120" w:line="360" w:lineRule="auto"/>
        <w:ind w:left="471"/>
        <w:rPr>
          <w:rFonts w:asciiTheme="minorEastAsia" w:eastAsiaTheme="minorEastAsia" w:hAnsiTheme="minorEastAsia"/>
          <w:b/>
          <w:color w:val="000000" w:themeColor="text1"/>
          <w:kern w:val="0"/>
          <w:sz w:val="24"/>
        </w:rPr>
      </w:pPr>
      <w:r w:rsidRPr="00EB02DE">
        <w:rPr>
          <w:rFonts w:asciiTheme="minorEastAsia" w:eastAsiaTheme="minorEastAsia" w:hAnsiTheme="minorEastAsia" w:hint="eastAsia"/>
          <w:b/>
          <w:color w:val="000000" w:themeColor="text1"/>
          <w:kern w:val="0"/>
          <w:sz w:val="24"/>
        </w:rPr>
        <w:t>2、</w:t>
      </w:r>
      <w:r w:rsidR="00050540">
        <w:rPr>
          <w:rFonts w:asciiTheme="minorEastAsia" w:eastAsiaTheme="minorEastAsia" w:hAnsiTheme="minorEastAsia" w:hint="eastAsia"/>
          <w:b/>
          <w:color w:val="000000" w:themeColor="text1"/>
          <w:kern w:val="0"/>
          <w:sz w:val="24"/>
        </w:rPr>
        <w:t>摩根天添盈货币B类</w:t>
      </w:r>
      <w:r w:rsidR="00EB02DE" w:rsidRPr="00EB02DE">
        <w:rPr>
          <w:rFonts w:asciiTheme="minorEastAsia" w:eastAsiaTheme="minorEastAsia" w:hAnsiTheme="minorEastAsia" w:hint="eastAsia"/>
          <w:b/>
          <w:color w:val="000000" w:themeColor="text1"/>
          <w:kern w:val="0"/>
          <w:sz w:val="24"/>
        </w:rPr>
        <w:t>：</w:t>
      </w:r>
    </w:p>
    <w:p w14:paraId="40641C6A" w14:textId="77777777" w:rsidR="00DA315C" w:rsidRDefault="00CC2E83">
      <w:pPr>
        <w:snapToGrid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w:lastRenderedPageBreak/>
        <w:drawing>
          <wp:inline distT="0" distB="0" distL="0" distR="0" wp14:anchorId="50359C8F" wp14:editId="33C40C37">
            <wp:extent cx="5772150" cy="3381375"/>
            <wp:effectExtent l="0" t="0" r="0" b="9525"/>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72150" cy="3381375"/>
                    </a:xfrm>
                    <a:prstGeom prst="rect">
                      <a:avLst/>
                    </a:prstGeom>
                    <a:noFill/>
                    <a:ln>
                      <a:noFill/>
                    </a:ln>
                  </pic:spPr>
                </pic:pic>
              </a:graphicData>
            </a:graphic>
          </wp:inline>
        </w:drawing>
      </w:r>
    </w:p>
    <w:p w14:paraId="5BA2F409" w14:textId="77777777" w:rsidR="00DA315C" w:rsidRPr="004600C4" w:rsidRDefault="00CC2E83" w:rsidP="004600C4">
      <w:pPr>
        <w:snapToGrid w:val="0"/>
        <w:spacing w:beforeLines="50" w:before="120" w:line="360" w:lineRule="auto"/>
        <w:ind w:left="471"/>
        <w:rPr>
          <w:rFonts w:asciiTheme="minorEastAsia" w:eastAsiaTheme="minorEastAsia" w:hAnsiTheme="minorEastAsia"/>
          <w:b/>
          <w:color w:val="000000" w:themeColor="text1"/>
          <w:kern w:val="0"/>
          <w:sz w:val="24"/>
        </w:rPr>
      </w:pPr>
      <w:r w:rsidRPr="00EB02DE">
        <w:rPr>
          <w:rFonts w:asciiTheme="minorEastAsia" w:eastAsiaTheme="minorEastAsia" w:hAnsiTheme="minorEastAsia" w:hint="eastAsia"/>
          <w:b/>
          <w:color w:val="000000" w:themeColor="text1"/>
          <w:kern w:val="0"/>
          <w:sz w:val="24"/>
        </w:rPr>
        <w:t>3、</w:t>
      </w:r>
      <w:r w:rsidR="00050540">
        <w:rPr>
          <w:rFonts w:asciiTheme="minorEastAsia" w:eastAsiaTheme="minorEastAsia" w:hAnsiTheme="minorEastAsia" w:hint="eastAsia"/>
          <w:b/>
          <w:color w:val="000000" w:themeColor="text1"/>
          <w:kern w:val="0"/>
          <w:sz w:val="24"/>
        </w:rPr>
        <w:t>摩根天添盈货币E类</w:t>
      </w:r>
      <w:r w:rsidR="00EB02DE" w:rsidRPr="00EB02DE">
        <w:rPr>
          <w:rFonts w:asciiTheme="minorEastAsia" w:eastAsiaTheme="minorEastAsia" w:hAnsiTheme="minorEastAsia" w:hint="eastAsia"/>
          <w:b/>
          <w:color w:val="000000" w:themeColor="text1"/>
          <w:kern w:val="0"/>
          <w:sz w:val="24"/>
        </w:rPr>
        <w:t>：</w:t>
      </w:r>
    </w:p>
    <w:p w14:paraId="1578DBD5" w14:textId="77777777" w:rsidR="00DA315C" w:rsidRDefault="00CC2E83">
      <w:pPr>
        <w:autoSpaceDE w:val="0"/>
        <w:autoSpaceDN w:val="0"/>
        <w:adjustRightInd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w:drawing>
          <wp:inline distT="0" distB="0" distL="0" distR="0" wp14:anchorId="031573E6" wp14:editId="690BF0D4">
            <wp:extent cx="5772150" cy="3381375"/>
            <wp:effectExtent l="0" t="0" r="0" b="9525"/>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72150" cy="3381375"/>
                    </a:xfrm>
                    <a:prstGeom prst="rect">
                      <a:avLst/>
                    </a:prstGeom>
                    <a:noFill/>
                    <a:ln>
                      <a:noFill/>
                    </a:ln>
                  </pic:spPr>
                </pic:pic>
              </a:graphicData>
            </a:graphic>
          </wp:inline>
        </w:drawing>
      </w:r>
    </w:p>
    <w:p w14:paraId="589636B2" w14:textId="77777777" w:rsidR="00DA315C" w:rsidRPr="004600C4" w:rsidRDefault="00CC2E83" w:rsidP="004600C4">
      <w:pPr>
        <w:snapToGrid w:val="0"/>
        <w:spacing w:beforeLines="50" w:before="120" w:line="360" w:lineRule="auto"/>
        <w:ind w:left="471"/>
        <w:rPr>
          <w:rFonts w:asciiTheme="minorEastAsia" w:eastAsiaTheme="minorEastAsia" w:hAnsiTheme="minorEastAsia"/>
          <w:b/>
          <w:color w:val="000000" w:themeColor="text1"/>
          <w:kern w:val="0"/>
          <w:sz w:val="24"/>
        </w:rPr>
      </w:pPr>
      <w:r w:rsidRPr="00EB02DE">
        <w:rPr>
          <w:rFonts w:asciiTheme="minorEastAsia" w:eastAsiaTheme="minorEastAsia" w:hAnsiTheme="minorEastAsia" w:hint="eastAsia"/>
          <w:b/>
          <w:color w:val="000000" w:themeColor="text1"/>
          <w:kern w:val="0"/>
          <w:sz w:val="24"/>
        </w:rPr>
        <w:t>4、</w:t>
      </w:r>
      <w:r w:rsidR="00050540">
        <w:rPr>
          <w:rFonts w:asciiTheme="minorEastAsia" w:eastAsiaTheme="minorEastAsia" w:hAnsiTheme="minorEastAsia" w:hint="eastAsia"/>
          <w:b/>
          <w:color w:val="000000" w:themeColor="text1"/>
          <w:kern w:val="0"/>
          <w:sz w:val="24"/>
        </w:rPr>
        <w:t>摩根天添盈货币C类</w:t>
      </w:r>
      <w:r w:rsidR="00EB02DE" w:rsidRPr="00EB02DE">
        <w:rPr>
          <w:rFonts w:asciiTheme="minorEastAsia" w:eastAsiaTheme="minorEastAsia" w:hAnsiTheme="minorEastAsia" w:hint="eastAsia"/>
          <w:b/>
          <w:color w:val="000000" w:themeColor="text1"/>
          <w:kern w:val="0"/>
          <w:sz w:val="24"/>
        </w:rPr>
        <w:t>：</w:t>
      </w:r>
    </w:p>
    <w:p w14:paraId="15BD2CF9" w14:textId="77777777" w:rsidR="00DA315C" w:rsidRDefault="00CC2E83">
      <w:pPr>
        <w:autoSpaceDE w:val="0"/>
        <w:autoSpaceDN w:val="0"/>
        <w:adjustRightInd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b/>
          <w:noProof/>
          <w:color w:val="000000" w:themeColor="text1"/>
        </w:rPr>
        <w:lastRenderedPageBreak/>
        <w:drawing>
          <wp:inline distT="0" distB="0" distL="0" distR="0" wp14:anchorId="0A22F0A7" wp14:editId="7976F5E7">
            <wp:extent cx="5600700" cy="3279775"/>
            <wp:effectExtent l="0" t="0" r="0" b="0"/>
            <wp:docPr id="4" name="图片 4" descr="D:\浏览器下载\走势图柱状图\走势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浏览器下载\走势图柱状图\走势图4.jp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600700" cy="3279775"/>
                    </a:xfrm>
                    <a:prstGeom prst="rect">
                      <a:avLst/>
                    </a:prstGeom>
                  </pic:spPr>
                </pic:pic>
              </a:graphicData>
            </a:graphic>
          </wp:inline>
        </w:drawing>
      </w:r>
    </w:p>
    <w:p w14:paraId="15730BED"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注：本基金合同生效日为2014年11月25日，图示的时间段为合同生效日至本报告期末。</w:t>
      </w:r>
    </w:p>
    <w:p w14:paraId="799D30CD"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本基金自 2022年10月27日起增加C类份额，相关数据按实际存续期计算。</w:t>
      </w:r>
    </w:p>
    <w:p w14:paraId="1E662109"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本基金建仓期为本基金合同生效日起 6 个月, 建仓期结束时资产配置比例符合本基金基金合同的规定。</w:t>
      </w:r>
    </w:p>
    <w:p w14:paraId="4F0E13C9"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自2018年6月22日起，本基金B类基金份额为零且停止计算B类基金份额每万份收益。</w:t>
      </w:r>
    </w:p>
    <w:p w14:paraId="6A19E4BA"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4  </w:t>
      </w:r>
      <w:r>
        <w:rPr>
          <w:rFonts w:asciiTheme="minorEastAsia" w:eastAsiaTheme="minorEastAsia" w:hAnsiTheme="minorEastAsia" w:cs="Arial" w:hint="eastAsia"/>
          <w:color w:val="000000" w:themeColor="text1"/>
          <w:kern w:val="0"/>
          <w:sz w:val="24"/>
          <w:szCs w:val="24"/>
        </w:rPr>
        <w:t>管理人报告</w:t>
      </w:r>
    </w:p>
    <w:p w14:paraId="7E68A42F" w14:textId="77777777" w:rsidR="00DA315C" w:rsidRDefault="00CC2E83" w:rsidP="00FC77AA">
      <w:pPr>
        <w:autoSpaceDE w:val="0"/>
        <w:autoSpaceDN w:val="0"/>
        <w:adjustRightInd w:val="0"/>
        <w:spacing w:beforeLines="50" w:before="120" w:line="360" w:lineRule="auto"/>
        <w:jc w:val="left"/>
        <w:rPr>
          <w:rFonts w:asciiTheme="minorEastAsia" w:eastAsiaTheme="minorEastAsia" w:hAnsiTheme="minorEastAsia"/>
          <w:b/>
          <w:bCs/>
          <w:color w:val="000000" w:themeColor="text1"/>
          <w:sz w:val="24"/>
        </w:rPr>
      </w:pPr>
      <w:r>
        <w:rPr>
          <w:rFonts w:asciiTheme="minorEastAsia" w:eastAsiaTheme="minorEastAsia" w:hAnsiTheme="minorEastAsia" w:cs="Arial"/>
          <w:b/>
          <w:color w:val="000000" w:themeColor="text1"/>
          <w:kern w:val="0"/>
          <w:sz w:val="24"/>
        </w:rPr>
        <w:t xml:space="preserve">4.1 </w:t>
      </w:r>
      <w:r>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883"/>
        <w:gridCol w:w="993"/>
        <w:gridCol w:w="1134"/>
        <w:gridCol w:w="992"/>
        <w:gridCol w:w="2977"/>
      </w:tblGrid>
      <w:tr w:rsidR="00DA315C" w14:paraId="50610531" w14:textId="77777777">
        <w:trPr>
          <w:cantSplit/>
        </w:trPr>
        <w:tc>
          <w:tcPr>
            <w:tcW w:w="952" w:type="dxa"/>
            <w:vMerge w:val="restart"/>
            <w:vAlign w:val="center"/>
          </w:tcPr>
          <w:p w14:paraId="0F6F9F81"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姓名</w:t>
            </w:r>
          </w:p>
        </w:tc>
        <w:tc>
          <w:tcPr>
            <w:tcW w:w="1883" w:type="dxa"/>
            <w:vMerge w:val="restart"/>
            <w:vAlign w:val="center"/>
          </w:tcPr>
          <w:p w14:paraId="4846D83A"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职务</w:t>
            </w:r>
          </w:p>
        </w:tc>
        <w:tc>
          <w:tcPr>
            <w:tcW w:w="2127" w:type="dxa"/>
            <w:gridSpan w:val="2"/>
          </w:tcPr>
          <w:p w14:paraId="60E20408"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roofErr w:type="gramStart"/>
            <w:r>
              <w:rPr>
                <w:rFonts w:asciiTheme="minorEastAsia" w:eastAsiaTheme="minorEastAsia" w:hAnsiTheme="minorEastAsia" w:cs="Arial" w:hint="eastAsia"/>
                <w:color w:val="000000" w:themeColor="text1"/>
                <w:kern w:val="0"/>
                <w:sz w:val="24"/>
              </w:rPr>
              <w:t>任本基金</w:t>
            </w:r>
            <w:proofErr w:type="gramEnd"/>
            <w:r>
              <w:rPr>
                <w:rFonts w:asciiTheme="minorEastAsia" w:eastAsiaTheme="minorEastAsia" w:hAnsiTheme="minorEastAsia" w:cs="Arial" w:hint="eastAsia"/>
                <w:color w:val="000000" w:themeColor="text1"/>
                <w:kern w:val="0"/>
                <w:sz w:val="24"/>
              </w:rPr>
              <w:t>的基金经理期限</w:t>
            </w:r>
          </w:p>
        </w:tc>
        <w:tc>
          <w:tcPr>
            <w:tcW w:w="992" w:type="dxa"/>
            <w:vMerge w:val="restart"/>
            <w:vAlign w:val="center"/>
          </w:tcPr>
          <w:p w14:paraId="59C19460"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证券从业年限</w:t>
            </w:r>
          </w:p>
        </w:tc>
        <w:tc>
          <w:tcPr>
            <w:tcW w:w="2977" w:type="dxa"/>
            <w:vMerge w:val="restart"/>
            <w:vAlign w:val="center"/>
          </w:tcPr>
          <w:p w14:paraId="72660F2C"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说明</w:t>
            </w:r>
          </w:p>
        </w:tc>
      </w:tr>
      <w:tr w:rsidR="00DA315C" w14:paraId="32889EA7" w14:textId="77777777">
        <w:trPr>
          <w:cantSplit/>
        </w:trPr>
        <w:tc>
          <w:tcPr>
            <w:tcW w:w="952" w:type="dxa"/>
            <w:vMerge/>
            <w:vAlign w:val="center"/>
          </w:tcPr>
          <w:p w14:paraId="35110C88"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1883" w:type="dxa"/>
            <w:vMerge/>
          </w:tcPr>
          <w:p w14:paraId="6A1A8E2D"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993" w:type="dxa"/>
            <w:vAlign w:val="center"/>
          </w:tcPr>
          <w:p w14:paraId="17CD4D36"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任职日期</w:t>
            </w:r>
          </w:p>
        </w:tc>
        <w:tc>
          <w:tcPr>
            <w:tcW w:w="1134" w:type="dxa"/>
            <w:vAlign w:val="center"/>
          </w:tcPr>
          <w:p w14:paraId="3A17C392"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离任日期</w:t>
            </w:r>
          </w:p>
        </w:tc>
        <w:tc>
          <w:tcPr>
            <w:tcW w:w="992" w:type="dxa"/>
            <w:vMerge/>
            <w:vAlign w:val="center"/>
          </w:tcPr>
          <w:p w14:paraId="3CB67F4C"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2977" w:type="dxa"/>
            <w:vMerge/>
            <w:vAlign w:val="center"/>
          </w:tcPr>
          <w:p w14:paraId="403E567C"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r>
      <w:tr w:rsidR="00490177" w14:paraId="49F6B21E" w14:textId="77777777">
        <w:tc>
          <w:tcPr>
            <w:tcW w:w="952" w:type="dxa"/>
            <w:vAlign w:val="center"/>
          </w:tcPr>
          <w:p w14:paraId="3E3B2AB6" w14:textId="77777777" w:rsidR="00490177" w:rsidRDefault="00A77B9F">
            <w:pPr>
              <w:jc w:val="center"/>
            </w:pPr>
            <w:r>
              <w:rPr>
                <w:rFonts w:asciiTheme="minorEastAsia" w:eastAsiaTheme="minorEastAsia" w:hAnsiTheme="minorEastAsia"/>
                <w:color w:val="000000" w:themeColor="text1"/>
                <w:sz w:val="24"/>
              </w:rPr>
              <w:t>鞠婷</w:t>
            </w:r>
          </w:p>
        </w:tc>
        <w:tc>
          <w:tcPr>
            <w:tcW w:w="1883" w:type="dxa"/>
            <w:vAlign w:val="center"/>
          </w:tcPr>
          <w:p w14:paraId="7EE24AE0" w14:textId="77777777" w:rsidR="00490177" w:rsidRDefault="00A77B9F">
            <w:pPr>
              <w:jc w:val="center"/>
            </w:pPr>
            <w:r>
              <w:rPr>
                <w:rFonts w:asciiTheme="minorEastAsia" w:eastAsiaTheme="minorEastAsia" w:hAnsiTheme="minorEastAsia"/>
                <w:color w:val="000000" w:themeColor="text1"/>
                <w:sz w:val="24"/>
              </w:rPr>
              <w:t>本基金基金经理</w:t>
            </w:r>
          </w:p>
        </w:tc>
        <w:tc>
          <w:tcPr>
            <w:tcW w:w="993" w:type="dxa"/>
            <w:vAlign w:val="center"/>
          </w:tcPr>
          <w:p w14:paraId="4A5F6D82" w14:textId="77777777" w:rsidR="00490177" w:rsidRDefault="00A77B9F">
            <w:pPr>
              <w:jc w:val="center"/>
            </w:pPr>
            <w:r>
              <w:rPr>
                <w:rFonts w:asciiTheme="minorEastAsia" w:eastAsiaTheme="minorEastAsia" w:hAnsiTheme="minorEastAsia"/>
                <w:color w:val="000000" w:themeColor="text1"/>
                <w:sz w:val="24"/>
              </w:rPr>
              <w:t>2016-05-27</w:t>
            </w:r>
          </w:p>
        </w:tc>
        <w:tc>
          <w:tcPr>
            <w:tcW w:w="1134" w:type="dxa"/>
            <w:vAlign w:val="center"/>
          </w:tcPr>
          <w:p w14:paraId="49F8F110" w14:textId="77777777" w:rsidR="00490177" w:rsidRDefault="00A77B9F">
            <w:pPr>
              <w:jc w:val="center"/>
            </w:pPr>
            <w:r>
              <w:rPr>
                <w:rFonts w:asciiTheme="minorEastAsia" w:eastAsiaTheme="minorEastAsia" w:hAnsiTheme="minorEastAsia"/>
                <w:color w:val="000000" w:themeColor="text1"/>
                <w:sz w:val="24"/>
              </w:rPr>
              <w:t>-</w:t>
            </w:r>
          </w:p>
        </w:tc>
        <w:tc>
          <w:tcPr>
            <w:tcW w:w="992" w:type="dxa"/>
            <w:vAlign w:val="center"/>
          </w:tcPr>
          <w:p w14:paraId="6E44CEAC" w14:textId="77777777" w:rsidR="00490177" w:rsidRDefault="00A77B9F">
            <w:pPr>
              <w:jc w:val="center"/>
            </w:pPr>
            <w:r>
              <w:rPr>
                <w:rFonts w:asciiTheme="minorEastAsia" w:eastAsiaTheme="minorEastAsia" w:hAnsiTheme="minorEastAsia"/>
                <w:color w:val="000000" w:themeColor="text1"/>
                <w:sz w:val="24"/>
              </w:rPr>
              <w:t>19年</w:t>
            </w:r>
          </w:p>
        </w:tc>
        <w:tc>
          <w:tcPr>
            <w:tcW w:w="2977" w:type="dxa"/>
            <w:vAlign w:val="center"/>
          </w:tcPr>
          <w:p w14:paraId="60B990D9" w14:textId="77777777" w:rsidR="00490177" w:rsidRDefault="00A77B9F">
            <w:r>
              <w:rPr>
                <w:rFonts w:asciiTheme="minorEastAsia" w:eastAsiaTheme="minorEastAsia" w:hAnsiTheme="minorEastAsia"/>
                <w:color w:val="000000" w:themeColor="text1"/>
                <w:sz w:val="24"/>
              </w:rPr>
              <w:t>鞠婷女士曾任中国建设银行第一支行助理经济师，瑞穗银行总行总经理助理。2014年10月起加入摩根基</w:t>
            </w:r>
            <w:r>
              <w:rPr>
                <w:rFonts w:asciiTheme="minorEastAsia" w:eastAsiaTheme="minorEastAsia" w:hAnsiTheme="minorEastAsia"/>
                <w:color w:val="000000" w:themeColor="text1"/>
                <w:sz w:val="24"/>
              </w:rPr>
              <w:lastRenderedPageBreak/>
              <w:t>金管理（中国）有限公司（原上投摩根基金管理有限公司），历任基金经理助理、基金经理，高级基金经理，现任货币市场投资部副总监兼资深基金经理。</w:t>
            </w:r>
          </w:p>
        </w:tc>
      </w:tr>
      <w:tr w:rsidR="00490177" w14:paraId="69E4A7FA" w14:textId="77777777">
        <w:tc>
          <w:tcPr>
            <w:tcW w:w="952" w:type="dxa"/>
            <w:vAlign w:val="center"/>
          </w:tcPr>
          <w:p w14:paraId="181C0836" w14:textId="77777777" w:rsidR="00490177" w:rsidRDefault="00A77B9F">
            <w:pPr>
              <w:jc w:val="center"/>
            </w:pPr>
            <w:r>
              <w:rPr>
                <w:rFonts w:asciiTheme="minorEastAsia" w:eastAsiaTheme="minorEastAsia" w:hAnsiTheme="minorEastAsia"/>
                <w:color w:val="000000" w:themeColor="text1"/>
                <w:sz w:val="24"/>
              </w:rPr>
              <w:lastRenderedPageBreak/>
              <w:t>邱林晶</w:t>
            </w:r>
          </w:p>
        </w:tc>
        <w:tc>
          <w:tcPr>
            <w:tcW w:w="1883" w:type="dxa"/>
            <w:vAlign w:val="center"/>
          </w:tcPr>
          <w:p w14:paraId="0673B4E5" w14:textId="77777777" w:rsidR="00490177" w:rsidRDefault="00A77B9F">
            <w:pPr>
              <w:jc w:val="center"/>
            </w:pPr>
            <w:r>
              <w:rPr>
                <w:rFonts w:asciiTheme="minorEastAsia" w:eastAsiaTheme="minorEastAsia" w:hAnsiTheme="minorEastAsia"/>
                <w:color w:val="000000" w:themeColor="text1"/>
                <w:sz w:val="24"/>
              </w:rPr>
              <w:t>本基金基金经理</w:t>
            </w:r>
          </w:p>
        </w:tc>
        <w:tc>
          <w:tcPr>
            <w:tcW w:w="993" w:type="dxa"/>
            <w:vAlign w:val="center"/>
          </w:tcPr>
          <w:p w14:paraId="1FEF6E4A" w14:textId="77777777" w:rsidR="00490177" w:rsidRDefault="00A77B9F">
            <w:pPr>
              <w:jc w:val="center"/>
            </w:pPr>
            <w:r>
              <w:rPr>
                <w:rFonts w:asciiTheme="minorEastAsia" w:eastAsiaTheme="minorEastAsia" w:hAnsiTheme="minorEastAsia"/>
                <w:color w:val="000000" w:themeColor="text1"/>
                <w:sz w:val="24"/>
              </w:rPr>
              <w:t>2023-04-07</w:t>
            </w:r>
          </w:p>
        </w:tc>
        <w:tc>
          <w:tcPr>
            <w:tcW w:w="1134" w:type="dxa"/>
            <w:vAlign w:val="center"/>
          </w:tcPr>
          <w:p w14:paraId="3F66D018" w14:textId="77777777" w:rsidR="00490177" w:rsidRDefault="00A77B9F">
            <w:pPr>
              <w:jc w:val="center"/>
            </w:pPr>
            <w:r>
              <w:rPr>
                <w:rFonts w:asciiTheme="minorEastAsia" w:eastAsiaTheme="minorEastAsia" w:hAnsiTheme="minorEastAsia"/>
                <w:color w:val="000000" w:themeColor="text1"/>
                <w:sz w:val="24"/>
              </w:rPr>
              <w:t>-</w:t>
            </w:r>
          </w:p>
        </w:tc>
        <w:tc>
          <w:tcPr>
            <w:tcW w:w="992" w:type="dxa"/>
            <w:vAlign w:val="center"/>
          </w:tcPr>
          <w:p w14:paraId="6649FFEF" w14:textId="77777777" w:rsidR="00490177" w:rsidRDefault="00A77B9F">
            <w:pPr>
              <w:jc w:val="center"/>
            </w:pPr>
            <w:r>
              <w:rPr>
                <w:rFonts w:asciiTheme="minorEastAsia" w:eastAsiaTheme="minorEastAsia" w:hAnsiTheme="minorEastAsia"/>
                <w:color w:val="000000" w:themeColor="text1"/>
                <w:sz w:val="24"/>
              </w:rPr>
              <w:t>11年</w:t>
            </w:r>
          </w:p>
        </w:tc>
        <w:tc>
          <w:tcPr>
            <w:tcW w:w="2977" w:type="dxa"/>
            <w:vAlign w:val="center"/>
          </w:tcPr>
          <w:p w14:paraId="3FEC5E26" w14:textId="77777777" w:rsidR="00490177" w:rsidRDefault="00A77B9F">
            <w:r>
              <w:rPr>
                <w:rFonts w:asciiTheme="minorEastAsia" w:eastAsiaTheme="minorEastAsia" w:hAnsiTheme="minorEastAsia"/>
                <w:color w:val="000000" w:themeColor="text1"/>
                <w:sz w:val="24"/>
              </w:rPr>
              <w:t>邱林晶女士曾任国泰基金管理有限公司风险管理部分析师，平安资产管理有限责任公司固收交易员，中银理财有限责任公司集中交易室高级经理、活期理财产品部投资经理；自2022年5月加入摩根基金管理（中国）有限公司（原上投摩根基金管理有限公司），历任货币市场投资部基金经理助理，现任基金经理。</w:t>
            </w:r>
          </w:p>
        </w:tc>
      </w:tr>
    </w:tbl>
    <w:p w14:paraId="040D094D" w14:textId="77777777" w:rsidR="00490177" w:rsidRDefault="00A77B9F">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注：1.任职日期和离任日期均指根据公司决定确定的聘任日期和解聘日期。</w:t>
      </w:r>
    </w:p>
    <w:p w14:paraId="032A7C88" w14:textId="77777777" w:rsidR="00DA315C"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2.证券从业的含义遵从行业协会《证券业从业人员资格管理办法》的相关规定。</w:t>
      </w:r>
    </w:p>
    <w:p w14:paraId="0FF831AB" w14:textId="77777777" w:rsidR="00DA315C" w:rsidRDefault="00CC2E83" w:rsidP="007753E9">
      <w:pPr>
        <w:autoSpaceDE w:val="0"/>
        <w:autoSpaceDN w:val="0"/>
        <w:adjustRightInd w:val="0"/>
        <w:spacing w:beforeLines="100" w:before="240"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4.2 </w:t>
      </w:r>
      <w:r>
        <w:rPr>
          <w:rFonts w:asciiTheme="minorEastAsia" w:eastAsiaTheme="minorEastAsia" w:hAnsiTheme="minorEastAsia" w:cs="Arial" w:hint="eastAsia"/>
          <w:b/>
          <w:color w:val="000000" w:themeColor="text1"/>
          <w:kern w:val="0"/>
          <w:sz w:val="24"/>
        </w:rPr>
        <w:t>报告期内本基金运作遵规守信情况说明</w:t>
      </w:r>
    </w:p>
    <w:p w14:paraId="3F9632CF"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027F6D6" w14:textId="77777777" w:rsidR="00DA315C" w:rsidRDefault="00CC2E83" w:rsidP="007753E9">
      <w:pPr>
        <w:autoSpaceDE w:val="0"/>
        <w:autoSpaceDN w:val="0"/>
        <w:adjustRightInd w:val="0"/>
        <w:spacing w:beforeLines="100" w:before="240"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4.3 </w:t>
      </w:r>
      <w:r>
        <w:rPr>
          <w:rFonts w:asciiTheme="minorEastAsia" w:eastAsiaTheme="minorEastAsia" w:hAnsiTheme="minorEastAsia" w:cs="Arial" w:hint="eastAsia"/>
          <w:b/>
          <w:color w:val="000000" w:themeColor="text1"/>
          <w:kern w:val="0"/>
          <w:sz w:val="24"/>
        </w:rPr>
        <w:t>公平交易专项说明</w:t>
      </w:r>
    </w:p>
    <w:p w14:paraId="183515BC" w14:textId="77777777" w:rsidR="00DA315C" w:rsidRDefault="00CC2E83" w:rsidP="007753E9">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4.3.1 公平交易制度的执行情况</w:t>
      </w:r>
    </w:p>
    <w:p w14:paraId="478F844C"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7D325E3"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对于交易所市场投资活动，本公司执行集中交易制度，确保不同投资组合在买卖同一证券时，按照时间优先、比例分配的原则在各投资组合间公平分配交易量；对于银行</w:t>
      </w:r>
      <w:r>
        <w:rPr>
          <w:rFonts w:asciiTheme="minorEastAsia" w:eastAsiaTheme="minorEastAsia" w:hAnsiTheme="minorEastAsia"/>
          <w:color w:val="000000" w:themeColor="text1"/>
          <w:sz w:val="24"/>
        </w:rPr>
        <w:lastRenderedPageBreak/>
        <w:t>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A61766B"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14:paraId="7808B17F" w14:textId="77777777" w:rsidR="00DA315C" w:rsidRDefault="00CC2E83" w:rsidP="007753E9">
      <w:pPr>
        <w:spacing w:beforeLines="100" w:before="240"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4.3.2 异常交易行为的专项说明</w:t>
      </w:r>
    </w:p>
    <w:p w14:paraId="008E520C"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报告期内，通过对交易价格、交易时间、交易方向等的分析，未发现有可能导致不公平交易和利益输送的异常交易行为。</w:t>
      </w:r>
    </w:p>
    <w:p w14:paraId="6EEE420A"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所有投资组合参与的交易所公开竞价同日反向交易成交较少的单边交易量超过该证券当日成交量的5%的情形：无。</w:t>
      </w:r>
    </w:p>
    <w:p w14:paraId="456875DD" w14:textId="77777777" w:rsidR="00DA315C" w:rsidRPr="00FC77AA" w:rsidRDefault="00CC2E83" w:rsidP="007753E9">
      <w:pPr>
        <w:autoSpaceDE w:val="0"/>
        <w:autoSpaceDN w:val="0"/>
        <w:adjustRightInd w:val="0"/>
        <w:spacing w:beforeLines="100" w:before="240" w:line="360" w:lineRule="auto"/>
        <w:jc w:val="left"/>
        <w:rPr>
          <w:rFonts w:asciiTheme="minorEastAsia" w:eastAsiaTheme="minorEastAsia" w:hAnsiTheme="minorEastAsia" w:cs="Arial"/>
          <w:b/>
          <w:color w:val="000000" w:themeColor="text1"/>
          <w:kern w:val="0"/>
          <w:sz w:val="24"/>
        </w:rPr>
      </w:pPr>
      <w:r w:rsidRPr="00FC77AA">
        <w:rPr>
          <w:rFonts w:asciiTheme="minorEastAsia" w:eastAsiaTheme="minorEastAsia" w:hAnsiTheme="minorEastAsia" w:cs="Arial"/>
          <w:b/>
          <w:color w:val="000000" w:themeColor="text1"/>
          <w:kern w:val="0"/>
          <w:sz w:val="24"/>
        </w:rPr>
        <w:t>4.4</w:t>
      </w:r>
      <w:r w:rsidRPr="00FC77AA">
        <w:rPr>
          <w:rFonts w:asciiTheme="minorEastAsia" w:eastAsiaTheme="minorEastAsia" w:hAnsiTheme="minorEastAsia" w:cs="Arial" w:hint="eastAsia"/>
          <w:b/>
          <w:color w:val="000000" w:themeColor="text1"/>
          <w:kern w:val="0"/>
          <w:sz w:val="24"/>
        </w:rPr>
        <w:t xml:space="preserve"> 报告期内基金的投资策略和运作分析</w:t>
      </w:r>
    </w:p>
    <w:p w14:paraId="537E8ACE"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2024年三季度，经济运行总体平稳，高质量发展仍在稳步推进。1-8月份全国规模以上工业企业利润同比增长0.5%，延续年初以来的增长态势；1-8月份全国固定资产投资增长3.4%，高技术产业投资引领作用突出;8月份社会消费品零售总额增长2.1%，线上消费较快增长；9月份制造业采购经理人指数（PMI）为49.8%，比上月上升0.7个百分点，制造业景气度回升;8月消费者价格指数(CPI)当月同比上涨0.6%，生产者价格指数(PPI)当月同比下降1.8%。</w:t>
      </w:r>
    </w:p>
    <w:p w14:paraId="389FF3C7"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三季度，稳健的货币政策灵活适度、精准有效，坚定坚持支持性立场，综合运用利率、准备金、再贷款、国债买卖等工具，切实服务实体经济，并保持人民币汇率在合理均衡水平上基本稳定。具体来看，央行在9月下调金融机构存款准备金率0.5个百分点，向金融市场提供长期流动性约1万亿元；在7月和9月分别调降了公开市场7天期逆回购利率10BP和20BP，合计调降30BP至1.5%，带动中期借贷便利（MLF）利率下调至2.0%，贷款市场报价利率（LPR）和存款利率同步下行。三季度债市短端收益率整体维持震荡，1年期国股行同业存单收益率从1.96%下行约5BP至1.91%附近；1年期国开债收益率从1.69%下行4bps至1.65%附近。</w:t>
      </w:r>
    </w:p>
    <w:p w14:paraId="6B57E531"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本基金在三季度继续以流动性和安全性为优先目标，在市场收益率震荡过程中及时调整久期，保持流动性较好资产配置比例，同时密切关注客户现金流动向，在季末关键</w:t>
      </w:r>
      <w:r>
        <w:rPr>
          <w:rFonts w:asciiTheme="minorEastAsia" w:eastAsiaTheme="minorEastAsia" w:hAnsiTheme="minorEastAsia"/>
          <w:color w:val="000000" w:themeColor="text1"/>
          <w:sz w:val="24"/>
        </w:rPr>
        <w:lastRenderedPageBreak/>
        <w:t>时点做好流动性前瞻性管理，预备充足流动性满足客户的赎回要求，力求平衡基金收益率和安全性，把握组合整体风险。</w:t>
      </w:r>
    </w:p>
    <w:p w14:paraId="26008914"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下阶段看，随着超长期国债、政府专项债等发行和使用进度加快，“两新”政策作用进一步强化，“两重”建设加快落地和推进，资金保障和项目支撑有望逐步改善，有利于经济保持平稳增长。央行预计坚持支持性的货币政策立场，加大货币政策调控的强度，运用多种货币政策工具的组合，支持实体经济的稳定增长。本基金在未来仍会谨记货币基金现金管理工具的原则，关注国内外市场各种动向，防范各类信用风险，灵活调整资产配置，遵守各项监管要求，同时始终把基金安全性、流动性以及投资人利益放在优先位置，力争为投资人提供安全稳健的长期回报。</w:t>
      </w:r>
    </w:p>
    <w:p w14:paraId="7D979CE7" w14:textId="77777777" w:rsidR="00DA315C" w:rsidRPr="00FC77AA" w:rsidRDefault="00CC2E83" w:rsidP="007753E9">
      <w:pPr>
        <w:autoSpaceDE w:val="0"/>
        <w:autoSpaceDN w:val="0"/>
        <w:adjustRightInd w:val="0"/>
        <w:spacing w:beforeLines="100" w:before="240" w:line="360" w:lineRule="auto"/>
        <w:jc w:val="left"/>
        <w:rPr>
          <w:rFonts w:asciiTheme="minorEastAsia" w:eastAsiaTheme="minorEastAsia" w:hAnsiTheme="minorEastAsia" w:cs="Arial"/>
          <w:b/>
          <w:color w:val="000000" w:themeColor="text1"/>
          <w:kern w:val="0"/>
          <w:sz w:val="24"/>
        </w:rPr>
      </w:pPr>
      <w:r w:rsidRPr="00FC77AA">
        <w:rPr>
          <w:rFonts w:asciiTheme="minorEastAsia" w:eastAsiaTheme="minorEastAsia" w:hAnsiTheme="minorEastAsia" w:cs="Arial" w:hint="eastAsia"/>
          <w:b/>
          <w:color w:val="000000" w:themeColor="text1"/>
          <w:kern w:val="0"/>
          <w:sz w:val="24"/>
        </w:rPr>
        <w:t>4.5 报告期内基金的业绩表现</w:t>
      </w:r>
    </w:p>
    <w:p w14:paraId="3C6B458D"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本报告期摩根天添盈A份额净值增长率为:0.3557%，同期业绩比较基准收益率为:0.3393%</w:t>
      </w:r>
    </w:p>
    <w:p w14:paraId="7A5800F8"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自2018年6月22日起，本基金B类基金份额为零且停止计算B类基金份额每万份收益。</w:t>
      </w:r>
    </w:p>
    <w:p w14:paraId="1D2A26A1"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摩根天添盈C份额净值增长率为:0.3556%，同期业绩比较基准收益率为:0.3393%</w:t>
      </w:r>
    </w:p>
    <w:p w14:paraId="75189DC4"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摩根天添盈E份额净值增长率为:0.4163%，同期业绩比较基准收益率为:0.3393%。</w:t>
      </w:r>
    </w:p>
    <w:p w14:paraId="4C6959A5" w14:textId="77777777" w:rsidR="00DA315C" w:rsidRPr="00FC77AA" w:rsidRDefault="00CC2E83" w:rsidP="007753E9">
      <w:pPr>
        <w:autoSpaceDE w:val="0"/>
        <w:autoSpaceDN w:val="0"/>
        <w:adjustRightInd w:val="0"/>
        <w:spacing w:beforeLines="100" w:before="240" w:line="360" w:lineRule="auto"/>
        <w:jc w:val="left"/>
        <w:rPr>
          <w:rFonts w:asciiTheme="minorEastAsia" w:eastAsiaTheme="minorEastAsia" w:hAnsiTheme="minorEastAsia" w:cs="Arial"/>
          <w:b/>
          <w:color w:val="000000" w:themeColor="text1"/>
          <w:kern w:val="0"/>
          <w:sz w:val="24"/>
        </w:rPr>
      </w:pPr>
      <w:r w:rsidRPr="00FC77AA">
        <w:rPr>
          <w:rFonts w:asciiTheme="minorEastAsia" w:eastAsiaTheme="minorEastAsia" w:hAnsiTheme="minorEastAsia" w:cs="Arial"/>
          <w:b/>
          <w:color w:val="000000" w:themeColor="text1"/>
          <w:kern w:val="0"/>
          <w:sz w:val="24"/>
        </w:rPr>
        <w:t>4</w:t>
      </w:r>
      <w:r w:rsidRPr="00FC77AA">
        <w:rPr>
          <w:rFonts w:asciiTheme="minorEastAsia" w:eastAsiaTheme="minorEastAsia" w:hAnsiTheme="minorEastAsia" w:cs="Arial" w:hint="eastAsia"/>
          <w:b/>
          <w:color w:val="000000" w:themeColor="text1"/>
          <w:kern w:val="0"/>
          <w:sz w:val="24"/>
        </w:rPr>
        <w:t>.6 报告期内基金持有人数或基金资产净值预警说明</w:t>
      </w:r>
    </w:p>
    <w:p w14:paraId="00A0E916"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无。</w:t>
      </w:r>
    </w:p>
    <w:p w14:paraId="381A91D0"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5  </w:t>
      </w:r>
      <w:r>
        <w:rPr>
          <w:rFonts w:asciiTheme="minorEastAsia" w:eastAsiaTheme="minorEastAsia" w:hAnsiTheme="minorEastAsia" w:cs="Arial" w:hint="eastAsia"/>
          <w:color w:val="000000" w:themeColor="text1"/>
          <w:kern w:val="0"/>
          <w:sz w:val="24"/>
          <w:szCs w:val="24"/>
        </w:rPr>
        <w:t>投资组合报告</w:t>
      </w:r>
    </w:p>
    <w:p w14:paraId="6E58A177"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5.1 </w:t>
      </w:r>
      <w:r>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DA315C" w14:paraId="20A4B92A" w14:textId="77777777">
        <w:tc>
          <w:tcPr>
            <w:tcW w:w="720" w:type="dxa"/>
            <w:vAlign w:val="center"/>
          </w:tcPr>
          <w:p w14:paraId="593753C8"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序号</w:t>
            </w:r>
          </w:p>
        </w:tc>
        <w:tc>
          <w:tcPr>
            <w:tcW w:w="3357" w:type="dxa"/>
            <w:vAlign w:val="center"/>
          </w:tcPr>
          <w:p w14:paraId="3A95FBBE"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项目</w:t>
            </w:r>
          </w:p>
        </w:tc>
        <w:tc>
          <w:tcPr>
            <w:tcW w:w="3119" w:type="dxa"/>
            <w:vAlign w:val="center"/>
          </w:tcPr>
          <w:p w14:paraId="26E78AEE"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金额(元)</w:t>
            </w:r>
          </w:p>
        </w:tc>
        <w:tc>
          <w:tcPr>
            <w:tcW w:w="1843" w:type="dxa"/>
            <w:vAlign w:val="center"/>
          </w:tcPr>
          <w:p w14:paraId="1BC99D50"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占基金总资产的比例(</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w:t>
            </w:r>
          </w:p>
        </w:tc>
      </w:tr>
      <w:tr w:rsidR="00DA315C" w14:paraId="49E9C361" w14:textId="77777777">
        <w:tc>
          <w:tcPr>
            <w:tcW w:w="720" w:type="dxa"/>
            <w:vAlign w:val="center"/>
          </w:tcPr>
          <w:p w14:paraId="6A605573"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p>
        </w:tc>
        <w:tc>
          <w:tcPr>
            <w:tcW w:w="3357" w:type="dxa"/>
            <w:vAlign w:val="center"/>
          </w:tcPr>
          <w:p w14:paraId="0CBB0AC7" w14:textId="77777777" w:rsidR="00DA315C" w:rsidRDefault="00CC2E83">
            <w:pPr>
              <w:spacing w:before="29"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固定收益投资</w:t>
            </w:r>
          </w:p>
        </w:tc>
        <w:tc>
          <w:tcPr>
            <w:tcW w:w="3119" w:type="dxa"/>
            <w:vAlign w:val="center"/>
          </w:tcPr>
          <w:p w14:paraId="7E991A47"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5,529,894,654.39</w:t>
            </w:r>
          </w:p>
        </w:tc>
        <w:tc>
          <w:tcPr>
            <w:tcW w:w="1843" w:type="dxa"/>
            <w:vAlign w:val="center"/>
          </w:tcPr>
          <w:p w14:paraId="52921984"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48.28</w:t>
            </w:r>
          </w:p>
        </w:tc>
      </w:tr>
      <w:tr w:rsidR="00DA315C" w14:paraId="390D2B39" w14:textId="77777777">
        <w:tc>
          <w:tcPr>
            <w:tcW w:w="720" w:type="dxa"/>
            <w:vAlign w:val="center"/>
          </w:tcPr>
          <w:p w14:paraId="27F945B1" w14:textId="77777777" w:rsidR="00DA315C" w:rsidRDefault="00DA315C">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14:paraId="20F36EE5" w14:textId="77777777" w:rsidR="00DA315C" w:rsidRDefault="00CC2E83">
            <w:pPr>
              <w:spacing w:before="29"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其中：债券</w:t>
            </w:r>
          </w:p>
        </w:tc>
        <w:tc>
          <w:tcPr>
            <w:tcW w:w="3119" w:type="dxa"/>
            <w:vAlign w:val="center"/>
          </w:tcPr>
          <w:p w14:paraId="35F207A1"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5,529,894,654.39</w:t>
            </w:r>
          </w:p>
        </w:tc>
        <w:tc>
          <w:tcPr>
            <w:tcW w:w="1843" w:type="dxa"/>
            <w:vAlign w:val="center"/>
          </w:tcPr>
          <w:p w14:paraId="211B8D6C"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48.28</w:t>
            </w:r>
          </w:p>
        </w:tc>
      </w:tr>
      <w:tr w:rsidR="00DA315C" w14:paraId="653C5E21" w14:textId="77777777">
        <w:tc>
          <w:tcPr>
            <w:tcW w:w="720" w:type="dxa"/>
            <w:vAlign w:val="center"/>
          </w:tcPr>
          <w:p w14:paraId="493FEC05" w14:textId="77777777" w:rsidR="00DA315C" w:rsidRDefault="00DA315C">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14:paraId="344E4C24" w14:textId="77777777" w:rsidR="00DA315C" w:rsidRDefault="00CC2E83">
            <w:pPr>
              <w:autoSpaceDE w:val="0"/>
              <w:autoSpaceDN w:val="0"/>
              <w:adjustRightInd w:val="0"/>
              <w:spacing w:before="29" w:line="360" w:lineRule="auto"/>
              <w:ind w:firstLineChars="300" w:firstLine="720"/>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资产支持证券</w:t>
            </w:r>
          </w:p>
        </w:tc>
        <w:tc>
          <w:tcPr>
            <w:tcW w:w="3119" w:type="dxa"/>
            <w:vAlign w:val="center"/>
          </w:tcPr>
          <w:p w14:paraId="3ACBD021"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43" w:type="dxa"/>
            <w:vAlign w:val="center"/>
          </w:tcPr>
          <w:p w14:paraId="37FC4DAB"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r>
      <w:tr w:rsidR="00DA315C" w14:paraId="74E662C1" w14:textId="77777777">
        <w:tc>
          <w:tcPr>
            <w:tcW w:w="720" w:type="dxa"/>
            <w:vAlign w:val="center"/>
          </w:tcPr>
          <w:p w14:paraId="57F3FCFE"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p>
        </w:tc>
        <w:tc>
          <w:tcPr>
            <w:tcW w:w="3357" w:type="dxa"/>
            <w:vAlign w:val="center"/>
          </w:tcPr>
          <w:p w14:paraId="463D706B" w14:textId="77777777" w:rsidR="00DA315C" w:rsidRDefault="00CC2E83">
            <w:pPr>
              <w:spacing w:before="29"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买入返售金融资产</w:t>
            </w:r>
          </w:p>
        </w:tc>
        <w:tc>
          <w:tcPr>
            <w:tcW w:w="3119" w:type="dxa"/>
            <w:vAlign w:val="center"/>
          </w:tcPr>
          <w:p w14:paraId="3E0E9209"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2,569,173,089.59</w:t>
            </w:r>
          </w:p>
        </w:tc>
        <w:tc>
          <w:tcPr>
            <w:tcW w:w="1843" w:type="dxa"/>
            <w:vAlign w:val="center"/>
          </w:tcPr>
          <w:p w14:paraId="500542F4"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22.43</w:t>
            </w:r>
          </w:p>
        </w:tc>
      </w:tr>
      <w:tr w:rsidR="00DA315C" w14:paraId="51279C3B" w14:textId="77777777">
        <w:tc>
          <w:tcPr>
            <w:tcW w:w="720" w:type="dxa"/>
            <w:vAlign w:val="center"/>
          </w:tcPr>
          <w:p w14:paraId="45677754" w14:textId="77777777" w:rsidR="00DA315C" w:rsidRDefault="00DA315C">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14:paraId="2D59BD0A" w14:textId="77777777" w:rsidR="00DA315C" w:rsidRDefault="00CC2E83">
            <w:pPr>
              <w:spacing w:before="29"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其中：买断式回购的买入返售金融资产</w:t>
            </w:r>
          </w:p>
        </w:tc>
        <w:tc>
          <w:tcPr>
            <w:tcW w:w="3119" w:type="dxa"/>
            <w:vAlign w:val="center"/>
          </w:tcPr>
          <w:p w14:paraId="66B5F535"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43" w:type="dxa"/>
            <w:vAlign w:val="center"/>
          </w:tcPr>
          <w:p w14:paraId="6D8CE484"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r>
      <w:tr w:rsidR="00DA315C" w14:paraId="05D7FCE1" w14:textId="77777777">
        <w:tc>
          <w:tcPr>
            <w:tcW w:w="720" w:type="dxa"/>
            <w:vAlign w:val="center"/>
          </w:tcPr>
          <w:p w14:paraId="77A15C12"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p>
        </w:tc>
        <w:tc>
          <w:tcPr>
            <w:tcW w:w="3357" w:type="dxa"/>
            <w:vAlign w:val="center"/>
          </w:tcPr>
          <w:p w14:paraId="04561A2D" w14:textId="77777777" w:rsidR="00DA315C" w:rsidRDefault="00CC2E83">
            <w:pPr>
              <w:spacing w:before="29"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银行存款和结算备付金合计</w:t>
            </w:r>
          </w:p>
        </w:tc>
        <w:tc>
          <w:tcPr>
            <w:tcW w:w="3119" w:type="dxa"/>
            <w:vAlign w:val="center"/>
          </w:tcPr>
          <w:p w14:paraId="7636D8BB"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3,315,566,860.68</w:t>
            </w:r>
          </w:p>
        </w:tc>
        <w:tc>
          <w:tcPr>
            <w:tcW w:w="1843" w:type="dxa"/>
            <w:vAlign w:val="center"/>
          </w:tcPr>
          <w:p w14:paraId="31257A77"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28.95</w:t>
            </w:r>
          </w:p>
        </w:tc>
      </w:tr>
      <w:tr w:rsidR="00DA315C" w14:paraId="5CFB87E8" w14:textId="77777777">
        <w:tc>
          <w:tcPr>
            <w:tcW w:w="720" w:type="dxa"/>
            <w:vAlign w:val="center"/>
          </w:tcPr>
          <w:p w14:paraId="4A0CE874"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p>
        </w:tc>
        <w:tc>
          <w:tcPr>
            <w:tcW w:w="3357" w:type="dxa"/>
            <w:vAlign w:val="center"/>
          </w:tcPr>
          <w:p w14:paraId="6C3E8421" w14:textId="77777777" w:rsidR="00DA315C" w:rsidRDefault="00CC2E83">
            <w:pPr>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其他资产</w:t>
            </w:r>
          </w:p>
        </w:tc>
        <w:tc>
          <w:tcPr>
            <w:tcW w:w="3119" w:type="dxa"/>
            <w:vAlign w:val="center"/>
          </w:tcPr>
          <w:p w14:paraId="355FC599"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38,131,377.09</w:t>
            </w:r>
          </w:p>
        </w:tc>
        <w:tc>
          <w:tcPr>
            <w:tcW w:w="1843" w:type="dxa"/>
            <w:vAlign w:val="center"/>
          </w:tcPr>
          <w:p w14:paraId="362C4FBB"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0.33</w:t>
            </w:r>
          </w:p>
        </w:tc>
      </w:tr>
      <w:tr w:rsidR="00DA315C" w14:paraId="38B738BF" w14:textId="77777777">
        <w:tc>
          <w:tcPr>
            <w:tcW w:w="720" w:type="dxa"/>
            <w:vAlign w:val="center"/>
          </w:tcPr>
          <w:p w14:paraId="3899BA5B"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5</w:t>
            </w:r>
          </w:p>
        </w:tc>
        <w:tc>
          <w:tcPr>
            <w:tcW w:w="3357" w:type="dxa"/>
            <w:vAlign w:val="center"/>
          </w:tcPr>
          <w:p w14:paraId="7C8EFE2F" w14:textId="77777777" w:rsidR="00DA315C" w:rsidRDefault="00CC2E83">
            <w:pPr>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合计</w:t>
            </w:r>
          </w:p>
        </w:tc>
        <w:tc>
          <w:tcPr>
            <w:tcW w:w="3119" w:type="dxa"/>
            <w:vAlign w:val="center"/>
          </w:tcPr>
          <w:p w14:paraId="14BA5C12"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11,452,765,981.75</w:t>
            </w:r>
          </w:p>
        </w:tc>
        <w:tc>
          <w:tcPr>
            <w:tcW w:w="1843" w:type="dxa"/>
            <w:vAlign w:val="center"/>
          </w:tcPr>
          <w:p w14:paraId="4C6ACFEB"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100.00</w:t>
            </w:r>
          </w:p>
        </w:tc>
      </w:tr>
    </w:tbl>
    <w:p w14:paraId="6808D113" w14:textId="77777777" w:rsidR="00490177" w:rsidRDefault="00A77B9F">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注：1.银行存款和结算备付金合计其中银行存款3,302,460,010.74元。</w:t>
      </w:r>
    </w:p>
    <w:p w14:paraId="3549B000" w14:textId="77777777" w:rsidR="00DA315C"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2.买入返售金融资产其中买入返售金融资产（交易所）为846,697,638.59 元。</w:t>
      </w:r>
    </w:p>
    <w:p w14:paraId="66F1D1A1"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5.2 </w:t>
      </w:r>
      <w:r>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4A0" w:firstRow="1" w:lastRow="0" w:firstColumn="1" w:lastColumn="0" w:noHBand="0" w:noVBand="1"/>
      </w:tblPr>
      <w:tblGrid>
        <w:gridCol w:w="861"/>
        <w:gridCol w:w="3108"/>
        <w:gridCol w:w="2977"/>
        <w:gridCol w:w="2126"/>
      </w:tblGrid>
      <w:tr w:rsidR="00DA315C" w14:paraId="73A71699" w14:textId="77777777">
        <w:tc>
          <w:tcPr>
            <w:tcW w:w="861" w:type="dxa"/>
            <w:tcBorders>
              <w:top w:val="single" w:sz="8" w:space="0" w:color="000000"/>
              <w:left w:val="single" w:sz="8" w:space="0" w:color="000000"/>
              <w:bottom w:val="single" w:sz="8" w:space="0" w:color="000000"/>
              <w:right w:val="single" w:sz="8" w:space="0" w:color="000000"/>
            </w:tcBorders>
            <w:vAlign w:val="center"/>
          </w:tcPr>
          <w:p w14:paraId="66040153" w14:textId="77777777" w:rsidR="00DA315C" w:rsidRDefault="00CC2E83">
            <w:pPr>
              <w:spacing w:line="360" w:lineRule="auto"/>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14:paraId="42B3C650" w14:textId="77777777" w:rsidR="00DA315C" w:rsidRDefault="00CC2E83">
            <w:pPr>
              <w:spacing w:line="360" w:lineRule="auto"/>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14:paraId="05CBB9E4" w14:textId="77777777" w:rsidR="00DA315C" w:rsidRDefault="00CC2E83">
            <w:pPr>
              <w:spacing w:line="360" w:lineRule="auto"/>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占基金资产净值</w:t>
            </w:r>
            <w:r w:rsidR="004417A1">
              <w:rPr>
                <w:rFonts w:asciiTheme="minorEastAsia" w:eastAsiaTheme="minorEastAsia" w:hAnsiTheme="minorEastAsia" w:cs="Arial" w:hint="eastAsia"/>
                <w:color w:val="000000" w:themeColor="text1"/>
                <w:kern w:val="0"/>
                <w:sz w:val="24"/>
              </w:rPr>
              <w:t>的</w:t>
            </w:r>
            <w:r>
              <w:rPr>
                <w:rFonts w:asciiTheme="minorEastAsia" w:eastAsiaTheme="minorEastAsia" w:hAnsiTheme="minorEastAsia" w:cs="Arial" w:hint="eastAsia"/>
                <w:color w:val="000000" w:themeColor="text1"/>
                <w:kern w:val="0"/>
                <w:sz w:val="24"/>
              </w:rPr>
              <w:t>比例（％）</w:t>
            </w:r>
          </w:p>
        </w:tc>
      </w:tr>
      <w:tr w:rsidR="00DA315C" w14:paraId="25742B44" w14:textId="77777777">
        <w:tc>
          <w:tcPr>
            <w:tcW w:w="861" w:type="dxa"/>
            <w:tcBorders>
              <w:top w:val="single" w:sz="8" w:space="0" w:color="000000"/>
              <w:left w:val="single" w:sz="8" w:space="0" w:color="000000"/>
              <w:right w:val="single" w:sz="8" w:space="0" w:color="000000"/>
            </w:tcBorders>
            <w:vAlign w:val="center"/>
          </w:tcPr>
          <w:p w14:paraId="6C1AE351" w14:textId="77777777" w:rsidR="00DA315C" w:rsidRDefault="00CC2E83">
            <w:pPr>
              <w:spacing w:line="360" w:lineRule="auto"/>
              <w:jc w:val="center"/>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14:paraId="5E8F7E74" w14:textId="77777777" w:rsidR="00DA315C" w:rsidRDefault="00CC2E83">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14:paraId="41F314DD"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0.07</w:t>
            </w:r>
          </w:p>
        </w:tc>
      </w:tr>
      <w:tr w:rsidR="00DA315C" w14:paraId="390CFACD" w14:textId="77777777">
        <w:trPr>
          <w:trHeight w:val="712"/>
        </w:trPr>
        <w:tc>
          <w:tcPr>
            <w:tcW w:w="861" w:type="dxa"/>
            <w:tcBorders>
              <w:left w:val="single" w:sz="8" w:space="0" w:color="000000"/>
              <w:bottom w:val="single" w:sz="8" w:space="0" w:color="000000"/>
              <w:right w:val="single" w:sz="8" w:space="0" w:color="000000"/>
            </w:tcBorders>
            <w:vAlign w:val="center"/>
          </w:tcPr>
          <w:p w14:paraId="74ACA664" w14:textId="77777777" w:rsidR="00DA315C" w:rsidRDefault="00DA315C">
            <w:pPr>
              <w:spacing w:line="360" w:lineRule="auto"/>
              <w:jc w:val="center"/>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14:paraId="1E78509A" w14:textId="77777777" w:rsidR="00DA315C" w:rsidRDefault="00CC2E83">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14:paraId="08B8EA9B"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p>
        </w:tc>
      </w:tr>
      <w:tr w:rsidR="00DA315C" w14:paraId="44C3F956" w14:textId="77777777">
        <w:tc>
          <w:tcPr>
            <w:tcW w:w="861" w:type="dxa"/>
            <w:tcBorders>
              <w:left w:val="single" w:sz="8" w:space="0" w:color="000000"/>
              <w:bottom w:val="single" w:sz="8" w:space="0" w:color="000000"/>
              <w:right w:val="single" w:sz="8" w:space="0" w:color="000000"/>
            </w:tcBorders>
            <w:vAlign w:val="center"/>
          </w:tcPr>
          <w:p w14:paraId="41FE50AE"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14:paraId="546A049E"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14:paraId="02400056"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6C599C09"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cs="Arial" w:hint="eastAsia"/>
                <w:color w:val="000000" w:themeColor="text1"/>
                <w:kern w:val="0"/>
                <w:sz w:val="24"/>
              </w:rPr>
              <w:t>占基金资产净值比例（％）</w:t>
            </w:r>
          </w:p>
        </w:tc>
      </w:tr>
      <w:tr w:rsidR="00DA315C" w14:paraId="0E43D177" w14:textId="77777777">
        <w:tc>
          <w:tcPr>
            <w:tcW w:w="861" w:type="dxa"/>
            <w:vMerge w:val="restart"/>
            <w:tcBorders>
              <w:top w:val="single" w:sz="8" w:space="0" w:color="000000"/>
              <w:left w:val="single" w:sz="8" w:space="0" w:color="000000"/>
              <w:right w:val="single" w:sz="8" w:space="0" w:color="000000"/>
            </w:tcBorders>
            <w:vAlign w:val="center"/>
          </w:tcPr>
          <w:p w14:paraId="2D413096"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p>
        </w:tc>
        <w:tc>
          <w:tcPr>
            <w:tcW w:w="3108" w:type="dxa"/>
            <w:tcBorders>
              <w:top w:val="single" w:sz="8" w:space="0" w:color="000000"/>
              <w:left w:val="single" w:sz="8" w:space="0" w:color="000000"/>
              <w:bottom w:val="single" w:sz="8" w:space="0" w:color="000000"/>
              <w:right w:val="single" w:sz="8" w:space="0" w:color="000000"/>
            </w:tcBorders>
          </w:tcPr>
          <w:p w14:paraId="38F1A3E3" w14:textId="77777777" w:rsidR="00DA315C" w:rsidRDefault="00CC2E83">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14:paraId="29291A8D"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28EC59F5"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w:t>
            </w:r>
          </w:p>
        </w:tc>
      </w:tr>
      <w:tr w:rsidR="00DA315C" w14:paraId="132B476D" w14:textId="77777777">
        <w:tc>
          <w:tcPr>
            <w:tcW w:w="861" w:type="dxa"/>
            <w:vMerge/>
            <w:tcBorders>
              <w:left w:val="single" w:sz="8" w:space="0" w:color="000000"/>
              <w:bottom w:val="single" w:sz="8" w:space="0" w:color="000000"/>
              <w:right w:val="single" w:sz="8" w:space="0" w:color="000000"/>
            </w:tcBorders>
            <w:vAlign w:val="center"/>
          </w:tcPr>
          <w:p w14:paraId="5AC78451" w14:textId="77777777" w:rsidR="00DA315C" w:rsidRDefault="00DA315C">
            <w:pPr>
              <w:spacing w:line="360" w:lineRule="auto"/>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14:paraId="332BF935" w14:textId="77777777" w:rsidR="00DA315C" w:rsidRDefault="00CC2E83">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14:paraId="390441AB"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735807AC"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w:t>
            </w:r>
          </w:p>
        </w:tc>
      </w:tr>
    </w:tbl>
    <w:p w14:paraId="7E5FD079"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债券正回购的资金余额超过基金资产净值的</w:t>
      </w:r>
      <w:r>
        <w:rPr>
          <w:rFonts w:asciiTheme="minorEastAsia" w:eastAsiaTheme="minorEastAsia" w:hAnsiTheme="minorEastAsia" w:cs="Arial"/>
          <w:b/>
          <w:color w:val="000000" w:themeColor="text1"/>
          <w:kern w:val="0"/>
          <w:sz w:val="24"/>
        </w:rPr>
        <w:t>20</w:t>
      </w:r>
      <w:r>
        <w:rPr>
          <w:rFonts w:asciiTheme="minorEastAsia" w:eastAsiaTheme="minorEastAsia" w:hAnsiTheme="minorEastAsia" w:cs="Arial" w:hint="eastAsia"/>
          <w:b/>
          <w:color w:val="000000" w:themeColor="text1"/>
          <w:kern w:val="0"/>
          <w:sz w:val="24"/>
        </w:rPr>
        <w:t>％的说明</w:t>
      </w:r>
    </w:p>
    <w:p w14:paraId="3CCDB4C8" w14:textId="77777777" w:rsidR="00DA315C"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在本报告期内本货币市场基金债券正回购的资金余额未超过资产净值的20%。</w:t>
      </w:r>
    </w:p>
    <w:p w14:paraId="3A9D3C31"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5.3 </w:t>
      </w:r>
      <w:r>
        <w:rPr>
          <w:rFonts w:asciiTheme="minorEastAsia" w:eastAsiaTheme="minorEastAsia" w:hAnsiTheme="minorEastAsia" w:cs="Arial" w:hint="eastAsia"/>
          <w:b/>
          <w:color w:val="000000" w:themeColor="text1"/>
          <w:kern w:val="0"/>
          <w:sz w:val="24"/>
        </w:rPr>
        <w:t>基金投资组合平均剩余期限</w:t>
      </w:r>
    </w:p>
    <w:p w14:paraId="3D1AEDFB" w14:textId="77777777" w:rsidR="00DA315C" w:rsidRDefault="00CC2E83" w:rsidP="0017387C">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5.3.1 </w:t>
      </w:r>
      <w:r>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4A0" w:firstRow="1" w:lastRow="0" w:firstColumn="1" w:lastColumn="0" w:noHBand="0" w:noVBand="1"/>
      </w:tblPr>
      <w:tblGrid>
        <w:gridCol w:w="4056"/>
        <w:gridCol w:w="5016"/>
      </w:tblGrid>
      <w:tr w:rsidR="00DA315C" w14:paraId="2ABAD56D" w14:textId="77777777">
        <w:tc>
          <w:tcPr>
            <w:tcW w:w="4056" w:type="dxa"/>
            <w:tcBorders>
              <w:top w:val="single" w:sz="8" w:space="0" w:color="000000"/>
              <w:left w:val="single" w:sz="8" w:space="0" w:color="000000"/>
              <w:bottom w:val="single" w:sz="8" w:space="0" w:color="000000"/>
              <w:right w:val="single" w:sz="8" w:space="0" w:color="000000"/>
            </w:tcBorders>
            <w:vAlign w:val="center"/>
          </w:tcPr>
          <w:p w14:paraId="4D288947"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项目</w:t>
            </w:r>
          </w:p>
        </w:tc>
        <w:tc>
          <w:tcPr>
            <w:tcW w:w="5016" w:type="dxa"/>
            <w:tcBorders>
              <w:top w:val="single" w:sz="8" w:space="0" w:color="000000"/>
              <w:left w:val="single" w:sz="8" w:space="0" w:color="000000"/>
              <w:bottom w:val="single" w:sz="8" w:space="0" w:color="000000"/>
              <w:right w:val="single" w:sz="8" w:space="0" w:color="000000"/>
            </w:tcBorders>
            <w:vAlign w:val="center"/>
          </w:tcPr>
          <w:p w14:paraId="2727537E"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天数</w:t>
            </w:r>
          </w:p>
        </w:tc>
      </w:tr>
      <w:tr w:rsidR="00DA315C" w14:paraId="0BCE2CFC" w14:textId="77777777">
        <w:tc>
          <w:tcPr>
            <w:tcW w:w="4056" w:type="dxa"/>
            <w:tcBorders>
              <w:top w:val="single" w:sz="8" w:space="0" w:color="000000"/>
              <w:left w:val="single" w:sz="8" w:space="0" w:color="000000"/>
              <w:bottom w:val="single" w:sz="8" w:space="0" w:color="000000"/>
              <w:right w:val="single" w:sz="8" w:space="0" w:color="000000"/>
            </w:tcBorders>
            <w:vAlign w:val="center"/>
          </w:tcPr>
          <w:p w14:paraId="5C9A8978"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tcPr>
          <w:p w14:paraId="2F989663" w14:textId="77777777" w:rsidR="00DA315C" w:rsidRDefault="00CC2E83">
            <w:pPr>
              <w:spacing w:line="360" w:lineRule="auto"/>
              <w:ind w:right="120"/>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104</w:t>
            </w:r>
          </w:p>
        </w:tc>
      </w:tr>
      <w:tr w:rsidR="00DA315C" w14:paraId="697F9E8A" w14:textId="77777777">
        <w:tc>
          <w:tcPr>
            <w:tcW w:w="4056" w:type="dxa"/>
            <w:tcBorders>
              <w:top w:val="single" w:sz="8" w:space="0" w:color="000000"/>
              <w:left w:val="single" w:sz="8" w:space="0" w:color="000000"/>
              <w:bottom w:val="single" w:sz="8" w:space="0" w:color="000000"/>
              <w:right w:val="single" w:sz="8" w:space="0" w:color="000000"/>
            </w:tcBorders>
            <w:vAlign w:val="center"/>
          </w:tcPr>
          <w:p w14:paraId="7FA06AED"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tcPr>
          <w:p w14:paraId="48330CD2" w14:textId="77777777" w:rsidR="00DA315C" w:rsidRDefault="00CC2E83">
            <w:pPr>
              <w:spacing w:line="360" w:lineRule="auto"/>
              <w:ind w:right="120"/>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109</w:t>
            </w:r>
          </w:p>
        </w:tc>
      </w:tr>
      <w:tr w:rsidR="00DA315C" w14:paraId="08E74013" w14:textId="77777777">
        <w:tc>
          <w:tcPr>
            <w:tcW w:w="4056" w:type="dxa"/>
            <w:tcBorders>
              <w:top w:val="single" w:sz="8" w:space="0" w:color="000000"/>
              <w:left w:val="single" w:sz="8" w:space="0" w:color="000000"/>
              <w:bottom w:val="single" w:sz="8" w:space="0" w:color="000000"/>
              <w:right w:val="single" w:sz="8" w:space="0" w:color="000000"/>
            </w:tcBorders>
            <w:vAlign w:val="center"/>
          </w:tcPr>
          <w:p w14:paraId="5FF2148F"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报告期内投资组合平均剩余期限最</w:t>
            </w:r>
            <w:r>
              <w:rPr>
                <w:rFonts w:asciiTheme="minorEastAsia" w:eastAsiaTheme="minorEastAsia" w:hAnsiTheme="minorEastAsia" w:cs="Arial" w:hint="eastAsia"/>
                <w:color w:val="000000" w:themeColor="text1"/>
                <w:kern w:val="0"/>
                <w:sz w:val="24"/>
              </w:rPr>
              <w:lastRenderedPageBreak/>
              <w:t>低值</w:t>
            </w:r>
          </w:p>
        </w:tc>
        <w:tc>
          <w:tcPr>
            <w:tcW w:w="5016" w:type="dxa"/>
            <w:tcBorders>
              <w:top w:val="single" w:sz="8" w:space="0" w:color="000000"/>
              <w:left w:val="single" w:sz="8" w:space="0" w:color="000000"/>
              <w:bottom w:val="single" w:sz="8" w:space="0" w:color="000000"/>
              <w:right w:val="single" w:sz="8" w:space="0" w:color="000000"/>
            </w:tcBorders>
            <w:vAlign w:val="center"/>
          </w:tcPr>
          <w:p w14:paraId="650B9886" w14:textId="77777777" w:rsidR="00DA315C" w:rsidRDefault="00CC2E83">
            <w:pPr>
              <w:spacing w:line="360" w:lineRule="auto"/>
              <w:ind w:right="120"/>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lastRenderedPageBreak/>
              <w:t>86</w:t>
            </w:r>
          </w:p>
        </w:tc>
      </w:tr>
    </w:tbl>
    <w:p w14:paraId="2A91C1E4"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20天情况说明</w:t>
      </w:r>
    </w:p>
    <w:p w14:paraId="34C80904" w14:textId="77777777" w:rsidR="00DA315C"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根据基金合同约定，本基金投资组合的平均剩余期限不超过120天。在本报告期内本基金未出现投资组合平均剩余期限超过120天的情况。</w:t>
      </w:r>
    </w:p>
    <w:p w14:paraId="790EB957"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5.3.2  </w:t>
      </w:r>
      <w:r>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4A0" w:firstRow="1" w:lastRow="0" w:firstColumn="1" w:lastColumn="0" w:noHBand="0" w:noVBand="1"/>
      </w:tblPr>
      <w:tblGrid>
        <w:gridCol w:w="851"/>
        <w:gridCol w:w="3351"/>
        <w:gridCol w:w="2529"/>
        <w:gridCol w:w="2431"/>
      </w:tblGrid>
      <w:tr w:rsidR="00DA315C" w14:paraId="02E54F22"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44E9251B"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14:paraId="3F41693B"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14:paraId="4B6ECFE7"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各期限资产占基金资产净值的比例（</w:t>
            </w:r>
            <w:r>
              <w:rPr>
                <w:rFonts w:asciiTheme="minorEastAsia" w:eastAsiaTheme="minorEastAsia" w:hAnsiTheme="minorEastAsia" w:cs="Arial"/>
                <w:color w:val="000000" w:themeColor="text1"/>
                <w:kern w:val="0"/>
                <w:sz w:val="24"/>
              </w:rPr>
              <w:t>%</w:t>
            </w:r>
            <w:r>
              <w:rPr>
                <w:rFonts w:asciiTheme="minorEastAsia" w:eastAsiaTheme="minorEastAsia" w:hAnsiTheme="minorEastAsia" w:cs="Arial" w:hint="eastAsia"/>
                <w:color w:val="000000" w:themeColor="text1"/>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752AB817"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各期限负债占基金资产净值的比例（％）</w:t>
            </w:r>
          </w:p>
        </w:tc>
      </w:tr>
      <w:tr w:rsidR="00DA315C" w14:paraId="6963ED31"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321979BC"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hint="eastAsia"/>
                <w:color w:val="000000" w:themeColor="text1"/>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14:paraId="165FE57D"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30天以内</w:t>
            </w:r>
          </w:p>
        </w:tc>
        <w:tc>
          <w:tcPr>
            <w:tcW w:w="2529" w:type="dxa"/>
            <w:tcBorders>
              <w:top w:val="single" w:sz="8" w:space="0" w:color="000000"/>
              <w:left w:val="single" w:sz="8" w:space="0" w:color="000000"/>
              <w:bottom w:val="single" w:sz="8" w:space="0" w:color="000000"/>
              <w:right w:val="single" w:sz="8" w:space="0" w:color="000000"/>
            </w:tcBorders>
            <w:vAlign w:val="center"/>
          </w:tcPr>
          <w:p w14:paraId="77F39BC3"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30.24</w:t>
            </w:r>
          </w:p>
        </w:tc>
        <w:tc>
          <w:tcPr>
            <w:tcW w:w="2431" w:type="dxa"/>
            <w:tcBorders>
              <w:top w:val="single" w:sz="8" w:space="0" w:color="000000"/>
              <w:left w:val="single" w:sz="8" w:space="0" w:color="000000"/>
              <w:bottom w:val="single" w:sz="8" w:space="0" w:color="000000"/>
              <w:right w:val="single" w:sz="8" w:space="0" w:color="000000"/>
            </w:tcBorders>
            <w:vAlign w:val="center"/>
          </w:tcPr>
          <w:p w14:paraId="57AB8040"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0.04</w:t>
            </w:r>
          </w:p>
        </w:tc>
      </w:tr>
      <w:tr w:rsidR="00DA315C" w14:paraId="53CB7429"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398F57C1"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4B26509E"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hint="eastAsia"/>
                <w:color w:val="000000" w:themeColor="text1"/>
                <w:sz w:val="24"/>
              </w:rPr>
              <w:t>其中：剩余存续期超过</w:t>
            </w:r>
            <w:r>
              <w:rPr>
                <w:rFonts w:asciiTheme="minorEastAsia" w:eastAsiaTheme="minorEastAsia" w:hAnsiTheme="minorEastAsia"/>
                <w:color w:val="000000" w:themeColor="text1"/>
                <w:sz w:val="24"/>
              </w:rPr>
              <w:t>397</w:t>
            </w:r>
            <w:r>
              <w:rPr>
                <w:rFonts w:asciiTheme="minorEastAsia" w:eastAsiaTheme="minorEastAsia" w:hAnsiTheme="minorEastAsia" w:hint="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17EF9E82"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5EA0A449"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14B3EDF4"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3F343B76"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14:paraId="51D9ED4A"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30天（含）—60天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30711E67"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10.12</w:t>
            </w:r>
          </w:p>
        </w:tc>
        <w:tc>
          <w:tcPr>
            <w:tcW w:w="2431" w:type="dxa"/>
            <w:tcBorders>
              <w:top w:val="single" w:sz="8" w:space="0" w:color="000000"/>
              <w:left w:val="single" w:sz="8" w:space="0" w:color="000000"/>
              <w:bottom w:val="single" w:sz="8" w:space="0" w:color="000000"/>
              <w:right w:val="single" w:sz="8" w:space="0" w:color="000000"/>
            </w:tcBorders>
            <w:vAlign w:val="center"/>
          </w:tcPr>
          <w:p w14:paraId="7EA82C2E"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263D56BB"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55BC6C40"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3891BF72"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hint="eastAsia"/>
                <w:color w:val="000000" w:themeColor="text1"/>
                <w:sz w:val="24"/>
              </w:rPr>
              <w:t>其中：剩余存续期超过</w:t>
            </w:r>
            <w:r>
              <w:rPr>
                <w:rFonts w:asciiTheme="minorEastAsia" w:eastAsiaTheme="minorEastAsia" w:hAnsiTheme="minorEastAsia"/>
                <w:color w:val="000000" w:themeColor="text1"/>
                <w:sz w:val="24"/>
              </w:rPr>
              <w:t>397</w:t>
            </w:r>
            <w:r>
              <w:rPr>
                <w:rFonts w:asciiTheme="minorEastAsia" w:eastAsiaTheme="minorEastAsia" w:hAnsiTheme="minorEastAsia" w:hint="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4A6A5D58"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6D8BC624"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393EAB99"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1A34FCF5"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14:paraId="7DD8FF3E"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60天（含）—90天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08C4EF3A"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8.29</w:t>
            </w:r>
          </w:p>
        </w:tc>
        <w:tc>
          <w:tcPr>
            <w:tcW w:w="2431" w:type="dxa"/>
            <w:tcBorders>
              <w:top w:val="single" w:sz="8" w:space="0" w:color="000000"/>
              <w:left w:val="single" w:sz="8" w:space="0" w:color="000000"/>
              <w:bottom w:val="single" w:sz="8" w:space="0" w:color="000000"/>
              <w:right w:val="single" w:sz="8" w:space="0" w:color="000000"/>
            </w:tcBorders>
            <w:vAlign w:val="center"/>
          </w:tcPr>
          <w:p w14:paraId="061A47BC"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56C25647"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3449DE2E"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10DD5D23"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其中：剩余存续期超过</w:t>
            </w:r>
            <w:r>
              <w:rPr>
                <w:rFonts w:asciiTheme="minorEastAsia" w:eastAsiaTheme="minorEastAsia" w:hAnsiTheme="minorEastAsia"/>
                <w:color w:val="000000" w:themeColor="text1"/>
                <w:sz w:val="24"/>
              </w:rPr>
              <w:t>397</w:t>
            </w:r>
            <w:r>
              <w:rPr>
                <w:rFonts w:asciiTheme="minorEastAsia" w:eastAsiaTheme="minorEastAsia" w:hAnsiTheme="minorEastAsia" w:hint="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174AB3B3"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27DCA568"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607C8501"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7874D747"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14:paraId="3573B7CE"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90天（含）—1</w:t>
            </w: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0天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335F1ACD"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10.34</w:t>
            </w:r>
          </w:p>
        </w:tc>
        <w:tc>
          <w:tcPr>
            <w:tcW w:w="2431" w:type="dxa"/>
            <w:tcBorders>
              <w:top w:val="single" w:sz="8" w:space="0" w:color="000000"/>
              <w:left w:val="single" w:sz="8" w:space="0" w:color="000000"/>
              <w:bottom w:val="single" w:sz="8" w:space="0" w:color="000000"/>
              <w:right w:val="single" w:sz="8" w:space="0" w:color="000000"/>
            </w:tcBorders>
            <w:vAlign w:val="center"/>
          </w:tcPr>
          <w:p w14:paraId="6293F074"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24DD8B34"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240762AA"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4A60CB6E"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其中：剩余存续期超过</w:t>
            </w:r>
            <w:r>
              <w:rPr>
                <w:rFonts w:asciiTheme="minorEastAsia" w:eastAsiaTheme="minorEastAsia" w:hAnsiTheme="minorEastAsia"/>
                <w:color w:val="000000" w:themeColor="text1"/>
                <w:sz w:val="24"/>
              </w:rPr>
              <w:t>397</w:t>
            </w:r>
            <w:r>
              <w:rPr>
                <w:rFonts w:asciiTheme="minorEastAsia" w:eastAsiaTheme="minorEastAsia" w:hAnsiTheme="minorEastAsia" w:hint="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7E691339"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201370DD"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019738BF"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62321737"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14:paraId="36B18434"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Pr>
                <w:rFonts w:asciiTheme="minorEastAsia" w:eastAsiaTheme="minorEastAsia" w:hAnsiTheme="minorEastAsia"/>
                <w:color w:val="000000" w:themeColor="text1"/>
                <w:sz w:val="24"/>
              </w:rPr>
              <w:t>天（含）—397天（含）</w:t>
            </w:r>
          </w:p>
        </w:tc>
        <w:tc>
          <w:tcPr>
            <w:tcW w:w="2529" w:type="dxa"/>
            <w:tcBorders>
              <w:top w:val="single" w:sz="8" w:space="0" w:color="000000"/>
              <w:left w:val="single" w:sz="8" w:space="0" w:color="000000"/>
              <w:bottom w:val="single" w:sz="8" w:space="0" w:color="000000"/>
              <w:right w:val="single" w:sz="8" w:space="0" w:color="000000"/>
            </w:tcBorders>
            <w:vAlign w:val="center"/>
          </w:tcPr>
          <w:p w14:paraId="532995F5"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40.32</w:t>
            </w:r>
          </w:p>
        </w:tc>
        <w:tc>
          <w:tcPr>
            <w:tcW w:w="2431" w:type="dxa"/>
            <w:tcBorders>
              <w:top w:val="single" w:sz="8" w:space="0" w:color="000000"/>
              <w:left w:val="single" w:sz="8" w:space="0" w:color="000000"/>
              <w:bottom w:val="single" w:sz="8" w:space="0" w:color="000000"/>
              <w:right w:val="single" w:sz="8" w:space="0" w:color="000000"/>
            </w:tcBorders>
            <w:vAlign w:val="center"/>
          </w:tcPr>
          <w:p w14:paraId="7D6AB463"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18F159BF"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2168B7C1"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495E1BB7"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其中：剩余存续期超过</w:t>
            </w:r>
            <w:r>
              <w:rPr>
                <w:rFonts w:asciiTheme="minorEastAsia" w:eastAsiaTheme="minorEastAsia" w:hAnsiTheme="minorEastAsia"/>
                <w:color w:val="000000" w:themeColor="text1"/>
                <w:sz w:val="24"/>
              </w:rPr>
              <w:t>397</w:t>
            </w:r>
            <w:r>
              <w:rPr>
                <w:rFonts w:asciiTheme="minorEastAsia" w:eastAsiaTheme="minorEastAsia" w:hAnsiTheme="minorEastAsia" w:hint="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3A5A0E17"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2BDB58FB"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3A6F4FAC" w14:textId="77777777">
        <w:tc>
          <w:tcPr>
            <w:tcW w:w="4202" w:type="dxa"/>
            <w:gridSpan w:val="2"/>
            <w:tcBorders>
              <w:top w:val="single" w:sz="8" w:space="0" w:color="000000"/>
              <w:left w:val="single" w:sz="8" w:space="0" w:color="000000"/>
              <w:bottom w:val="single" w:sz="8" w:space="0" w:color="000000"/>
              <w:right w:val="single" w:sz="8" w:space="0" w:color="000000"/>
            </w:tcBorders>
            <w:vAlign w:val="center"/>
          </w:tcPr>
          <w:p w14:paraId="7E0CAF94"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14:paraId="47B8ADA3"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99.31</w:t>
            </w:r>
          </w:p>
        </w:tc>
        <w:tc>
          <w:tcPr>
            <w:tcW w:w="2431" w:type="dxa"/>
            <w:tcBorders>
              <w:top w:val="single" w:sz="8" w:space="0" w:color="000000"/>
              <w:left w:val="single" w:sz="8" w:space="0" w:color="000000"/>
              <w:bottom w:val="single" w:sz="8" w:space="0" w:color="000000"/>
              <w:right w:val="single" w:sz="8" w:space="0" w:color="000000"/>
            </w:tcBorders>
            <w:vAlign w:val="center"/>
          </w:tcPr>
          <w:p w14:paraId="12EA1D36"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0.04</w:t>
            </w:r>
          </w:p>
        </w:tc>
      </w:tr>
    </w:tbl>
    <w:p w14:paraId="5B505605"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Theme="minorEastAsia" w:eastAsiaTheme="minorEastAsia" w:hAnsiTheme="minorEastAsia" w:cs="Arial"/>
          <w:b/>
          <w:color w:val="000000" w:themeColor="text1"/>
          <w:kern w:val="0"/>
          <w:sz w:val="24"/>
        </w:rPr>
        <w:t xml:space="preserve"> </w:t>
      </w:r>
      <w:r w:rsidRPr="0017387C">
        <w:rPr>
          <w:rFonts w:asciiTheme="minorEastAsia" w:eastAsiaTheme="minorEastAsia" w:hAnsiTheme="minorEastAsia" w:cs="Arial" w:hint="eastAsia"/>
          <w:b/>
          <w:color w:val="000000" w:themeColor="text1"/>
          <w:kern w:val="0"/>
          <w:sz w:val="24"/>
        </w:rPr>
        <w:t>报告期内投资组合平均剩余存续期超过240天情况说明</w:t>
      </w:r>
    </w:p>
    <w:p w14:paraId="3400E42B" w14:textId="77777777" w:rsidR="00DA315C" w:rsidRPr="00FB6FB2"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在本报告期内本基金未出现投资组合平均剩余存续期超过240天的情况。</w:t>
      </w:r>
    </w:p>
    <w:p w14:paraId="213E241C"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lastRenderedPageBreak/>
        <w:t xml:space="preserve">5.5 </w:t>
      </w:r>
      <w:r>
        <w:rPr>
          <w:rFonts w:asciiTheme="minorEastAsia" w:eastAsiaTheme="minorEastAsia" w:hAnsiTheme="minorEastAsia" w:cs="Arial" w:hint="eastAsia"/>
          <w:b/>
          <w:color w:val="000000" w:themeColor="text1"/>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119"/>
        <w:gridCol w:w="1984"/>
      </w:tblGrid>
      <w:tr w:rsidR="00DA315C" w14:paraId="23F1F173" w14:textId="77777777">
        <w:tc>
          <w:tcPr>
            <w:tcW w:w="817" w:type="dxa"/>
            <w:vAlign w:val="center"/>
          </w:tcPr>
          <w:p w14:paraId="67FBFB85"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序号</w:t>
            </w:r>
          </w:p>
        </w:tc>
        <w:tc>
          <w:tcPr>
            <w:tcW w:w="3260" w:type="dxa"/>
            <w:vAlign w:val="center"/>
          </w:tcPr>
          <w:p w14:paraId="48ED03BE"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债券品种</w:t>
            </w:r>
          </w:p>
        </w:tc>
        <w:tc>
          <w:tcPr>
            <w:tcW w:w="3119" w:type="dxa"/>
            <w:vAlign w:val="center"/>
          </w:tcPr>
          <w:p w14:paraId="47B5757A"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宋体" w:hAnsi="宋体" w:hint="eastAsia"/>
                <w:color w:val="000000" w:themeColor="text1"/>
                <w:sz w:val="24"/>
              </w:rPr>
              <w:t>摊余成本（元）</w:t>
            </w:r>
          </w:p>
        </w:tc>
        <w:tc>
          <w:tcPr>
            <w:tcW w:w="1984" w:type="dxa"/>
            <w:vAlign w:val="center"/>
          </w:tcPr>
          <w:p w14:paraId="1768A0EA"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占基金资产净值比例(％)</w:t>
            </w:r>
          </w:p>
        </w:tc>
      </w:tr>
      <w:tr w:rsidR="00DA315C" w14:paraId="7D7AC29D" w14:textId="77777777">
        <w:tc>
          <w:tcPr>
            <w:tcW w:w="817" w:type="dxa"/>
            <w:vAlign w:val="center"/>
          </w:tcPr>
          <w:p w14:paraId="13C88459"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c>
          <w:tcPr>
            <w:tcW w:w="3260" w:type="dxa"/>
            <w:vAlign w:val="center"/>
          </w:tcPr>
          <w:p w14:paraId="0E8A0D52"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国家债券</w:t>
            </w:r>
          </w:p>
        </w:tc>
        <w:tc>
          <w:tcPr>
            <w:tcW w:w="3119" w:type="dxa"/>
            <w:vAlign w:val="center"/>
          </w:tcPr>
          <w:p w14:paraId="612DC519"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c>
          <w:tcPr>
            <w:tcW w:w="1984" w:type="dxa"/>
            <w:vAlign w:val="center"/>
          </w:tcPr>
          <w:p w14:paraId="33EF46C5"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r>
      <w:tr w:rsidR="00DA315C" w14:paraId="08A77C2B" w14:textId="77777777">
        <w:tc>
          <w:tcPr>
            <w:tcW w:w="817" w:type="dxa"/>
            <w:vAlign w:val="center"/>
          </w:tcPr>
          <w:p w14:paraId="6988F313"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p>
        </w:tc>
        <w:tc>
          <w:tcPr>
            <w:tcW w:w="3260" w:type="dxa"/>
            <w:vAlign w:val="center"/>
          </w:tcPr>
          <w:p w14:paraId="45E20B6D"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央行票据</w:t>
            </w:r>
          </w:p>
        </w:tc>
        <w:tc>
          <w:tcPr>
            <w:tcW w:w="3119" w:type="dxa"/>
            <w:vAlign w:val="center"/>
          </w:tcPr>
          <w:p w14:paraId="0BDD212E"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c>
          <w:tcPr>
            <w:tcW w:w="1984" w:type="dxa"/>
            <w:vAlign w:val="center"/>
          </w:tcPr>
          <w:p w14:paraId="3D4E8740"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r>
      <w:tr w:rsidR="00DA315C" w14:paraId="5692FD34" w14:textId="77777777">
        <w:tc>
          <w:tcPr>
            <w:tcW w:w="817" w:type="dxa"/>
            <w:vAlign w:val="center"/>
          </w:tcPr>
          <w:p w14:paraId="1C532FE7"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w:t>
            </w:r>
          </w:p>
        </w:tc>
        <w:tc>
          <w:tcPr>
            <w:tcW w:w="3260" w:type="dxa"/>
            <w:vAlign w:val="center"/>
          </w:tcPr>
          <w:p w14:paraId="3E615FD3"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金融债券</w:t>
            </w:r>
          </w:p>
        </w:tc>
        <w:tc>
          <w:tcPr>
            <w:tcW w:w="3119" w:type="dxa"/>
            <w:vAlign w:val="center"/>
          </w:tcPr>
          <w:p w14:paraId="38A5F041"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784,838,127.32</w:t>
            </w:r>
          </w:p>
        </w:tc>
        <w:tc>
          <w:tcPr>
            <w:tcW w:w="1984" w:type="dxa"/>
            <w:vAlign w:val="center"/>
          </w:tcPr>
          <w:p w14:paraId="50FEB5D8"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6.86</w:t>
            </w:r>
          </w:p>
        </w:tc>
      </w:tr>
      <w:tr w:rsidR="00DA315C" w14:paraId="29FA5E47" w14:textId="77777777">
        <w:tc>
          <w:tcPr>
            <w:tcW w:w="817" w:type="dxa"/>
            <w:vAlign w:val="center"/>
          </w:tcPr>
          <w:p w14:paraId="600896A5" w14:textId="77777777" w:rsidR="00DA315C" w:rsidRDefault="00DA315C">
            <w:pPr>
              <w:spacing w:before="29" w:line="360" w:lineRule="auto"/>
              <w:ind w:left="17"/>
              <w:jc w:val="center"/>
              <w:rPr>
                <w:rFonts w:asciiTheme="minorEastAsia" w:eastAsiaTheme="minorEastAsia" w:hAnsiTheme="minorEastAsia" w:cs="宋体"/>
                <w:color w:val="000000" w:themeColor="text1"/>
                <w:sz w:val="24"/>
              </w:rPr>
            </w:pPr>
          </w:p>
        </w:tc>
        <w:tc>
          <w:tcPr>
            <w:tcW w:w="3260" w:type="dxa"/>
            <w:vAlign w:val="center"/>
          </w:tcPr>
          <w:p w14:paraId="44882137"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其中：政策性金融债</w:t>
            </w:r>
          </w:p>
        </w:tc>
        <w:tc>
          <w:tcPr>
            <w:tcW w:w="3119" w:type="dxa"/>
            <w:vAlign w:val="center"/>
          </w:tcPr>
          <w:p w14:paraId="356F1CB0"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651,931,374.43</w:t>
            </w:r>
          </w:p>
        </w:tc>
        <w:tc>
          <w:tcPr>
            <w:tcW w:w="1984" w:type="dxa"/>
            <w:vAlign w:val="center"/>
          </w:tcPr>
          <w:p w14:paraId="02AC6063"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5.70</w:t>
            </w:r>
          </w:p>
        </w:tc>
      </w:tr>
      <w:tr w:rsidR="00DA315C" w14:paraId="4C6BCBCF" w14:textId="77777777">
        <w:tc>
          <w:tcPr>
            <w:tcW w:w="817" w:type="dxa"/>
            <w:vAlign w:val="center"/>
          </w:tcPr>
          <w:p w14:paraId="04FF9900"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w:t>
            </w:r>
          </w:p>
        </w:tc>
        <w:tc>
          <w:tcPr>
            <w:tcW w:w="3260" w:type="dxa"/>
            <w:vAlign w:val="center"/>
          </w:tcPr>
          <w:p w14:paraId="5C9D38E4"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企业债券</w:t>
            </w:r>
          </w:p>
        </w:tc>
        <w:tc>
          <w:tcPr>
            <w:tcW w:w="3119" w:type="dxa"/>
            <w:vAlign w:val="center"/>
          </w:tcPr>
          <w:p w14:paraId="169C5CE5"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50,865,185.17</w:t>
            </w:r>
          </w:p>
        </w:tc>
        <w:tc>
          <w:tcPr>
            <w:tcW w:w="1984" w:type="dxa"/>
            <w:vAlign w:val="center"/>
          </w:tcPr>
          <w:p w14:paraId="07A47D69"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0.44</w:t>
            </w:r>
          </w:p>
        </w:tc>
      </w:tr>
      <w:tr w:rsidR="00DA315C" w14:paraId="0F0B9335" w14:textId="77777777">
        <w:tc>
          <w:tcPr>
            <w:tcW w:w="817" w:type="dxa"/>
            <w:vAlign w:val="center"/>
          </w:tcPr>
          <w:p w14:paraId="5E76938C"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w:t>
            </w:r>
          </w:p>
        </w:tc>
        <w:tc>
          <w:tcPr>
            <w:tcW w:w="3260" w:type="dxa"/>
            <w:vAlign w:val="center"/>
          </w:tcPr>
          <w:p w14:paraId="0607496A"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企业短期融资</w:t>
            </w:r>
            <w:proofErr w:type="gramStart"/>
            <w:r>
              <w:rPr>
                <w:rFonts w:asciiTheme="minorEastAsia" w:eastAsiaTheme="minorEastAsia" w:hAnsiTheme="minorEastAsia" w:cs="宋体" w:hint="eastAsia"/>
                <w:color w:val="000000" w:themeColor="text1"/>
                <w:sz w:val="24"/>
              </w:rPr>
              <w:t>券</w:t>
            </w:r>
            <w:proofErr w:type="gramEnd"/>
          </w:p>
        </w:tc>
        <w:tc>
          <w:tcPr>
            <w:tcW w:w="3119" w:type="dxa"/>
            <w:vAlign w:val="center"/>
          </w:tcPr>
          <w:p w14:paraId="60981C08"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1,157,533,476.98</w:t>
            </w:r>
          </w:p>
        </w:tc>
        <w:tc>
          <w:tcPr>
            <w:tcW w:w="1984" w:type="dxa"/>
            <w:vAlign w:val="center"/>
          </w:tcPr>
          <w:p w14:paraId="46784568"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10.12</w:t>
            </w:r>
          </w:p>
        </w:tc>
      </w:tr>
      <w:tr w:rsidR="00DA315C" w14:paraId="2B999D01" w14:textId="77777777">
        <w:tc>
          <w:tcPr>
            <w:tcW w:w="817" w:type="dxa"/>
            <w:vAlign w:val="center"/>
          </w:tcPr>
          <w:p w14:paraId="4A1B055C"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6</w:t>
            </w:r>
          </w:p>
        </w:tc>
        <w:tc>
          <w:tcPr>
            <w:tcW w:w="3260" w:type="dxa"/>
            <w:vAlign w:val="center"/>
          </w:tcPr>
          <w:p w14:paraId="09A9819A"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中期票据</w:t>
            </w:r>
          </w:p>
        </w:tc>
        <w:tc>
          <w:tcPr>
            <w:tcW w:w="3119" w:type="dxa"/>
            <w:vAlign w:val="center"/>
          </w:tcPr>
          <w:p w14:paraId="46DDA8FE"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c>
          <w:tcPr>
            <w:tcW w:w="1984" w:type="dxa"/>
            <w:vAlign w:val="center"/>
          </w:tcPr>
          <w:p w14:paraId="40A8ED05"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r>
      <w:tr w:rsidR="00DA315C" w14:paraId="74983292" w14:textId="77777777">
        <w:tc>
          <w:tcPr>
            <w:tcW w:w="817" w:type="dxa"/>
            <w:vAlign w:val="center"/>
          </w:tcPr>
          <w:p w14:paraId="3F28EE14"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7</w:t>
            </w:r>
          </w:p>
        </w:tc>
        <w:tc>
          <w:tcPr>
            <w:tcW w:w="3260" w:type="dxa"/>
            <w:vAlign w:val="center"/>
          </w:tcPr>
          <w:p w14:paraId="20425061"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同业存单</w:t>
            </w:r>
          </w:p>
        </w:tc>
        <w:tc>
          <w:tcPr>
            <w:tcW w:w="3119" w:type="dxa"/>
            <w:vAlign w:val="center"/>
          </w:tcPr>
          <w:p w14:paraId="2B126E49"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3,536,657,864.92</w:t>
            </w:r>
          </w:p>
        </w:tc>
        <w:tc>
          <w:tcPr>
            <w:tcW w:w="1984" w:type="dxa"/>
            <w:vAlign w:val="center"/>
          </w:tcPr>
          <w:p w14:paraId="7D1DA036"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30.91</w:t>
            </w:r>
          </w:p>
        </w:tc>
      </w:tr>
      <w:tr w:rsidR="00DA315C" w14:paraId="17F8B68B" w14:textId="77777777">
        <w:tc>
          <w:tcPr>
            <w:tcW w:w="817" w:type="dxa"/>
            <w:vAlign w:val="center"/>
          </w:tcPr>
          <w:p w14:paraId="0DD90E18"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8</w:t>
            </w:r>
          </w:p>
        </w:tc>
        <w:tc>
          <w:tcPr>
            <w:tcW w:w="3260" w:type="dxa"/>
            <w:vAlign w:val="center"/>
          </w:tcPr>
          <w:p w14:paraId="5AFE565B"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其他</w:t>
            </w:r>
          </w:p>
        </w:tc>
        <w:tc>
          <w:tcPr>
            <w:tcW w:w="3119" w:type="dxa"/>
            <w:vAlign w:val="center"/>
          </w:tcPr>
          <w:p w14:paraId="6A43BE44"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c>
          <w:tcPr>
            <w:tcW w:w="1984" w:type="dxa"/>
            <w:vAlign w:val="center"/>
          </w:tcPr>
          <w:p w14:paraId="43E73568"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r>
      <w:tr w:rsidR="00DA315C" w14:paraId="72ECE1CF" w14:textId="77777777">
        <w:tc>
          <w:tcPr>
            <w:tcW w:w="817" w:type="dxa"/>
            <w:vAlign w:val="center"/>
          </w:tcPr>
          <w:p w14:paraId="3B7FAB38"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9</w:t>
            </w:r>
          </w:p>
        </w:tc>
        <w:tc>
          <w:tcPr>
            <w:tcW w:w="3260" w:type="dxa"/>
            <w:vAlign w:val="center"/>
          </w:tcPr>
          <w:p w14:paraId="2BD84A14"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合计</w:t>
            </w:r>
          </w:p>
        </w:tc>
        <w:tc>
          <w:tcPr>
            <w:tcW w:w="3119" w:type="dxa"/>
            <w:vAlign w:val="center"/>
          </w:tcPr>
          <w:p w14:paraId="239EA6BA"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5,529,894,654.39</w:t>
            </w:r>
          </w:p>
        </w:tc>
        <w:tc>
          <w:tcPr>
            <w:tcW w:w="1984" w:type="dxa"/>
            <w:vAlign w:val="center"/>
          </w:tcPr>
          <w:p w14:paraId="186EEFA9"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48.34</w:t>
            </w:r>
          </w:p>
        </w:tc>
      </w:tr>
      <w:tr w:rsidR="00DA315C" w14:paraId="618B2EE8" w14:textId="77777777">
        <w:tc>
          <w:tcPr>
            <w:tcW w:w="817" w:type="dxa"/>
            <w:vAlign w:val="center"/>
          </w:tcPr>
          <w:p w14:paraId="049FC3FB"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10</w:t>
            </w:r>
          </w:p>
        </w:tc>
        <w:tc>
          <w:tcPr>
            <w:tcW w:w="3260" w:type="dxa"/>
            <w:vAlign w:val="center"/>
          </w:tcPr>
          <w:p w14:paraId="002E1861"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剩余存续期超过397天的浮动利率债券</w:t>
            </w:r>
          </w:p>
        </w:tc>
        <w:tc>
          <w:tcPr>
            <w:tcW w:w="3119" w:type="dxa"/>
            <w:vAlign w:val="center"/>
          </w:tcPr>
          <w:p w14:paraId="0369EA74"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c>
          <w:tcPr>
            <w:tcW w:w="1984" w:type="dxa"/>
            <w:vAlign w:val="center"/>
          </w:tcPr>
          <w:p w14:paraId="115413E0"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r>
    </w:tbl>
    <w:p w14:paraId="33936C96"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5.6 </w:t>
      </w:r>
      <w:r>
        <w:rPr>
          <w:rFonts w:asciiTheme="minorEastAsia" w:eastAsiaTheme="minorEastAsia" w:hAnsiTheme="minorEastAsia" w:cs="Arial" w:hint="eastAsia"/>
          <w:b/>
          <w:color w:val="000000" w:themeColor="text1"/>
          <w:kern w:val="0"/>
          <w:sz w:val="24"/>
        </w:rPr>
        <w:t>报告期末</w:t>
      </w:r>
      <w:proofErr w:type="gramStart"/>
      <w:r>
        <w:rPr>
          <w:rFonts w:asciiTheme="minorEastAsia" w:eastAsiaTheme="minorEastAsia" w:hAnsiTheme="minorEastAsia" w:cs="Arial" w:hint="eastAsia"/>
          <w:b/>
          <w:color w:val="000000" w:themeColor="text1"/>
          <w:kern w:val="0"/>
          <w:sz w:val="24"/>
        </w:rPr>
        <w:t>按摊余成本</w:t>
      </w:r>
      <w:proofErr w:type="gramEnd"/>
      <w:r>
        <w:rPr>
          <w:rFonts w:asciiTheme="minorEastAsia" w:eastAsiaTheme="minorEastAsia" w:hAnsiTheme="minorEastAsia" w:cs="Arial" w:hint="eastAsia"/>
          <w:b/>
          <w:color w:val="000000" w:themeColor="text1"/>
          <w:kern w:val="0"/>
          <w:sz w:val="24"/>
        </w:rPr>
        <w:t>占基金资产净值比例大小排名的前十名债券投资明细</w:t>
      </w:r>
    </w:p>
    <w:tbl>
      <w:tblPr>
        <w:tblStyle w:val="af2"/>
        <w:tblW w:w="0" w:type="auto"/>
        <w:tblInd w:w="15" w:type="dxa"/>
        <w:tblLook w:val="04A0" w:firstRow="1" w:lastRow="0" w:firstColumn="1" w:lastColumn="0" w:noHBand="0" w:noVBand="1"/>
      </w:tblPr>
      <w:tblGrid>
        <w:gridCol w:w="1160"/>
        <w:gridCol w:w="1458"/>
        <w:gridCol w:w="1783"/>
        <w:gridCol w:w="1656"/>
        <w:gridCol w:w="1896"/>
        <w:gridCol w:w="1334"/>
      </w:tblGrid>
      <w:tr w:rsidR="00DA315C" w14:paraId="5CB362A7" w14:textId="77777777">
        <w:tc>
          <w:tcPr>
            <w:tcW w:w="1547" w:type="dxa"/>
            <w:vAlign w:val="center"/>
          </w:tcPr>
          <w:p w14:paraId="39B980AC"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序号</w:t>
            </w:r>
          </w:p>
        </w:tc>
        <w:tc>
          <w:tcPr>
            <w:tcW w:w="1548" w:type="dxa"/>
            <w:vAlign w:val="center"/>
          </w:tcPr>
          <w:p w14:paraId="1C8A1995"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债券代码</w:t>
            </w:r>
          </w:p>
        </w:tc>
        <w:tc>
          <w:tcPr>
            <w:tcW w:w="1548" w:type="dxa"/>
            <w:vAlign w:val="center"/>
          </w:tcPr>
          <w:p w14:paraId="79042D76"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债券名称</w:t>
            </w:r>
          </w:p>
        </w:tc>
        <w:tc>
          <w:tcPr>
            <w:tcW w:w="1548" w:type="dxa"/>
            <w:vAlign w:val="center"/>
          </w:tcPr>
          <w:p w14:paraId="3050FAE2"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债券数量</w:t>
            </w:r>
          </w:p>
          <w:p w14:paraId="2DB5830C"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color w:val="000000" w:themeColor="text1"/>
                <w:kern w:val="0"/>
                <w:sz w:val="24"/>
              </w:rPr>
              <w:t>(</w:t>
            </w:r>
            <w:r>
              <w:rPr>
                <w:rFonts w:asciiTheme="minorEastAsia" w:eastAsiaTheme="minorEastAsia" w:hAnsiTheme="minorEastAsia" w:cs="Arial" w:hint="eastAsia"/>
                <w:color w:val="000000" w:themeColor="text1"/>
                <w:kern w:val="0"/>
                <w:sz w:val="24"/>
              </w:rPr>
              <w:t>张</w:t>
            </w:r>
            <w:r>
              <w:rPr>
                <w:rFonts w:asciiTheme="minorEastAsia" w:eastAsiaTheme="minorEastAsia" w:hAnsiTheme="minorEastAsia" w:cs="Arial"/>
                <w:color w:val="000000" w:themeColor="text1"/>
                <w:kern w:val="0"/>
                <w:sz w:val="24"/>
              </w:rPr>
              <w:t>)</w:t>
            </w:r>
          </w:p>
        </w:tc>
        <w:tc>
          <w:tcPr>
            <w:tcW w:w="1548" w:type="dxa"/>
            <w:vAlign w:val="center"/>
          </w:tcPr>
          <w:p w14:paraId="2771401F"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摊余成本（元）</w:t>
            </w:r>
          </w:p>
        </w:tc>
        <w:tc>
          <w:tcPr>
            <w:tcW w:w="1548" w:type="dxa"/>
            <w:vAlign w:val="center"/>
          </w:tcPr>
          <w:p w14:paraId="3EB5BA28"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占基金资产净值比例（％）</w:t>
            </w:r>
          </w:p>
        </w:tc>
      </w:tr>
      <w:tr w:rsidR="00490177" w14:paraId="08F8F553" w14:textId="77777777">
        <w:tc>
          <w:tcPr>
            <w:tcW w:w="0" w:type="auto"/>
            <w:vAlign w:val="center"/>
          </w:tcPr>
          <w:p w14:paraId="68DC7D81" w14:textId="77777777" w:rsidR="00490177" w:rsidRDefault="00A77B9F">
            <w:pPr>
              <w:jc w:val="center"/>
            </w:pPr>
            <w:r>
              <w:rPr>
                <w:rFonts w:asciiTheme="minorEastAsia" w:eastAsiaTheme="minorEastAsia" w:hAnsiTheme="minorEastAsia"/>
                <w:color w:val="000000" w:themeColor="text1"/>
                <w:sz w:val="24"/>
              </w:rPr>
              <w:t>1</w:t>
            </w:r>
          </w:p>
        </w:tc>
        <w:tc>
          <w:tcPr>
            <w:tcW w:w="0" w:type="auto"/>
            <w:vAlign w:val="center"/>
          </w:tcPr>
          <w:p w14:paraId="6DC799B9" w14:textId="77777777" w:rsidR="00490177" w:rsidRDefault="00A77B9F">
            <w:pPr>
              <w:jc w:val="center"/>
            </w:pPr>
            <w:r>
              <w:rPr>
                <w:rFonts w:asciiTheme="minorEastAsia" w:eastAsiaTheme="minorEastAsia" w:hAnsiTheme="minorEastAsia"/>
                <w:color w:val="000000" w:themeColor="text1"/>
                <w:sz w:val="24"/>
              </w:rPr>
              <w:t>112499288</w:t>
            </w:r>
          </w:p>
        </w:tc>
        <w:tc>
          <w:tcPr>
            <w:tcW w:w="0" w:type="auto"/>
            <w:vAlign w:val="center"/>
          </w:tcPr>
          <w:p w14:paraId="1D614293" w14:textId="77777777" w:rsidR="00490177" w:rsidRDefault="00A77B9F">
            <w:pPr>
              <w:jc w:val="center"/>
            </w:pPr>
            <w:r>
              <w:rPr>
                <w:rFonts w:asciiTheme="minorEastAsia" w:eastAsiaTheme="minorEastAsia" w:hAnsiTheme="minorEastAsia"/>
                <w:color w:val="000000" w:themeColor="text1"/>
                <w:sz w:val="24"/>
              </w:rPr>
              <w:t>24南京银行CD141</w:t>
            </w:r>
          </w:p>
        </w:tc>
        <w:tc>
          <w:tcPr>
            <w:tcW w:w="0" w:type="auto"/>
            <w:vAlign w:val="center"/>
          </w:tcPr>
          <w:p w14:paraId="3743B853" w14:textId="77777777" w:rsidR="00490177" w:rsidRDefault="00A77B9F">
            <w:pPr>
              <w:jc w:val="right"/>
            </w:pPr>
            <w:r>
              <w:rPr>
                <w:rFonts w:asciiTheme="minorEastAsia" w:eastAsiaTheme="minorEastAsia" w:hAnsiTheme="minorEastAsia"/>
                <w:color w:val="000000" w:themeColor="text1"/>
                <w:sz w:val="24"/>
              </w:rPr>
              <w:t>2,000,000.00</w:t>
            </w:r>
          </w:p>
        </w:tc>
        <w:tc>
          <w:tcPr>
            <w:tcW w:w="0" w:type="auto"/>
            <w:vAlign w:val="center"/>
          </w:tcPr>
          <w:p w14:paraId="3C032776" w14:textId="77777777" w:rsidR="00490177" w:rsidRDefault="00A77B9F">
            <w:pPr>
              <w:jc w:val="right"/>
            </w:pPr>
            <w:r>
              <w:rPr>
                <w:rFonts w:asciiTheme="minorEastAsia" w:eastAsiaTheme="minorEastAsia" w:hAnsiTheme="minorEastAsia"/>
                <w:color w:val="000000" w:themeColor="text1"/>
                <w:sz w:val="24"/>
              </w:rPr>
              <w:t>198,426,408.95</w:t>
            </w:r>
          </w:p>
        </w:tc>
        <w:tc>
          <w:tcPr>
            <w:tcW w:w="0" w:type="auto"/>
            <w:vAlign w:val="center"/>
          </w:tcPr>
          <w:p w14:paraId="600DB581" w14:textId="77777777" w:rsidR="00490177" w:rsidRDefault="00A77B9F">
            <w:pPr>
              <w:jc w:val="right"/>
            </w:pPr>
            <w:r>
              <w:rPr>
                <w:rFonts w:asciiTheme="minorEastAsia" w:eastAsiaTheme="minorEastAsia" w:hAnsiTheme="minorEastAsia"/>
                <w:color w:val="000000" w:themeColor="text1"/>
                <w:sz w:val="24"/>
              </w:rPr>
              <w:t>1.73</w:t>
            </w:r>
          </w:p>
        </w:tc>
      </w:tr>
      <w:tr w:rsidR="00490177" w14:paraId="7078E02F" w14:textId="77777777">
        <w:tc>
          <w:tcPr>
            <w:tcW w:w="0" w:type="auto"/>
            <w:vAlign w:val="center"/>
          </w:tcPr>
          <w:p w14:paraId="51E8345D" w14:textId="77777777" w:rsidR="00490177" w:rsidRDefault="00A77B9F">
            <w:pPr>
              <w:jc w:val="center"/>
            </w:pPr>
            <w:r>
              <w:rPr>
                <w:rFonts w:asciiTheme="minorEastAsia" w:eastAsiaTheme="minorEastAsia" w:hAnsiTheme="minorEastAsia"/>
                <w:color w:val="000000" w:themeColor="text1"/>
                <w:sz w:val="24"/>
              </w:rPr>
              <w:t>2</w:t>
            </w:r>
          </w:p>
        </w:tc>
        <w:tc>
          <w:tcPr>
            <w:tcW w:w="0" w:type="auto"/>
            <w:vAlign w:val="center"/>
          </w:tcPr>
          <w:p w14:paraId="542DAB00" w14:textId="77777777" w:rsidR="00490177" w:rsidRDefault="00A77B9F">
            <w:pPr>
              <w:jc w:val="center"/>
            </w:pPr>
            <w:r>
              <w:rPr>
                <w:rFonts w:asciiTheme="minorEastAsia" w:eastAsiaTheme="minorEastAsia" w:hAnsiTheme="minorEastAsia"/>
                <w:color w:val="000000" w:themeColor="text1"/>
                <w:sz w:val="24"/>
              </w:rPr>
              <w:t>220403</w:t>
            </w:r>
          </w:p>
        </w:tc>
        <w:tc>
          <w:tcPr>
            <w:tcW w:w="0" w:type="auto"/>
            <w:vAlign w:val="center"/>
          </w:tcPr>
          <w:p w14:paraId="77060952" w14:textId="77777777" w:rsidR="00490177" w:rsidRDefault="00A77B9F">
            <w:pPr>
              <w:jc w:val="center"/>
            </w:pPr>
            <w:r>
              <w:rPr>
                <w:rFonts w:asciiTheme="minorEastAsia" w:eastAsiaTheme="minorEastAsia" w:hAnsiTheme="minorEastAsia"/>
                <w:color w:val="000000" w:themeColor="text1"/>
                <w:sz w:val="24"/>
              </w:rPr>
              <w:t>22农发03</w:t>
            </w:r>
          </w:p>
        </w:tc>
        <w:tc>
          <w:tcPr>
            <w:tcW w:w="0" w:type="auto"/>
            <w:vAlign w:val="center"/>
          </w:tcPr>
          <w:p w14:paraId="3DA08553" w14:textId="77777777" w:rsidR="00490177" w:rsidRDefault="00A77B9F">
            <w:pPr>
              <w:jc w:val="right"/>
            </w:pPr>
            <w:r>
              <w:rPr>
                <w:rFonts w:asciiTheme="minorEastAsia" w:eastAsiaTheme="minorEastAsia" w:hAnsiTheme="minorEastAsia"/>
                <w:color w:val="000000" w:themeColor="text1"/>
                <w:sz w:val="24"/>
              </w:rPr>
              <w:t>1,300,000.00</w:t>
            </w:r>
          </w:p>
        </w:tc>
        <w:tc>
          <w:tcPr>
            <w:tcW w:w="0" w:type="auto"/>
            <w:vAlign w:val="center"/>
          </w:tcPr>
          <w:p w14:paraId="5227A8C7" w14:textId="77777777" w:rsidR="00490177" w:rsidRDefault="00A77B9F">
            <w:pPr>
              <w:jc w:val="right"/>
            </w:pPr>
            <w:r>
              <w:rPr>
                <w:rFonts w:asciiTheme="minorEastAsia" w:eastAsiaTheme="minorEastAsia" w:hAnsiTheme="minorEastAsia"/>
                <w:color w:val="000000" w:themeColor="text1"/>
                <w:sz w:val="24"/>
              </w:rPr>
              <w:t>132,412,381.31</w:t>
            </w:r>
          </w:p>
        </w:tc>
        <w:tc>
          <w:tcPr>
            <w:tcW w:w="0" w:type="auto"/>
            <w:vAlign w:val="center"/>
          </w:tcPr>
          <w:p w14:paraId="5682BC26" w14:textId="77777777" w:rsidR="00490177" w:rsidRDefault="00A77B9F">
            <w:pPr>
              <w:jc w:val="right"/>
            </w:pPr>
            <w:r>
              <w:rPr>
                <w:rFonts w:asciiTheme="minorEastAsia" w:eastAsiaTheme="minorEastAsia" w:hAnsiTheme="minorEastAsia"/>
                <w:color w:val="000000" w:themeColor="text1"/>
                <w:sz w:val="24"/>
              </w:rPr>
              <w:t>1.16</w:t>
            </w:r>
          </w:p>
        </w:tc>
      </w:tr>
      <w:tr w:rsidR="00490177" w14:paraId="0AE0CA41" w14:textId="77777777">
        <w:tc>
          <w:tcPr>
            <w:tcW w:w="0" w:type="auto"/>
            <w:vAlign w:val="center"/>
          </w:tcPr>
          <w:p w14:paraId="683D57DE" w14:textId="77777777" w:rsidR="00490177" w:rsidRDefault="00A77B9F">
            <w:pPr>
              <w:jc w:val="center"/>
            </w:pPr>
            <w:r>
              <w:rPr>
                <w:rFonts w:asciiTheme="minorEastAsia" w:eastAsiaTheme="minorEastAsia" w:hAnsiTheme="minorEastAsia"/>
                <w:color w:val="000000" w:themeColor="text1"/>
                <w:sz w:val="24"/>
              </w:rPr>
              <w:t>3</w:t>
            </w:r>
          </w:p>
        </w:tc>
        <w:tc>
          <w:tcPr>
            <w:tcW w:w="0" w:type="auto"/>
            <w:vAlign w:val="center"/>
          </w:tcPr>
          <w:p w14:paraId="1460D5F7" w14:textId="77777777" w:rsidR="00490177" w:rsidRDefault="00A77B9F">
            <w:pPr>
              <w:jc w:val="center"/>
            </w:pPr>
            <w:r>
              <w:rPr>
                <w:rFonts w:asciiTheme="minorEastAsia" w:eastAsiaTheme="minorEastAsia" w:hAnsiTheme="minorEastAsia"/>
                <w:color w:val="000000" w:themeColor="text1"/>
                <w:sz w:val="24"/>
              </w:rPr>
              <w:t>200203</w:t>
            </w:r>
          </w:p>
        </w:tc>
        <w:tc>
          <w:tcPr>
            <w:tcW w:w="0" w:type="auto"/>
            <w:vAlign w:val="center"/>
          </w:tcPr>
          <w:p w14:paraId="61FD10F0" w14:textId="77777777" w:rsidR="00490177" w:rsidRDefault="00A77B9F">
            <w:pPr>
              <w:jc w:val="center"/>
            </w:pPr>
            <w:r>
              <w:rPr>
                <w:rFonts w:asciiTheme="minorEastAsia" w:eastAsiaTheme="minorEastAsia" w:hAnsiTheme="minorEastAsia"/>
                <w:color w:val="000000" w:themeColor="text1"/>
                <w:sz w:val="24"/>
              </w:rPr>
              <w:t>20国开03</w:t>
            </w:r>
          </w:p>
        </w:tc>
        <w:tc>
          <w:tcPr>
            <w:tcW w:w="0" w:type="auto"/>
            <w:vAlign w:val="center"/>
          </w:tcPr>
          <w:p w14:paraId="447FA778" w14:textId="77777777" w:rsidR="00490177" w:rsidRDefault="00A77B9F">
            <w:pPr>
              <w:jc w:val="right"/>
            </w:pPr>
            <w:r>
              <w:rPr>
                <w:rFonts w:asciiTheme="minorEastAsia" w:eastAsiaTheme="minorEastAsia" w:hAnsiTheme="minorEastAsia"/>
                <w:color w:val="000000" w:themeColor="text1"/>
                <w:sz w:val="24"/>
              </w:rPr>
              <w:t>1,200,000.00</w:t>
            </w:r>
          </w:p>
        </w:tc>
        <w:tc>
          <w:tcPr>
            <w:tcW w:w="0" w:type="auto"/>
            <w:vAlign w:val="center"/>
          </w:tcPr>
          <w:p w14:paraId="70489017" w14:textId="77777777" w:rsidR="00490177" w:rsidRDefault="00A77B9F">
            <w:pPr>
              <w:jc w:val="right"/>
            </w:pPr>
            <w:r>
              <w:rPr>
                <w:rFonts w:asciiTheme="minorEastAsia" w:eastAsiaTheme="minorEastAsia" w:hAnsiTheme="minorEastAsia"/>
                <w:color w:val="000000" w:themeColor="text1"/>
                <w:sz w:val="24"/>
              </w:rPr>
              <w:t>123,297,419.44</w:t>
            </w:r>
          </w:p>
        </w:tc>
        <w:tc>
          <w:tcPr>
            <w:tcW w:w="0" w:type="auto"/>
            <w:vAlign w:val="center"/>
          </w:tcPr>
          <w:p w14:paraId="2ACCB8F8" w14:textId="77777777" w:rsidR="00490177" w:rsidRDefault="00A77B9F">
            <w:pPr>
              <w:jc w:val="right"/>
            </w:pPr>
            <w:r>
              <w:rPr>
                <w:rFonts w:asciiTheme="minorEastAsia" w:eastAsiaTheme="minorEastAsia" w:hAnsiTheme="minorEastAsia"/>
                <w:color w:val="000000" w:themeColor="text1"/>
                <w:sz w:val="24"/>
              </w:rPr>
              <w:t>1.08</w:t>
            </w:r>
          </w:p>
        </w:tc>
      </w:tr>
      <w:tr w:rsidR="00490177" w14:paraId="383AB6CE" w14:textId="77777777">
        <w:tc>
          <w:tcPr>
            <w:tcW w:w="0" w:type="auto"/>
            <w:vAlign w:val="center"/>
          </w:tcPr>
          <w:p w14:paraId="6CBBD004" w14:textId="77777777" w:rsidR="00490177" w:rsidRDefault="00A77B9F">
            <w:pPr>
              <w:jc w:val="center"/>
            </w:pPr>
            <w:r>
              <w:rPr>
                <w:rFonts w:asciiTheme="minorEastAsia" w:eastAsiaTheme="minorEastAsia" w:hAnsiTheme="minorEastAsia"/>
                <w:color w:val="000000" w:themeColor="text1"/>
                <w:sz w:val="24"/>
              </w:rPr>
              <w:t>4</w:t>
            </w:r>
          </w:p>
        </w:tc>
        <w:tc>
          <w:tcPr>
            <w:tcW w:w="0" w:type="auto"/>
            <w:vAlign w:val="center"/>
          </w:tcPr>
          <w:p w14:paraId="7C281054" w14:textId="77777777" w:rsidR="00490177" w:rsidRDefault="00A77B9F">
            <w:pPr>
              <w:jc w:val="center"/>
            </w:pPr>
            <w:r>
              <w:rPr>
                <w:rFonts w:asciiTheme="minorEastAsia" w:eastAsiaTheme="minorEastAsia" w:hAnsiTheme="minorEastAsia"/>
                <w:color w:val="000000" w:themeColor="text1"/>
                <w:sz w:val="24"/>
              </w:rPr>
              <w:t>200305</w:t>
            </w:r>
          </w:p>
        </w:tc>
        <w:tc>
          <w:tcPr>
            <w:tcW w:w="0" w:type="auto"/>
            <w:vAlign w:val="center"/>
          </w:tcPr>
          <w:p w14:paraId="28074F7E" w14:textId="77777777" w:rsidR="00490177" w:rsidRDefault="00A77B9F">
            <w:pPr>
              <w:jc w:val="center"/>
            </w:pPr>
            <w:r>
              <w:rPr>
                <w:rFonts w:asciiTheme="minorEastAsia" w:eastAsiaTheme="minorEastAsia" w:hAnsiTheme="minorEastAsia"/>
                <w:color w:val="000000" w:themeColor="text1"/>
                <w:sz w:val="24"/>
              </w:rPr>
              <w:t>20进出05</w:t>
            </w:r>
          </w:p>
        </w:tc>
        <w:tc>
          <w:tcPr>
            <w:tcW w:w="0" w:type="auto"/>
            <w:vAlign w:val="center"/>
          </w:tcPr>
          <w:p w14:paraId="3B815AAF" w14:textId="77777777" w:rsidR="00490177" w:rsidRDefault="00A77B9F">
            <w:pPr>
              <w:jc w:val="right"/>
            </w:pPr>
            <w:r>
              <w:rPr>
                <w:rFonts w:asciiTheme="minorEastAsia" w:eastAsiaTheme="minorEastAsia" w:hAnsiTheme="minorEastAsia"/>
                <w:color w:val="000000" w:themeColor="text1"/>
                <w:sz w:val="24"/>
              </w:rPr>
              <w:t>1,200,000.00</w:t>
            </w:r>
          </w:p>
        </w:tc>
        <w:tc>
          <w:tcPr>
            <w:tcW w:w="0" w:type="auto"/>
            <w:vAlign w:val="center"/>
          </w:tcPr>
          <w:p w14:paraId="6C80B11B" w14:textId="77777777" w:rsidR="00490177" w:rsidRDefault="00A77B9F">
            <w:pPr>
              <w:jc w:val="right"/>
            </w:pPr>
            <w:r>
              <w:rPr>
                <w:rFonts w:asciiTheme="minorEastAsia" w:eastAsiaTheme="minorEastAsia" w:hAnsiTheme="minorEastAsia"/>
                <w:color w:val="000000" w:themeColor="text1"/>
                <w:sz w:val="24"/>
              </w:rPr>
              <w:t>122,635,014.46</w:t>
            </w:r>
          </w:p>
        </w:tc>
        <w:tc>
          <w:tcPr>
            <w:tcW w:w="0" w:type="auto"/>
            <w:vAlign w:val="center"/>
          </w:tcPr>
          <w:p w14:paraId="2017483B" w14:textId="77777777" w:rsidR="00490177" w:rsidRDefault="00A77B9F">
            <w:pPr>
              <w:jc w:val="right"/>
            </w:pPr>
            <w:r>
              <w:rPr>
                <w:rFonts w:asciiTheme="minorEastAsia" w:eastAsiaTheme="minorEastAsia" w:hAnsiTheme="minorEastAsia"/>
                <w:color w:val="000000" w:themeColor="text1"/>
                <w:sz w:val="24"/>
              </w:rPr>
              <w:t>1.07</w:t>
            </w:r>
          </w:p>
        </w:tc>
      </w:tr>
      <w:tr w:rsidR="00490177" w14:paraId="18A5E199" w14:textId="77777777">
        <w:tc>
          <w:tcPr>
            <w:tcW w:w="0" w:type="auto"/>
            <w:vAlign w:val="center"/>
          </w:tcPr>
          <w:p w14:paraId="3F83DF97" w14:textId="77777777" w:rsidR="00490177" w:rsidRDefault="00A77B9F">
            <w:pPr>
              <w:jc w:val="center"/>
            </w:pPr>
            <w:r>
              <w:rPr>
                <w:rFonts w:asciiTheme="minorEastAsia" w:eastAsiaTheme="minorEastAsia" w:hAnsiTheme="minorEastAsia"/>
                <w:color w:val="000000" w:themeColor="text1"/>
                <w:sz w:val="24"/>
              </w:rPr>
              <w:t>5</w:t>
            </w:r>
          </w:p>
        </w:tc>
        <w:tc>
          <w:tcPr>
            <w:tcW w:w="0" w:type="auto"/>
            <w:vAlign w:val="center"/>
          </w:tcPr>
          <w:p w14:paraId="41258D21" w14:textId="77777777" w:rsidR="00490177" w:rsidRDefault="00A77B9F">
            <w:pPr>
              <w:jc w:val="center"/>
            </w:pPr>
            <w:r>
              <w:rPr>
                <w:rFonts w:asciiTheme="minorEastAsia" w:eastAsiaTheme="minorEastAsia" w:hAnsiTheme="minorEastAsia"/>
                <w:color w:val="000000" w:themeColor="text1"/>
                <w:sz w:val="24"/>
              </w:rPr>
              <w:t>012480169</w:t>
            </w:r>
          </w:p>
        </w:tc>
        <w:tc>
          <w:tcPr>
            <w:tcW w:w="0" w:type="auto"/>
            <w:vAlign w:val="center"/>
          </w:tcPr>
          <w:p w14:paraId="58A40CB2" w14:textId="77777777" w:rsidR="00490177" w:rsidRDefault="00A77B9F">
            <w:pPr>
              <w:jc w:val="center"/>
            </w:pPr>
            <w:r>
              <w:rPr>
                <w:rFonts w:asciiTheme="minorEastAsia" w:eastAsiaTheme="minorEastAsia" w:hAnsiTheme="minorEastAsia"/>
                <w:color w:val="000000" w:themeColor="text1"/>
                <w:sz w:val="24"/>
              </w:rPr>
              <w:t>24北控SCP001</w:t>
            </w:r>
          </w:p>
        </w:tc>
        <w:tc>
          <w:tcPr>
            <w:tcW w:w="0" w:type="auto"/>
            <w:vAlign w:val="center"/>
          </w:tcPr>
          <w:p w14:paraId="2887DD1C" w14:textId="77777777" w:rsidR="00490177" w:rsidRDefault="00A77B9F">
            <w:pPr>
              <w:jc w:val="right"/>
            </w:pPr>
            <w:r>
              <w:rPr>
                <w:rFonts w:asciiTheme="minorEastAsia" w:eastAsiaTheme="minorEastAsia" w:hAnsiTheme="minorEastAsia"/>
                <w:color w:val="000000" w:themeColor="text1"/>
                <w:sz w:val="24"/>
              </w:rPr>
              <w:t>1,000,000.00</w:t>
            </w:r>
          </w:p>
        </w:tc>
        <w:tc>
          <w:tcPr>
            <w:tcW w:w="0" w:type="auto"/>
            <w:vAlign w:val="center"/>
          </w:tcPr>
          <w:p w14:paraId="7F3A49D8" w14:textId="77777777" w:rsidR="00490177" w:rsidRDefault="00A77B9F">
            <w:pPr>
              <w:jc w:val="right"/>
            </w:pPr>
            <w:r>
              <w:rPr>
                <w:rFonts w:asciiTheme="minorEastAsia" w:eastAsiaTheme="minorEastAsia" w:hAnsiTheme="minorEastAsia"/>
                <w:color w:val="000000" w:themeColor="text1"/>
                <w:sz w:val="24"/>
              </w:rPr>
              <w:t>101,423,535.18</w:t>
            </w:r>
          </w:p>
        </w:tc>
        <w:tc>
          <w:tcPr>
            <w:tcW w:w="0" w:type="auto"/>
            <w:vAlign w:val="center"/>
          </w:tcPr>
          <w:p w14:paraId="7A2FD907" w14:textId="77777777" w:rsidR="00490177" w:rsidRDefault="00A77B9F">
            <w:pPr>
              <w:jc w:val="right"/>
            </w:pPr>
            <w:r>
              <w:rPr>
                <w:rFonts w:asciiTheme="minorEastAsia" w:eastAsiaTheme="minorEastAsia" w:hAnsiTheme="minorEastAsia"/>
                <w:color w:val="000000" w:themeColor="text1"/>
                <w:sz w:val="24"/>
              </w:rPr>
              <w:t>0.89</w:t>
            </w:r>
          </w:p>
        </w:tc>
      </w:tr>
      <w:tr w:rsidR="00490177" w14:paraId="6EFD1953" w14:textId="77777777">
        <w:tc>
          <w:tcPr>
            <w:tcW w:w="0" w:type="auto"/>
            <w:vAlign w:val="center"/>
          </w:tcPr>
          <w:p w14:paraId="2ECC6E65" w14:textId="77777777" w:rsidR="00490177" w:rsidRDefault="00A77B9F">
            <w:pPr>
              <w:jc w:val="center"/>
            </w:pPr>
            <w:r>
              <w:rPr>
                <w:rFonts w:asciiTheme="minorEastAsia" w:eastAsiaTheme="minorEastAsia" w:hAnsiTheme="minorEastAsia"/>
                <w:color w:val="000000" w:themeColor="text1"/>
                <w:sz w:val="24"/>
              </w:rPr>
              <w:t>6</w:t>
            </w:r>
          </w:p>
        </w:tc>
        <w:tc>
          <w:tcPr>
            <w:tcW w:w="0" w:type="auto"/>
            <w:vAlign w:val="center"/>
          </w:tcPr>
          <w:p w14:paraId="73B3DAED" w14:textId="77777777" w:rsidR="00490177" w:rsidRDefault="00A77B9F">
            <w:pPr>
              <w:jc w:val="center"/>
            </w:pPr>
            <w:r>
              <w:rPr>
                <w:rFonts w:asciiTheme="minorEastAsia" w:eastAsiaTheme="minorEastAsia" w:hAnsiTheme="minorEastAsia"/>
                <w:color w:val="000000" w:themeColor="text1"/>
                <w:sz w:val="24"/>
              </w:rPr>
              <w:t>012481213</w:t>
            </w:r>
          </w:p>
        </w:tc>
        <w:tc>
          <w:tcPr>
            <w:tcW w:w="0" w:type="auto"/>
            <w:vAlign w:val="center"/>
          </w:tcPr>
          <w:p w14:paraId="55E2A5D1" w14:textId="77777777" w:rsidR="00490177" w:rsidRDefault="00A77B9F">
            <w:pPr>
              <w:jc w:val="center"/>
            </w:pPr>
            <w:r>
              <w:rPr>
                <w:rFonts w:asciiTheme="minorEastAsia" w:eastAsiaTheme="minorEastAsia" w:hAnsiTheme="minorEastAsia"/>
                <w:color w:val="000000" w:themeColor="text1"/>
                <w:sz w:val="24"/>
              </w:rPr>
              <w:t>24招商局SCP005</w:t>
            </w:r>
          </w:p>
        </w:tc>
        <w:tc>
          <w:tcPr>
            <w:tcW w:w="0" w:type="auto"/>
            <w:vAlign w:val="center"/>
          </w:tcPr>
          <w:p w14:paraId="7300162B" w14:textId="77777777" w:rsidR="00490177" w:rsidRDefault="00A77B9F">
            <w:pPr>
              <w:jc w:val="right"/>
            </w:pPr>
            <w:r>
              <w:rPr>
                <w:rFonts w:asciiTheme="minorEastAsia" w:eastAsiaTheme="minorEastAsia" w:hAnsiTheme="minorEastAsia"/>
                <w:color w:val="000000" w:themeColor="text1"/>
                <w:sz w:val="24"/>
              </w:rPr>
              <w:t>1,000,000.00</w:t>
            </w:r>
          </w:p>
        </w:tc>
        <w:tc>
          <w:tcPr>
            <w:tcW w:w="0" w:type="auto"/>
            <w:vAlign w:val="center"/>
          </w:tcPr>
          <w:p w14:paraId="655F6841" w14:textId="77777777" w:rsidR="00490177" w:rsidRDefault="00A77B9F">
            <w:pPr>
              <w:jc w:val="right"/>
            </w:pPr>
            <w:r>
              <w:rPr>
                <w:rFonts w:asciiTheme="minorEastAsia" w:eastAsiaTheme="minorEastAsia" w:hAnsiTheme="minorEastAsia"/>
                <w:color w:val="000000" w:themeColor="text1"/>
                <w:sz w:val="24"/>
              </w:rPr>
              <w:t>100,734,288.01</w:t>
            </w:r>
          </w:p>
        </w:tc>
        <w:tc>
          <w:tcPr>
            <w:tcW w:w="0" w:type="auto"/>
            <w:vAlign w:val="center"/>
          </w:tcPr>
          <w:p w14:paraId="182F708A" w14:textId="77777777" w:rsidR="00490177" w:rsidRDefault="00A77B9F">
            <w:pPr>
              <w:jc w:val="right"/>
            </w:pPr>
            <w:r>
              <w:rPr>
                <w:rFonts w:asciiTheme="minorEastAsia" w:eastAsiaTheme="minorEastAsia" w:hAnsiTheme="minorEastAsia"/>
                <w:color w:val="000000" w:themeColor="text1"/>
                <w:sz w:val="24"/>
              </w:rPr>
              <w:t>0.88</w:t>
            </w:r>
          </w:p>
        </w:tc>
      </w:tr>
      <w:tr w:rsidR="00490177" w14:paraId="5977708E" w14:textId="77777777">
        <w:tc>
          <w:tcPr>
            <w:tcW w:w="0" w:type="auto"/>
            <w:vAlign w:val="center"/>
          </w:tcPr>
          <w:p w14:paraId="7EC17205" w14:textId="77777777" w:rsidR="00490177" w:rsidRDefault="00A77B9F">
            <w:pPr>
              <w:jc w:val="center"/>
            </w:pPr>
            <w:r>
              <w:rPr>
                <w:rFonts w:asciiTheme="minorEastAsia" w:eastAsiaTheme="minorEastAsia" w:hAnsiTheme="minorEastAsia"/>
                <w:color w:val="000000" w:themeColor="text1"/>
                <w:sz w:val="24"/>
              </w:rPr>
              <w:t>7</w:t>
            </w:r>
          </w:p>
        </w:tc>
        <w:tc>
          <w:tcPr>
            <w:tcW w:w="0" w:type="auto"/>
            <w:vAlign w:val="center"/>
          </w:tcPr>
          <w:p w14:paraId="5E40272B" w14:textId="77777777" w:rsidR="00490177" w:rsidRDefault="00A77B9F">
            <w:pPr>
              <w:jc w:val="center"/>
            </w:pPr>
            <w:r>
              <w:rPr>
                <w:rFonts w:asciiTheme="minorEastAsia" w:eastAsiaTheme="minorEastAsia" w:hAnsiTheme="minorEastAsia"/>
                <w:color w:val="000000" w:themeColor="text1"/>
                <w:sz w:val="24"/>
              </w:rPr>
              <w:t>012481431</w:t>
            </w:r>
          </w:p>
        </w:tc>
        <w:tc>
          <w:tcPr>
            <w:tcW w:w="0" w:type="auto"/>
            <w:vAlign w:val="center"/>
          </w:tcPr>
          <w:p w14:paraId="5E2B987A" w14:textId="77777777" w:rsidR="00490177" w:rsidRDefault="00A77B9F">
            <w:pPr>
              <w:jc w:val="center"/>
            </w:pPr>
            <w:r>
              <w:rPr>
                <w:rFonts w:asciiTheme="minorEastAsia" w:eastAsiaTheme="minorEastAsia" w:hAnsiTheme="minorEastAsia"/>
                <w:color w:val="000000" w:themeColor="text1"/>
                <w:sz w:val="24"/>
              </w:rPr>
              <w:t>24国药控股SCP002</w:t>
            </w:r>
          </w:p>
        </w:tc>
        <w:tc>
          <w:tcPr>
            <w:tcW w:w="0" w:type="auto"/>
            <w:vAlign w:val="center"/>
          </w:tcPr>
          <w:p w14:paraId="498563D3" w14:textId="77777777" w:rsidR="00490177" w:rsidRDefault="00A77B9F">
            <w:pPr>
              <w:jc w:val="right"/>
            </w:pPr>
            <w:r>
              <w:rPr>
                <w:rFonts w:asciiTheme="minorEastAsia" w:eastAsiaTheme="minorEastAsia" w:hAnsiTheme="minorEastAsia"/>
                <w:color w:val="000000" w:themeColor="text1"/>
                <w:sz w:val="24"/>
              </w:rPr>
              <w:t>1,000,000.00</w:t>
            </w:r>
          </w:p>
        </w:tc>
        <w:tc>
          <w:tcPr>
            <w:tcW w:w="0" w:type="auto"/>
            <w:vAlign w:val="center"/>
          </w:tcPr>
          <w:p w14:paraId="1D5377E3" w14:textId="77777777" w:rsidR="00490177" w:rsidRDefault="00A77B9F">
            <w:pPr>
              <w:jc w:val="right"/>
            </w:pPr>
            <w:r>
              <w:rPr>
                <w:rFonts w:asciiTheme="minorEastAsia" w:eastAsiaTheme="minorEastAsia" w:hAnsiTheme="minorEastAsia"/>
                <w:color w:val="000000" w:themeColor="text1"/>
                <w:sz w:val="24"/>
              </w:rPr>
              <w:t>100,589,472.35</w:t>
            </w:r>
          </w:p>
        </w:tc>
        <w:tc>
          <w:tcPr>
            <w:tcW w:w="0" w:type="auto"/>
            <w:vAlign w:val="center"/>
          </w:tcPr>
          <w:p w14:paraId="262AF7F6" w14:textId="77777777" w:rsidR="00490177" w:rsidRDefault="00A77B9F">
            <w:pPr>
              <w:jc w:val="right"/>
            </w:pPr>
            <w:r>
              <w:rPr>
                <w:rFonts w:asciiTheme="minorEastAsia" w:eastAsiaTheme="minorEastAsia" w:hAnsiTheme="minorEastAsia"/>
                <w:color w:val="000000" w:themeColor="text1"/>
                <w:sz w:val="24"/>
              </w:rPr>
              <w:t>0.88</w:t>
            </w:r>
          </w:p>
        </w:tc>
      </w:tr>
      <w:tr w:rsidR="00490177" w14:paraId="312215E9" w14:textId="77777777">
        <w:tc>
          <w:tcPr>
            <w:tcW w:w="0" w:type="auto"/>
            <w:vAlign w:val="center"/>
          </w:tcPr>
          <w:p w14:paraId="5625EFC5" w14:textId="77777777" w:rsidR="00490177" w:rsidRDefault="00A77B9F">
            <w:pPr>
              <w:jc w:val="center"/>
            </w:pPr>
            <w:r>
              <w:rPr>
                <w:rFonts w:asciiTheme="minorEastAsia" w:eastAsiaTheme="minorEastAsia" w:hAnsiTheme="minorEastAsia"/>
                <w:color w:val="000000" w:themeColor="text1"/>
                <w:sz w:val="24"/>
              </w:rPr>
              <w:t>8</w:t>
            </w:r>
          </w:p>
        </w:tc>
        <w:tc>
          <w:tcPr>
            <w:tcW w:w="0" w:type="auto"/>
            <w:vAlign w:val="center"/>
          </w:tcPr>
          <w:p w14:paraId="086C3FE5" w14:textId="77777777" w:rsidR="00490177" w:rsidRDefault="00A77B9F">
            <w:pPr>
              <w:jc w:val="center"/>
            </w:pPr>
            <w:r>
              <w:rPr>
                <w:rFonts w:asciiTheme="minorEastAsia" w:eastAsiaTheme="minorEastAsia" w:hAnsiTheme="minorEastAsia"/>
                <w:color w:val="000000" w:themeColor="text1"/>
                <w:sz w:val="24"/>
              </w:rPr>
              <w:t>012481597</w:t>
            </w:r>
          </w:p>
        </w:tc>
        <w:tc>
          <w:tcPr>
            <w:tcW w:w="0" w:type="auto"/>
            <w:vAlign w:val="center"/>
          </w:tcPr>
          <w:p w14:paraId="3BDBFA2D" w14:textId="77777777" w:rsidR="00490177" w:rsidRDefault="00A77B9F">
            <w:pPr>
              <w:jc w:val="center"/>
            </w:pPr>
            <w:r>
              <w:rPr>
                <w:rFonts w:asciiTheme="minorEastAsia" w:eastAsiaTheme="minorEastAsia" w:hAnsiTheme="minorEastAsia"/>
                <w:color w:val="000000" w:themeColor="text1"/>
                <w:sz w:val="24"/>
              </w:rPr>
              <w:t>24鲁高速</w:t>
            </w:r>
            <w:r>
              <w:rPr>
                <w:rFonts w:asciiTheme="minorEastAsia" w:eastAsiaTheme="minorEastAsia" w:hAnsiTheme="minorEastAsia"/>
                <w:color w:val="000000" w:themeColor="text1"/>
                <w:sz w:val="24"/>
              </w:rPr>
              <w:lastRenderedPageBreak/>
              <w:t>SCP002</w:t>
            </w:r>
          </w:p>
        </w:tc>
        <w:tc>
          <w:tcPr>
            <w:tcW w:w="0" w:type="auto"/>
            <w:vAlign w:val="center"/>
          </w:tcPr>
          <w:p w14:paraId="01195CDB" w14:textId="77777777" w:rsidR="00490177" w:rsidRDefault="00A77B9F">
            <w:pPr>
              <w:jc w:val="right"/>
            </w:pPr>
            <w:r>
              <w:rPr>
                <w:rFonts w:asciiTheme="minorEastAsia" w:eastAsiaTheme="minorEastAsia" w:hAnsiTheme="minorEastAsia"/>
                <w:color w:val="000000" w:themeColor="text1"/>
                <w:sz w:val="24"/>
              </w:rPr>
              <w:lastRenderedPageBreak/>
              <w:t>1,000,000.00</w:t>
            </w:r>
          </w:p>
        </w:tc>
        <w:tc>
          <w:tcPr>
            <w:tcW w:w="0" w:type="auto"/>
            <w:vAlign w:val="center"/>
          </w:tcPr>
          <w:p w14:paraId="450BDC21" w14:textId="77777777" w:rsidR="00490177" w:rsidRDefault="00A77B9F">
            <w:pPr>
              <w:jc w:val="right"/>
            </w:pPr>
            <w:r>
              <w:rPr>
                <w:rFonts w:asciiTheme="minorEastAsia" w:eastAsiaTheme="minorEastAsia" w:hAnsiTheme="minorEastAsia"/>
                <w:color w:val="000000" w:themeColor="text1"/>
                <w:sz w:val="24"/>
              </w:rPr>
              <w:t>100,500,662.36</w:t>
            </w:r>
          </w:p>
        </w:tc>
        <w:tc>
          <w:tcPr>
            <w:tcW w:w="0" w:type="auto"/>
            <w:vAlign w:val="center"/>
          </w:tcPr>
          <w:p w14:paraId="7308BC06" w14:textId="77777777" w:rsidR="00490177" w:rsidRDefault="00A77B9F">
            <w:pPr>
              <w:jc w:val="right"/>
            </w:pPr>
            <w:r>
              <w:rPr>
                <w:rFonts w:asciiTheme="minorEastAsia" w:eastAsiaTheme="minorEastAsia" w:hAnsiTheme="minorEastAsia"/>
                <w:color w:val="000000" w:themeColor="text1"/>
                <w:sz w:val="24"/>
              </w:rPr>
              <w:t>0.88</w:t>
            </w:r>
          </w:p>
        </w:tc>
      </w:tr>
      <w:tr w:rsidR="00490177" w14:paraId="6566EF05" w14:textId="77777777">
        <w:tc>
          <w:tcPr>
            <w:tcW w:w="0" w:type="auto"/>
            <w:vAlign w:val="center"/>
          </w:tcPr>
          <w:p w14:paraId="03AF5C7F" w14:textId="77777777" w:rsidR="00490177" w:rsidRDefault="00A77B9F">
            <w:pPr>
              <w:jc w:val="center"/>
            </w:pPr>
            <w:r>
              <w:rPr>
                <w:rFonts w:asciiTheme="minorEastAsia" w:eastAsiaTheme="minorEastAsia" w:hAnsiTheme="minorEastAsia"/>
                <w:color w:val="000000" w:themeColor="text1"/>
                <w:sz w:val="24"/>
              </w:rPr>
              <w:t>9</w:t>
            </w:r>
          </w:p>
        </w:tc>
        <w:tc>
          <w:tcPr>
            <w:tcW w:w="0" w:type="auto"/>
            <w:vAlign w:val="center"/>
          </w:tcPr>
          <w:p w14:paraId="797C273C" w14:textId="77777777" w:rsidR="00490177" w:rsidRDefault="00A77B9F">
            <w:pPr>
              <w:jc w:val="center"/>
            </w:pPr>
            <w:r>
              <w:rPr>
                <w:rFonts w:asciiTheme="minorEastAsia" w:eastAsiaTheme="minorEastAsia" w:hAnsiTheme="minorEastAsia"/>
                <w:color w:val="000000" w:themeColor="text1"/>
                <w:sz w:val="24"/>
              </w:rPr>
              <w:t>042480288</w:t>
            </w:r>
          </w:p>
        </w:tc>
        <w:tc>
          <w:tcPr>
            <w:tcW w:w="0" w:type="auto"/>
            <w:vAlign w:val="center"/>
          </w:tcPr>
          <w:p w14:paraId="2AFA245B" w14:textId="77777777" w:rsidR="00490177" w:rsidRDefault="00A77B9F">
            <w:pPr>
              <w:jc w:val="center"/>
            </w:pPr>
            <w:r>
              <w:rPr>
                <w:rFonts w:asciiTheme="minorEastAsia" w:eastAsiaTheme="minorEastAsia" w:hAnsiTheme="minorEastAsia"/>
                <w:color w:val="000000" w:themeColor="text1"/>
                <w:sz w:val="24"/>
              </w:rPr>
              <w:t>24湘高速CP004</w:t>
            </w:r>
          </w:p>
        </w:tc>
        <w:tc>
          <w:tcPr>
            <w:tcW w:w="0" w:type="auto"/>
            <w:vAlign w:val="center"/>
          </w:tcPr>
          <w:p w14:paraId="59517EC4" w14:textId="77777777" w:rsidR="00490177" w:rsidRDefault="00A77B9F">
            <w:pPr>
              <w:jc w:val="right"/>
            </w:pPr>
            <w:r>
              <w:rPr>
                <w:rFonts w:asciiTheme="minorEastAsia" w:eastAsiaTheme="minorEastAsia" w:hAnsiTheme="minorEastAsia"/>
                <w:color w:val="000000" w:themeColor="text1"/>
                <w:sz w:val="24"/>
              </w:rPr>
              <w:t>1,000,000.00</w:t>
            </w:r>
          </w:p>
        </w:tc>
        <w:tc>
          <w:tcPr>
            <w:tcW w:w="0" w:type="auto"/>
            <w:vAlign w:val="center"/>
          </w:tcPr>
          <w:p w14:paraId="2678F886" w14:textId="77777777" w:rsidR="00490177" w:rsidRDefault="00A77B9F">
            <w:pPr>
              <w:jc w:val="right"/>
            </w:pPr>
            <w:r>
              <w:rPr>
                <w:rFonts w:asciiTheme="minorEastAsia" w:eastAsiaTheme="minorEastAsia" w:hAnsiTheme="minorEastAsia"/>
                <w:color w:val="000000" w:themeColor="text1"/>
                <w:sz w:val="24"/>
              </w:rPr>
              <w:t>100,403,090.24</w:t>
            </w:r>
          </w:p>
        </w:tc>
        <w:tc>
          <w:tcPr>
            <w:tcW w:w="0" w:type="auto"/>
            <w:vAlign w:val="center"/>
          </w:tcPr>
          <w:p w14:paraId="09E305EC" w14:textId="77777777" w:rsidR="00490177" w:rsidRDefault="00A77B9F">
            <w:pPr>
              <w:jc w:val="right"/>
            </w:pPr>
            <w:r>
              <w:rPr>
                <w:rFonts w:asciiTheme="minorEastAsia" w:eastAsiaTheme="minorEastAsia" w:hAnsiTheme="minorEastAsia"/>
                <w:color w:val="000000" w:themeColor="text1"/>
                <w:sz w:val="24"/>
              </w:rPr>
              <w:t>0.88</w:t>
            </w:r>
          </w:p>
        </w:tc>
      </w:tr>
      <w:tr w:rsidR="00490177" w14:paraId="4FA7E7B0" w14:textId="77777777">
        <w:tc>
          <w:tcPr>
            <w:tcW w:w="0" w:type="auto"/>
            <w:vAlign w:val="center"/>
          </w:tcPr>
          <w:p w14:paraId="38EC8D2D" w14:textId="77777777" w:rsidR="00490177" w:rsidRDefault="00A77B9F">
            <w:pPr>
              <w:jc w:val="center"/>
            </w:pPr>
            <w:r>
              <w:rPr>
                <w:rFonts w:asciiTheme="minorEastAsia" w:eastAsiaTheme="minorEastAsia" w:hAnsiTheme="minorEastAsia"/>
                <w:color w:val="000000" w:themeColor="text1"/>
                <w:sz w:val="24"/>
              </w:rPr>
              <w:t>10</w:t>
            </w:r>
          </w:p>
        </w:tc>
        <w:tc>
          <w:tcPr>
            <w:tcW w:w="0" w:type="auto"/>
            <w:vAlign w:val="center"/>
          </w:tcPr>
          <w:p w14:paraId="65F0C293" w14:textId="77777777" w:rsidR="00490177" w:rsidRDefault="00A77B9F">
            <w:pPr>
              <w:jc w:val="center"/>
            </w:pPr>
            <w:r>
              <w:rPr>
                <w:rFonts w:asciiTheme="minorEastAsia" w:eastAsiaTheme="minorEastAsia" w:hAnsiTheme="minorEastAsia"/>
                <w:color w:val="000000" w:themeColor="text1"/>
                <w:sz w:val="24"/>
              </w:rPr>
              <w:t>112496844</w:t>
            </w:r>
          </w:p>
        </w:tc>
        <w:tc>
          <w:tcPr>
            <w:tcW w:w="0" w:type="auto"/>
            <w:vAlign w:val="center"/>
          </w:tcPr>
          <w:p w14:paraId="60656954" w14:textId="77777777" w:rsidR="00490177" w:rsidRDefault="00A77B9F">
            <w:pPr>
              <w:jc w:val="center"/>
            </w:pPr>
            <w:r>
              <w:rPr>
                <w:rFonts w:asciiTheme="minorEastAsia" w:eastAsiaTheme="minorEastAsia" w:hAnsiTheme="minorEastAsia"/>
                <w:color w:val="000000" w:themeColor="text1"/>
                <w:sz w:val="24"/>
              </w:rPr>
              <w:t>24杭州银行CD064</w:t>
            </w:r>
          </w:p>
        </w:tc>
        <w:tc>
          <w:tcPr>
            <w:tcW w:w="0" w:type="auto"/>
            <w:vAlign w:val="center"/>
          </w:tcPr>
          <w:p w14:paraId="2D8692E2" w14:textId="77777777" w:rsidR="00490177" w:rsidRDefault="00A77B9F">
            <w:pPr>
              <w:jc w:val="right"/>
            </w:pPr>
            <w:r>
              <w:rPr>
                <w:rFonts w:asciiTheme="minorEastAsia" w:eastAsiaTheme="minorEastAsia" w:hAnsiTheme="minorEastAsia"/>
                <w:color w:val="000000" w:themeColor="text1"/>
                <w:sz w:val="24"/>
              </w:rPr>
              <w:t>1,000,000.00</w:t>
            </w:r>
          </w:p>
        </w:tc>
        <w:tc>
          <w:tcPr>
            <w:tcW w:w="0" w:type="auto"/>
            <w:vAlign w:val="center"/>
          </w:tcPr>
          <w:p w14:paraId="1EBDBA00" w14:textId="77777777" w:rsidR="00490177" w:rsidRDefault="00A77B9F">
            <w:pPr>
              <w:jc w:val="right"/>
            </w:pPr>
            <w:r>
              <w:rPr>
                <w:rFonts w:asciiTheme="minorEastAsia" w:eastAsiaTheme="minorEastAsia" w:hAnsiTheme="minorEastAsia"/>
                <w:color w:val="000000" w:themeColor="text1"/>
                <w:sz w:val="24"/>
              </w:rPr>
              <w:t>99,913,032.59</w:t>
            </w:r>
          </w:p>
        </w:tc>
        <w:tc>
          <w:tcPr>
            <w:tcW w:w="0" w:type="auto"/>
            <w:vAlign w:val="center"/>
          </w:tcPr>
          <w:p w14:paraId="6F9559EE" w14:textId="77777777" w:rsidR="00490177" w:rsidRDefault="00A77B9F">
            <w:pPr>
              <w:jc w:val="right"/>
            </w:pPr>
            <w:r>
              <w:rPr>
                <w:rFonts w:asciiTheme="minorEastAsia" w:eastAsiaTheme="minorEastAsia" w:hAnsiTheme="minorEastAsia"/>
                <w:color w:val="000000" w:themeColor="text1"/>
                <w:sz w:val="24"/>
              </w:rPr>
              <w:t>0.87</w:t>
            </w:r>
          </w:p>
        </w:tc>
      </w:tr>
    </w:tbl>
    <w:p w14:paraId="777017E3"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5.7 </w:t>
      </w:r>
      <w:r>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4A0" w:firstRow="1" w:lastRow="0" w:firstColumn="1" w:lastColumn="0" w:noHBand="0" w:noVBand="1"/>
      </w:tblPr>
      <w:tblGrid>
        <w:gridCol w:w="5812"/>
        <w:gridCol w:w="3382"/>
      </w:tblGrid>
      <w:tr w:rsidR="00DA315C" w14:paraId="34DE485A" w14:textId="77777777">
        <w:tc>
          <w:tcPr>
            <w:tcW w:w="5812" w:type="dxa"/>
            <w:tcBorders>
              <w:top w:val="single" w:sz="8" w:space="0" w:color="000000"/>
              <w:left w:val="single" w:sz="8" w:space="0" w:color="000000"/>
              <w:bottom w:val="single" w:sz="8" w:space="0" w:color="000000"/>
              <w:right w:val="single" w:sz="8" w:space="0" w:color="000000"/>
            </w:tcBorders>
            <w:vAlign w:val="center"/>
          </w:tcPr>
          <w:p w14:paraId="22514E36"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14:paraId="24323314"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偏离情况</w:t>
            </w:r>
          </w:p>
        </w:tc>
      </w:tr>
      <w:tr w:rsidR="00DA315C" w14:paraId="7E5BE3D9" w14:textId="77777777">
        <w:tc>
          <w:tcPr>
            <w:tcW w:w="5812" w:type="dxa"/>
            <w:tcBorders>
              <w:top w:val="single" w:sz="8" w:space="0" w:color="000000"/>
              <w:left w:val="single" w:sz="8" w:space="0" w:color="000000"/>
              <w:bottom w:val="single" w:sz="8" w:space="0" w:color="000000"/>
              <w:right w:val="single" w:sz="8" w:space="0" w:color="000000"/>
            </w:tcBorders>
            <w:vAlign w:val="center"/>
          </w:tcPr>
          <w:p w14:paraId="4E8A867A"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报告期内偏离度的绝对值在</w:t>
            </w:r>
            <w:r>
              <w:rPr>
                <w:rFonts w:asciiTheme="minorEastAsia" w:eastAsiaTheme="minorEastAsia" w:hAnsiTheme="minorEastAsia" w:cs="Arial"/>
                <w:color w:val="000000" w:themeColor="text1"/>
                <w:kern w:val="0"/>
                <w:sz w:val="24"/>
              </w:rPr>
              <w:t>0.25(</w:t>
            </w:r>
            <w:r>
              <w:rPr>
                <w:rFonts w:asciiTheme="minorEastAsia" w:eastAsiaTheme="minorEastAsia" w:hAnsiTheme="minorEastAsia" w:cs="Arial" w:hint="eastAsia"/>
                <w:color w:val="000000" w:themeColor="text1"/>
                <w:kern w:val="0"/>
                <w:sz w:val="24"/>
              </w:rPr>
              <w:t>含</w:t>
            </w:r>
            <w:r>
              <w:rPr>
                <w:rFonts w:asciiTheme="minorEastAsia" w:eastAsiaTheme="minorEastAsia" w:hAnsiTheme="minorEastAsia" w:cs="Arial"/>
                <w:color w:val="000000" w:themeColor="text1"/>
                <w:kern w:val="0"/>
                <w:sz w:val="24"/>
              </w:rPr>
              <w:t>)-0.5%</w:t>
            </w:r>
            <w:r>
              <w:rPr>
                <w:rFonts w:asciiTheme="minorEastAsia" w:eastAsiaTheme="minorEastAsia" w:hAnsiTheme="minorEastAsia" w:cs="Arial" w:hint="eastAsia"/>
                <w:color w:val="000000" w:themeColor="text1"/>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bottom"/>
          </w:tcPr>
          <w:p w14:paraId="3355D1BC"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0</w:t>
            </w:r>
            <w:r>
              <w:rPr>
                <w:rFonts w:asciiTheme="minorEastAsia" w:eastAsiaTheme="minorEastAsia" w:hAnsiTheme="minorEastAsia" w:hint="eastAsia"/>
                <w:color w:val="000000" w:themeColor="text1"/>
                <w:sz w:val="24"/>
              </w:rPr>
              <w:t>次</w:t>
            </w:r>
          </w:p>
        </w:tc>
      </w:tr>
      <w:tr w:rsidR="00DA315C" w14:paraId="0CFB29AA" w14:textId="77777777">
        <w:tc>
          <w:tcPr>
            <w:tcW w:w="5812" w:type="dxa"/>
            <w:tcBorders>
              <w:top w:val="single" w:sz="8" w:space="0" w:color="000000"/>
              <w:left w:val="single" w:sz="8" w:space="0" w:color="000000"/>
              <w:bottom w:val="single" w:sz="8" w:space="0" w:color="000000"/>
              <w:right w:val="single" w:sz="8" w:space="0" w:color="000000"/>
            </w:tcBorders>
            <w:vAlign w:val="center"/>
          </w:tcPr>
          <w:p w14:paraId="2640F1C5"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bottom"/>
          </w:tcPr>
          <w:p w14:paraId="2487E8D0"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0.0508%</w:t>
            </w:r>
          </w:p>
        </w:tc>
      </w:tr>
      <w:tr w:rsidR="00DA315C" w14:paraId="6641C5E4" w14:textId="77777777">
        <w:tc>
          <w:tcPr>
            <w:tcW w:w="5812" w:type="dxa"/>
            <w:tcBorders>
              <w:top w:val="single" w:sz="8" w:space="0" w:color="000000"/>
              <w:left w:val="single" w:sz="8" w:space="0" w:color="000000"/>
              <w:bottom w:val="single" w:sz="8" w:space="0" w:color="000000"/>
              <w:right w:val="single" w:sz="8" w:space="0" w:color="000000"/>
            </w:tcBorders>
            <w:vAlign w:val="center"/>
          </w:tcPr>
          <w:p w14:paraId="1A7A17C8"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bottom"/>
          </w:tcPr>
          <w:p w14:paraId="58EF0FE6"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0.0217%</w:t>
            </w:r>
          </w:p>
        </w:tc>
      </w:tr>
      <w:tr w:rsidR="00DA315C" w14:paraId="141A3DA2" w14:textId="77777777">
        <w:tc>
          <w:tcPr>
            <w:tcW w:w="5812" w:type="dxa"/>
            <w:tcBorders>
              <w:top w:val="single" w:sz="8" w:space="0" w:color="000000"/>
              <w:left w:val="single" w:sz="8" w:space="0" w:color="000000"/>
              <w:bottom w:val="single" w:sz="8" w:space="0" w:color="000000"/>
              <w:right w:val="single" w:sz="8" w:space="0" w:color="000000"/>
            </w:tcBorders>
            <w:vAlign w:val="center"/>
          </w:tcPr>
          <w:p w14:paraId="0451A5C8"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报告期内每个工作日偏离度的绝对值的简单平均值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bottom"/>
          </w:tcPr>
          <w:p w14:paraId="4B5196FD"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0.0334%</w:t>
            </w:r>
          </w:p>
        </w:tc>
      </w:tr>
    </w:tbl>
    <w:p w14:paraId="4DBB1B89" w14:textId="77777777" w:rsidR="00DA315C" w:rsidRPr="0017387C" w:rsidRDefault="00CC2E83" w:rsidP="0017387C">
      <w:pPr>
        <w:spacing w:beforeLines="100" w:before="240" w:line="360" w:lineRule="auto"/>
        <w:rPr>
          <w:rFonts w:asciiTheme="minorEastAsia" w:eastAsiaTheme="minorEastAsia" w:hAnsiTheme="minorEastAsia" w:cs="Arial"/>
          <w:b/>
          <w:color w:val="000000" w:themeColor="text1"/>
          <w:kern w:val="0"/>
          <w:sz w:val="24"/>
        </w:rPr>
      </w:pPr>
      <w:r w:rsidRPr="0017387C">
        <w:rPr>
          <w:rFonts w:asciiTheme="minorEastAsia" w:eastAsiaTheme="minorEastAsia" w:hAnsiTheme="minorEastAsia" w:cs="Arial"/>
          <w:b/>
          <w:color w:val="000000" w:themeColor="text1"/>
          <w:kern w:val="0"/>
          <w:sz w:val="24"/>
        </w:rPr>
        <w:t>报告期内负偏离度的绝对值达到0.25%情况说明</w:t>
      </w:r>
    </w:p>
    <w:p w14:paraId="1E1C2CA4" w14:textId="77777777" w:rsidR="00DA315C" w:rsidRDefault="00CC2E83" w:rsidP="001B75F9">
      <w:pPr>
        <w:autoSpaceDE w:val="0"/>
        <w:autoSpaceDN w:val="0"/>
        <w:adjustRightInd w:val="0"/>
        <w:spacing w:beforeLines="50" w:before="120" w:line="360" w:lineRule="auto"/>
        <w:ind w:firstLineChars="200" w:firstLine="480"/>
        <w:jc w:val="left"/>
        <w:rPr>
          <w:color w:val="000000"/>
          <w:sz w:val="24"/>
        </w:rPr>
      </w:pPr>
      <w:r>
        <w:rPr>
          <w:color w:val="000000"/>
          <w:sz w:val="24"/>
        </w:rPr>
        <w:t>本报告期未发生负偏离度的绝对值达到</w:t>
      </w:r>
      <w:r>
        <w:rPr>
          <w:color w:val="000000"/>
          <w:sz w:val="24"/>
        </w:rPr>
        <w:t>0.25%</w:t>
      </w:r>
      <w:r>
        <w:rPr>
          <w:color w:val="000000"/>
          <w:sz w:val="24"/>
        </w:rPr>
        <w:t>的情况。</w:t>
      </w:r>
    </w:p>
    <w:p w14:paraId="39E94933" w14:textId="77777777" w:rsidR="00DA315C" w:rsidRPr="0017387C" w:rsidRDefault="00CC2E83" w:rsidP="0017387C">
      <w:pPr>
        <w:spacing w:beforeLines="100" w:before="240" w:line="360" w:lineRule="auto"/>
        <w:rPr>
          <w:rFonts w:asciiTheme="minorEastAsia" w:eastAsiaTheme="minorEastAsia" w:hAnsiTheme="minorEastAsia" w:cs="Arial"/>
          <w:b/>
          <w:color w:val="000000" w:themeColor="text1"/>
          <w:kern w:val="0"/>
          <w:sz w:val="24"/>
        </w:rPr>
      </w:pPr>
      <w:r w:rsidRPr="0017387C">
        <w:rPr>
          <w:rFonts w:asciiTheme="minorEastAsia" w:eastAsiaTheme="minorEastAsia" w:hAnsiTheme="minorEastAsia" w:cs="Arial"/>
          <w:b/>
          <w:color w:val="000000" w:themeColor="text1"/>
          <w:kern w:val="0"/>
          <w:sz w:val="24"/>
        </w:rPr>
        <w:t>报告期内正偏离度的绝对值达到0.5%情况说明</w:t>
      </w:r>
    </w:p>
    <w:p w14:paraId="45A9F727" w14:textId="77777777" w:rsidR="00DA315C" w:rsidRDefault="00CC2E83" w:rsidP="001B75F9">
      <w:pPr>
        <w:autoSpaceDE w:val="0"/>
        <w:autoSpaceDN w:val="0"/>
        <w:adjustRightInd w:val="0"/>
        <w:spacing w:beforeLines="50" w:before="120" w:line="360" w:lineRule="auto"/>
        <w:ind w:firstLineChars="200" w:firstLine="480"/>
        <w:jc w:val="left"/>
        <w:rPr>
          <w:rFonts w:asciiTheme="minorEastAsia" w:eastAsiaTheme="minorEastAsia" w:hAnsiTheme="minorEastAsia" w:cs="Arial"/>
          <w:color w:val="000000" w:themeColor="text1"/>
          <w:kern w:val="0"/>
          <w:sz w:val="24"/>
        </w:rPr>
      </w:pPr>
      <w:r>
        <w:rPr>
          <w:color w:val="000000"/>
          <w:sz w:val="24"/>
        </w:rPr>
        <w:t>本报告期未发生正偏离度的绝对值达到</w:t>
      </w:r>
      <w:r>
        <w:rPr>
          <w:color w:val="000000"/>
          <w:sz w:val="24"/>
        </w:rPr>
        <w:t>0.5%</w:t>
      </w:r>
      <w:r>
        <w:rPr>
          <w:color w:val="000000"/>
          <w:sz w:val="24"/>
        </w:rPr>
        <w:t>的情况。</w:t>
      </w:r>
    </w:p>
    <w:p w14:paraId="247B73E7"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5.8 </w:t>
      </w:r>
      <w:r>
        <w:rPr>
          <w:rFonts w:asciiTheme="minorEastAsia" w:eastAsiaTheme="minorEastAsia" w:hAnsiTheme="minorEastAsia" w:cs="Arial" w:hint="eastAsia"/>
          <w:b/>
          <w:color w:val="000000" w:themeColor="text1"/>
          <w:kern w:val="0"/>
          <w:sz w:val="24"/>
        </w:rPr>
        <w:t>报告期末</w:t>
      </w:r>
      <w:proofErr w:type="gramStart"/>
      <w:r>
        <w:rPr>
          <w:rFonts w:asciiTheme="minorEastAsia" w:eastAsiaTheme="minorEastAsia" w:hAnsiTheme="minorEastAsia" w:cs="Arial" w:hint="eastAsia"/>
          <w:b/>
          <w:color w:val="000000" w:themeColor="text1"/>
          <w:kern w:val="0"/>
          <w:sz w:val="24"/>
        </w:rPr>
        <w:t>按摊余成本</w:t>
      </w:r>
      <w:proofErr w:type="gramEnd"/>
      <w:r>
        <w:rPr>
          <w:rFonts w:asciiTheme="minorEastAsia" w:eastAsiaTheme="minorEastAsia" w:hAnsiTheme="minorEastAsia" w:cs="Arial" w:hint="eastAsia"/>
          <w:b/>
          <w:color w:val="000000" w:themeColor="text1"/>
          <w:kern w:val="0"/>
          <w:sz w:val="24"/>
        </w:rPr>
        <w:t>占基金资产净值比例大小排名的前十名资产支持证券投资明细</w:t>
      </w:r>
    </w:p>
    <w:p w14:paraId="2F1A2B80" w14:textId="77777777" w:rsidR="00DA315C" w:rsidRDefault="00CC2E83" w:rsidP="001B75F9">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本基金本报告期末未持有资产支持证券。</w:t>
      </w:r>
    </w:p>
    <w:p w14:paraId="1A03AB63" w14:textId="77777777" w:rsidR="00DA315C" w:rsidRDefault="00CC2E83" w:rsidP="000515FA">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w:t>
      </w:r>
      <w:r>
        <w:rPr>
          <w:rFonts w:asciiTheme="minorEastAsia" w:eastAsiaTheme="minorEastAsia" w:hAnsiTheme="minorEastAsia" w:cs="Arial"/>
          <w:b/>
          <w:color w:val="000000" w:themeColor="text1"/>
          <w:kern w:val="0"/>
          <w:sz w:val="24"/>
        </w:rPr>
        <w:t>.</w:t>
      </w:r>
      <w:r>
        <w:rPr>
          <w:rFonts w:asciiTheme="minorEastAsia" w:eastAsiaTheme="minorEastAsia" w:hAnsiTheme="minorEastAsia" w:cs="Arial" w:hint="eastAsia"/>
          <w:b/>
          <w:color w:val="000000" w:themeColor="text1"/>
          <w:kern w:val="0"/>
          <w:sz w:val="24"/>
        </w:rPr>
        <w:t>9</w:t>
      </w:r>
      <w:r>
        <w:rPr>
          <w:rFonts w:asciiTheme="minorEastAsia" w:eastAsiaTheme="minorEastAsia" w:hAnsiTheme="minorEastAsia" w:cs="Arial"/>
          <w:b/>
          <w:color w:val="000000" w:themeColor="text1"/>
          <w:kern w:val="0"/>
          <w:sz w:val="24"/>
        </w:rPr>
        <w:t xml:space="preserve"> </w:t>
      </w:r>
      <w:r>
        <w:rPr>
          <w:rFonts w:asciiTheme="minorEastAsia" w:eastAsiaTheme="minorEastAsia" w:hAnsiTheme="minorEastAsia" w:cs="Arial" w:hint="eastAsia"/>
          <w:b/>
          <w:color w:val="000000" w:themeColor="text1"/>
          <w:kern w:val="0"/>
          <w:sz w:val="24"/>
        </w:rPr>
        <w:t>投资组合报告附注</w:t>
      </w:r>
    </w:p>
    <w:p w14:paraId="19D2BF4C" w14:textId="77777777" w:rsidR="00DA315C" w:rsidRDefault="00CC2E83">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9</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1</w:t>
      </w:r>
      <w:r>
        <w:rPr>
          <w:rFonts w:asciiTheme="minorEastAsia" w:eastAsiaTheme="minorEastAsia" w:hAnsiTheme="minorEastAsia"/>
          <w:b/>
          <w:color w:val="000000" w:themeColor="text1"/>
          <w:sz w:val="24"/>
        </w:rPr>
        <w:t xml:space="preserve"> </w:t>
      </w:r>
      <w:r>
        <w:rPr>
          <w:rFonts w:asciiTheme="minorEastAsia" w:eastAsiaTheme="minorEastAsia" w:hAnsiTheme="minorEastAsia" w:hint="eastAsia"/>
          <w:b/>
          <w:color w:val="000000" w:themeColor="text1"/>
          <w:sz w:val="24"/>
        </w:rPr>
        <w:t>基金计价方法说明</w:t>
      </w:r>
    </w:p>
    <w:p w14:paraId="45018147"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14:paraId="65C9633F" w14:textId="77777777" w:rsidR="00DA315C" w:rsidRDefault="00CC2E83" w:rsidP="00DE0807">
      <w:pPr>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b/>
          <w:color w:val="000000" w:themeColor="text1"/>
          <w:sz w:val="24"/>
        </w:rPr>
        <w:t xml:space="preserve">5.9.2 </w:t>
      </w:r>
      <w:r>
        <w:rPr>
          <w:rFonts w:asciiTheme="minorEastAsia" w:eastAsiaTheme="minorEastAsia" w:hAnsiTheme="minorEastAsia"/>
          <w:color w:val="000000" w:themeColor="text1"/>
          <w:sz w:val="24"/>
        </w:rPr>
        <w:t>本基金投资的前十名证券的发行主体中，杭州银行股份有限公司报告编制日前一年内曾受到国家金融监督管理总局浙江监管局的处罚。</w:t>
      </w:r>
    </w:p>
    <w:p w14:paraId="79F15BA6" w14:textId="77777777" w:rsidR="00490177" w:rsidRDefault="00A77B9F">
      <w:pPr>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lastRenderedPageBreak/>
        <w:t>本基金对上述主体发行的相关证券的投资决策程序符合相关法律法规及基金合同的要求。</w:t>
      </w:r>
    </w:p>
    <w:p w14:paraId="3B55E17F" w14:textId="77777777" w:rsidR="00490177" w:rsidRDefault="00A77B9F">
      <w:pPr>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除上述主体外，本基金投资的其他前十名证券的发行主体本期没有出现被监管部门立案调查，或在报告编制日前一年内受到公开谴责、处罚的情形。</w:t>
      </w:r>
    </w:p>
    <w:p w14:paraId="68B89815" w14:textId="77777777" w:rsidR="00DA315C" w:rsidRPr="000515FA" w:rsidRDefault="00CC2E83" w:rsidP="000515FA">
      <w:pPr>
        <w:spacing w:beforeLines="100" w:before="240" w:line="360" w:lineRule="auto"/>
        <w:rPr>
          <w:rFonts w:asciiTheme="minorEastAsia" w:eastAsiaTheme="minorEastAsia" w:hAnsiTheme="minorEastAsia" w:cs="Arial"/>
          <w:b/>
          <w:color w:val="000000" w:themeColor="text1"/>
          <w:kern w:val="0"/>
          <w:sz w:val="24"/>
        </w:rPr>
      </w:pPr>
      <w:r w:rsidRPr="000515FA">
        <w:rPr>
          <w:rFonts w:asciiTheme="minorEastAsia" w:eastAsiaTheme="minorEastAsia" w:hAnsiTheme="minorEastAsia" w:cs="Arial" w:hint="eastAsia"/>
          <w:b/>
          <w:color w:val="000000" w:themeColor="text1"/>
          <w:kern w:val="0"/>
          <w:sz w:val="24"/>
        </w:rPr>
        <w:t>5</w:t>
      </w:r>
      <w:r w:rsidRPr="000515FA">
        <w:rPr>
          <w:rFonts w:asciiTheme="minorEastAsia" w:eastAsiaTheme="minorEastAsia" w:hAnsiTheme="minorEastAsia" w:cs="Arial"/>
          <w:b/>
          <w:color w:val="000000" w:themeColor="text1"/>
          <w:kern w:val="0"/>
          <w:sz w:val="24"/>
        </w:rPr>
        <w:t>.</w:t>
      </w:r>
      <w:r w:rsidRPr="000515FA">
        <w:rPr>
          <w:rFonts w:asciiTheme="minorEastAsia" w:eastAsiaTheme="minorEastAsia" w:hAnsiTheme="minorEastAsia" w:cs="Arial" w:hint="eastAsia"/>
          <w:b/>
          <w:color w:val="000000" w:themeColor="text1"/>
          <w:kern w:val="0"/>
          <w:sz w:val="24"/>
        </w:rPr>
        <w:t>9</w:t>
      </w:r>
      <w:r w:rsidRPr="000515FA">
        <w:rPr>
          <w:rFonts w:asciiTheme="minorEastAsia" w:eastAsiaTheme="minorEastAsia" w:hAnsiTheme="minorEastAsia" w:cs="Arial"/>
          <w:b/>
          <w:color w:val="000000" w:themeColor="text1"/>
          <w:kern w:val="0"/>
          <w:sz w:val="24"/>
        </w:rPr>
        <w:t>.</w:t>
      </w:r>
      <w:r w:rsidRPr="000515FA">
        <w:rPr>
          <w:rFonts w:asciiTheme="minorEastAsia" w:eastAsiaTheme="minorEastAsia" w:hAnsiTheme="minorEastAsia" w:cs="Arial" w:hint="eastAsia"/>
          <w:b/>
          <w:color w:val="000000" w:themeColor="text1"/>
          <w:kern w:val="0"/>
          <w:sz w:val="24"/>
        </w:rPr>
        <w:t>3</w:t>
      </w:r>
      <w:r w:rsidRPr="000515FA">
        <w:rPr>
          <w:rFonts w:asciiTheme="minorEastAsia" w:eastAsiaTheme="minorEastAsia" w:hAnsiTheme="minorEastAsia" w:cs="Arial"/>
          <w:b/>
          <w:color w:val="000000" w:themeColor="text1"/>
          <w:kern w:val="0"/>
          <w:sz w:val="24"/>
        </w:rPr>
        <w:t xml:space="preserve"> </w:t>
      </w:r>
      <w:r w:rsidRPr="000515FA">
        <w:rPr>
          <w:rFonts w:asciiTheme="minorEastAsia" w:eastAsiaTheme="minorEastAsia" w:hAnsiTheme="minorEastAsia" w:cs="Arial" w:hint="eastAsia"/>
          <w:b/>
          <w:color w:val="000000" w:themeColor="text1"/>
          <w:kern w:val="0"/>
          <w:sz w:val="24"/>
        </w:rPr>
        <w:t>其他资产构成</w:t>
      </w:r>
    </w:p>
    <w:tbl>
      <w:tblPr>
        <w:tblStyle w:val="af2"/>
        <w:tblW w:w="0" w:type="auto"/>
        <w:tblInd w:w="17" w:type="dxa"/>
        <w:tblLayout w:type="fixed"/>
        <w:tblLook w:val="04A0" w:firstRow="1" w:lastRow="0" w:firstColumn="1" w:lastColumn="0" w:noHBand="0" w:noVBand="1"/>
      </w:tblPr>
      <w:tblGrid>
        <w:gridCol w:w="942"/>
        <w:gridCol w:w="3535"/>
        <w:gridCol w:w="4808"/>
      </w:tblGrid>
      <w:tr w:rsidR="00DA315C" w14:paraId="517748DA" w14:textId="77777777">
        <w:tc>
          <w:tcPr>
            <w:tcW w:w="942" w:type="dxa"/>
            <w:vAlign w:val="center"/>
          </w:tcPr>
          <w:p w14:paraId="0CAF3A65" w14:textId="77777777" w:rsidR="00DA315C" w:rsidRDefault="00CC2E83">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序号</w:t>
            </w:r>
          </w:p>
        </w:tc>
        <w:tc>
          <w:tcPr>
            <w:tcW w:w="3535" w:type="dxa"/>
            <w:vAlign w:val="center"/>
          </w:tcPr>
          <w:p w14:paraId="395FE339" w14:textId="77777777" w:rsidR="00DA315C" w:rsidRDefault="00CC2E83">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名称</w:t>
            </w:r>
          </w:p>
        </w:tc>
        <w:tc>
          <w:tcPr>
            <w:tcW w:w="4808" w:type="dxa"/>
            <w:vAlign w:val="center"/>
          </w:tcPr>
          <w:p w14:paraId="2E9CD3D4" w14:textId="77777777" w:rsidR="00DA315C" w:rsidRDefault="00CC2E83">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金额(元)</w:t>
            </w:r>
          </w:p>
        </w:tc>
      </w:tr>
      <w:tr w:rsidR="00DA315C" w14:paraId="59D11A40" w14:textId="77777777">
        <w:tc>
          <w:tcPr>
            <w:tcW w:w="942" w:type="dxa"/>
            <w:vAlign w:val="center"/>
          </w:tcPr>
          <w:p w14:paraId="6832AF0E"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sz w:val="24"/>
              </w:rPr>
              <w:t>1</w:t>
            </w:r>
          </w:p>
        </w:tc>
        <w:tc>
          <w:tcPr>
            <w:tcW w:w="3535" w:type="dxa"/>
            <w:vAlign w:val="center"/>
          </w:tcPr>
          <w:p w14:paraId="7B72A072"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存出保证金</w:t>
            </w:r>
          </w:p>
        </w:tc>
        <w:tc>
          <w:tcPr>
            <w:tcW w:w="4808" w:type="dxa"/>
            <w:vAlign w:val="center"/>
          </w:tcPr>
          <w:p w14:paraId="778238FC"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5,182.80</w:t>
            </w:r>
          </w:p>
        </w:tc>
      </w:tr>
      <w:tr w:rsidR="00DA315C" w14:paraId="6CF1B345" w14:textId="77777777">
        <w:tc>
          <w:tcPr>
            <w:tcW w:w="942" w:type="dxa"/>
            <w:vAlign w:val="center"/>
          </w:tcPr>
          <w:p w14:paraId="45E8E915"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p>
        </w:tc>
        <w:tc>
          <w:tcPr>
            <w:tcW w:w="3535" w:type="dxa"/>
            <w:vAlign w:val="center"/>
          </w:tcPr>
          <w:p w14:paraId="1342B0AF"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应收证券清算款</w:t>
            </w:r>
          </w:p>
        </w:tc>
        <w:tc>
          <w:tcPr>
            <w:tcW w:w="4808" w:type="dxa"/>
            <w:vAlign w:val="center"/>
          </w:tcPr>
          <w:p w14:paraId="0080EC31"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w:t>
            </w:r>
          </w:p>
        </w:tc>
      </w:tr>
      <w:tr w:rsidR="00DA315C" w14:paraId="68270E31" w14:textId="77777777">
        <w:tc>
          <w:tcPr>
            <w:tcW w:w="942" w:type="dxa"/>
            <w:vAlign w:val="center"/>
          </w:tcPr>
          <w:p w14:paraId="0F774300"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p>
        </w:tc>
        <w:tc>
          <w:tcPr>
            <w:tcW w:w="3535" w:type="dxa"/>
            <w:vAlign w:val="center"/>
          </w:tcPr>
          <w:p w14:paraId="6D52096D"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应收利息</w:t>
            </w:r>
          </w:p>
        </w:tc>
        <w:tc>
          <w:tcPr>
            <w:tcW w:w="4808" w:type="dxa"/>
            <w:vAlign w:val="center"/>
          </w:tcPr>
          <w:p w14:paraId="7F407DCD"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w:t>
            </w:r>
          </w:p>
        </w:tc>
      </w:tr>
      <w:tr w:rsidR="00DA315C" w14:paraId="72E4FC33" w14:textId="77777777">
        <w:tc>
          <w:tcPr>
            <w:tcW w:w="942" w:type="dxa"/>
            <w:vAlign w:val="center"/>
          </w:tcPr>
          <w:p w14:paraId="3D585D38"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p>
        </w:tc>
        <w:tc>
          <w:tcPr>
            <w:tcW w:w="3535" w:type="dxa"/>
            <w:vAlign w:val="center"/>
          </w:tcPr>
          <w:p w14:paraId="01FD0B02"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应收申购款</w:t>
            </w:r>
          </w:p>
        </w:tc>
        <w:tc>
          <w:tcPr>
            <w:tcW w:w="4808" w:type="dxa"/>
            <w:vAlign w:val="center"/>
          </w:tcPr>
          <w:p w14:paraId="639C0126"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38,126,194.29</w:t>
            </w:r>
          </w:p>
        </w:tc>
      </w:tr>
      <w:tr w:rsidR="00DA315C" w14:paraId="78FD35BD" w14:textId="77777777">
        <w:tc>
          <w:tcPr>
            <w:tcW w:w="942" w:type="dxa"/>
            <w:vAlign w:val="center"/>
          </w:tcPr>
          <w:p w14:paraId="55AC28DC"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p>
        </w:tc>
        <w:tc>
          <w:tcPr>
            <w:tcW w:w="3535" w:type="dxa"/>
            <w:vAlign w:val="center"/>
          </w:tcPr>
          <w:p w14:paraId="48A87556"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其他应收款</w:t>
            </w:r>
          </w:p>
        </w:tc>
        <w:tc>
          <w:tcPr>
            <w:tcW w:w="4808" w:type="dxa"/>
            <w:vAlign w:val="center"/>
          </w:tcPr>
          <w:p w14:paraId="01AA2FED"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w:t>
            </w:r>
          </w:p>
        </w:tc>
      </w:tr>
      <w:tr w:rsidR="00DA315C" w14:paraId="57B1284A" w14:textId="77777777">
        <w:tc>
          <w:tcPr>
            <w:tcW w:w="942" w:type="dxa"/>
            <w:vAlign w:val="center"/>
          </w:tcPr>
          <w:p w14:paraId="25039F08"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w:t>
            </w:r>
          </w:p>
        </w:tc>
        <w:tc>
          <w:tcPr>
            <w:tcW w:w="3535" w:type="dxa"/>
            <w:vAlign w:val="center"/>
          </w:tcPr>
          <w:p w14:paraId="16F8AF3B"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待摊费用</w:t>
            </w:r>
          </w:p>
        </w:tc>
        <w:tc>
          <w:tcPr>
            <w:tcW w:w="4808" w:type="dxa"/>
            <w:vAlign w:val="center"/>
          </w:tcPr>
          <w:p w14:paraId="5D671C2F"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w:t>
            </w:r>
          </w:p>
        </w:tc>
      </w:tr>
      <w:tr w:rsidR="00DA315C" w14:paraId="0BF7BEDE" w14:textId="77777777">
        <w:tc>
          <w:tcPr>
            <w:tcW w:w="942" w:type="dxa"/>
            <w:vAlign w:val="center"/>
          </w:tcPr>
          <w:p w14:paraId="42638A55"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w:t>
            </w:r>
          </w:p>
        </w:tc>
        <w:tc>
          <w:tcPr>
            <w:tcW w:w="3535" w:type="dxa"/>
            <w:vAlign w:val="center"/>
          </w:tcPr>
          <w:p w14:paraId="7FBEA47C"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其他</w:t>
            </w:r>
          </w:p>
        </w:tc>
        <w:tc>
          <w:tcPr>
            <w:tcW w:w="4808" w:type="dxa"/>
            <w:vAlign w:val="center"/>
          </w:tcPr>
          <w:p w14:paraId="4FB91F6F"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w:t>
            </w:r>
          </w:p>
        </w:tc>
      </w:tr>
      <w:tr w:rsidR="00DA315C" w14:paraId="633DE882" w14:textId="77777777">
        <w:tc>
          <w:tcPr>
            <w:tcW w:w="942" w:type="dxa"/>
            <w:vAlign w:val="center"/>
          </w:tcPr>
          <w:p w14:paraId="3A620073"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p>
        </w:tc>
        <w:tc>
          <w:tcPr>
            <w:tcW w:w="3535" w:type="dxa"/>
            <w:vAlign w:val="center"/>
          </w:tcPr>
          <w:p w14:paraId="5CB7FF49"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合计</w:t>
            </w:r>
          </w:p>
        </w:tc>
        <w:tc>
          <w:tcPr>
            <w:tcW w:w="4808" w:type="dxa"/>
            <w:vAlign w:val="center"/>
          </w:tcPr>
          <w:p w14:paraId="19C9869D"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38,131,377.09</w:t>
            </w:r>
          </w:p>
        </w:tc>
      </w:tr>
    </w:tbl>
    <w:p w14:paraId="590DBB43" w14:textId="77777777" w:rsidR="00DA315C" w:rsidRPr="000515FA" w:rsidRDefault="00CC2E83" w:rsidP="000515FA">
      <w:pPr>
        <w:spacing w:beforeLines="100" w:before="240" w:line="360" w:lineRule="auto"/>
        <w:rPr>
          <w:rFonts w:asciiTheme="minorEastAsia" w:eastAsiaTheme="minorEastAsia" w:hAnsiTheme="minorEastAsia" w:cs="Arial"/>
          <w:b/>
          <w:color w:val="000000" w:themeColor="text1"/>
          <w:kern w:val="0"/>
          <w:sz w:val="24"/>
        </w:rPr>
      </w:pPr>
      <w:r w:rsidRPr="000515FA">
        <w:rPr>
          <w:rFonts w:asciiTheme="minorEastAsia" w:eastAsiaTheme="minorEastAsia" w:hAnsiTheme="minorEastAsia" w:cs="Arial" w:hint="eastAsia"/>
          <w:b/>
          <w:color w:val="000000" w:themeColor="text1"/>
          <w:kern w:val="0"/>
          <w:sz w:val="24"/>
        </w:rPr>
        <w:t>5</w:t>
      </w:r>
      <w:r w:rsidRPr="000515FA">
        <w:rPr>
          <w:rFonts w:asciiTheme="minorEastAsia" w:eastAsiaTheme="minorEastAsia" w:hAnsiTheme="minorEastAsia" w:cs="Arial"/>
          <w:b/>
          <w:color w:val="000000" w:themeColor="text1"/>
          <w:kern w:val="0"/>
          <w:sz w:val="24"/>
        </w:rPr>
        <w:t>.</w:t>
      </w:r>
      <w:r w:rsidRPr="000515FA">
        <w:rPr>
          <w:rFonts w:asciiTheme="minorEastAsia" w:eastAsiaTheme="minorEastAsia" w:hAnsiTheme="minorEastAsia" w:cs="Arial" w:hint="eastAsia"/>
          <w:b/>
          <w:color w:val="000000" w:themeColor="text1"/>
          <w:kern w:val="0"/>
          <w:sz w:val="24"/>
        </w:rPr>
        <w:t>9</w:t>
      </w:r>
      <w:r w:rsidRPr="000515FA">
        <w:rPr>
          <w:rFonts w:asciiTheme="minorEastAsia" w:eastAsiaTheme="minorEastAsia" w:hAnsiTheme="minorEastAsia" w:cs="Arial"/>
          <w:b/>
          <w:color w:val="000000" w:themeColor="text1"/>
          <w:kern w:val="0"/>
          <w:sz w:val="24"/>
        </w:rPr>
        <w:t>.</w:t>
      </w:r>
      <w:r w:rsidRPr="000515FA">
        <w:rPr>
          <w:rFonts w:asciiTheme="minorEastAsia" w:eastAsiaTheme="minorEastAsia" w:hAnsiTheme="minorEastAsia" w:cs="Arial" w:hint="eastAsia"/>
          <w:b/>
          <w:color w:val="000000" w:themeColor="text1"/>
          <w:kern w:val="0"/>
          <w:sz w:val="24"/>
        </w:rPr>
        <w:t>4</w:t>
      </w:r>
      <w:r w:rsidRPr="000515FA">
        <w:rPr>
          <w:rFonts w:asciiTheme="minorEastAsia" w:eastAsiaTheme="minorEastAsia" w:hAnsiTheme="minorEastAsia" w:cs="Arial"/>
          <w:b/>
          <w:color w:val="000000" w:themeColor="text1"/>
          <w:kern w:val="0"/>
          <w:sz w:val="24"/>
        </w:rPr>
        <w:t xml:space="preserve"> </w:t>
      </w:r>
      <w:r w:rsidRPr="000515FA">
        <w:rPr>
          <w:rFonts w:asciiTheme="minorEastAsia" w:eastAsiaTheme="minorEastAsia" w:hAnsiTheme="minorEastAsia" w:cs="Arial" w:hint="eastAsia"/>
          <w:b/>
          <w:color w:val="000000" w:themeColor="text1"/>
          <w:kern w:val="0"/>
          <w:sz w:val="24"/>
        </w:rPr>
        <w:t>投资组合报告附注的其他文字描述部分</w:t>
      </w:r>
    </w:p>
    <w:p w14:paraId="7ED5D2BA"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因四舍五入原因，投资组合报告中分项之和与合计可能存在尾差。</w:t>
      </w:r>
    </w:p>
    <w:p w14:paraId="6C021E28"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6  </w:t>
      </w:r>
      <w:r>
        <w:rPr>
          <w:rFonts w:asciiTheme="minorEastAsia" w:eastAsiaTheme="minorEastAsia" w:hAnsiTheme="minorEastAsia" w:cs="Arial" w:hint="eastAsia"/>
          <w:color w:val="000000" w:themeColor="text1"/>
          <w:kern w:val="0"/>
          <w:sz w:val="24"/>
          <w:szCs w:val="24"/>
        </w:rPr>
        <w:t>开放式基金份额变动</w:t>
      </w:r>
    </w:p>
    <w:p w14:paraId="284BD6A6"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单位：份</w:t>
      </w:r>
    </w:p>
    <w:tbl>
      <w:tblPr>
        <w:tblStyle w:val="af2"/>
        <w:tblW w:w="0" w:type="auto"/>
        <w:tblLayout w:type="fixed"/>
        <w:tblLook w:val="04A0" w:firstRow="1" w:lastRow="0" w:firstColumn="1" w:lastColumn="0" w:noHBand="0" w:noVBand="1"/>
      </w:tblPr>
      <w:tblGrid>
        <w:gridCol w:w="1860"/>
        <w:gridCol w:w="1860"/>
        <w:gridCol w:w="1860"/>
        <w:gridCol w:w="1861"/>
        <w:gridCol w:w="1861"/>
      </w:tblGrid>
      <w:tr w:rsidR="00DA315C" w14:paraId="37FF8DBF" w14:textId="77777777">
        <w:tc>
          <w:tcPr>
            <w:tcW w:w="1860" w:type="dxa"/>
          </w:tcPr>
          <w:p w14:paraId="00766A5C"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kern w:val="0"/>
                <w:sz w:val="24"/>
              </w:rPr>
              <w:t>项目</w:t>
            </w:r>
          </w:p>
        </w:tc>
        <w:tc>
          <w:tcPr>
            <w:tcW w:w="1860" w:type="dxa"/>
          </w:tcPr>
          <w:p w14:paraId="59DB0CE8"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sz w:val="24"/>
              </w:rPr>
              <w:t>摩根天添盈货币A类</w:t>
            </w:r>
          </w:p>
        </w:tc>
        <w:tc>
          <w:tcPr>
            <w:tcW w:w="1860" w:type="dxa"/>
          </w:tcPr>
          <w:p w14:paraId="438B170B" w14:textId="77777777" w:rsidR="00DA315C" w:rsidRDefault="00050540">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sz w:val="24"/>
              </w:rPr>
              <w:t>摩根天添盈货币B类</w:t>
            </w:r>
          </w:p>
        </w:tc>
        <w:tc>
          <w:tcPr>
            <w:tcW w:w="1861" w:type="dxa"/>
          </w:tcPr>
          <w:p w14:paraId="49FFE27A" w14:textId="77777777" w:rsidR="00DA315C" w:rsidRDefault="00050540">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sz w:val="24"/>
              </w:rPr>
              <w:t>摩根天添盈货币E类</w:t>
            </w:r>
          </w:p>
        </w:tc>
        <w:tc>
          <w:tcPr>
            <w:tcW w:w="1861" w:type="dxa"/>
          </w:tcPr>
          <w:p w14:paraId="78A04838" w14:textId="77777777" w:rsidR="00DA315C" w:rsidRDefault="00050540" w:rsidP="0047722E">
            <w:pPr>
              <w:autoSpaceDE w:val="0"/>
              <w:autoSpaceDN w:val="0"/>
              <w:adjustRightInd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摩根天添盈货币C类</w:t>
            </w:r>
          </w:p>
        </w:tc>
      </w:tr>
      <w:tr w:rsidR="00DA315C" w14:paraId="42AE3130" w14:textId="77777777" w:rsidTr="0047722E">
        <w:tc>
          <w:tcPr>
            <w:tcW w:w="1860" w:type="dxa"/>
            <w:vAlign w:val="center"/>
          </w:tcPr>
          <w:p w14:paraId="61EDA689" w14:textId="77777777" w:rsidR="00DA315C" w:rsidRDefault="00CC2E83">
            <w:pPr>
              <w:autoSpaceDE w:val="0"/>
              <w:autoSpaceDN w:val="0"/>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报告期期</w:t>
            </w:r>
            <w:proofErr w:type="gramStart"/>
            <w:r>
              <w:rPr>
                <w:rFonts w:asciiTheme="minorEastAsia" w:eastAsiaTheme="minorEastAsia" w:hAnsiTheme="minorEastAsia" w:cs="宋体" w:hint="eastAsia"/>
                <w:color w:val="000000" w:themeColor="text1"/>
                <w:kern w:val="0"/>
                <w:sz w:val="24"/>
              </w:rPr>
              <w:t>初基金</w:t>
            </w:r>
            <w:proofErr w:type="gramEnd"/>
            <w:r>
              <w:rPr>
                <w:rFonts w:asciiTheme="minorEastAsia" w:eastAsiaTheme="minorEastAsia" w:hAnsiTheme="minorEastAsia" w:cs="宋体" w:hint="eastAsia"/>
                <w:color w:val="000000" w:themeColor="text1"/>
                <w:kern w:val="0"/>
                <w:sz w:val="24"/>
              </w:rPr>
              <w:t>份额总额</w:t>
            </w:r>
          </w:p>
        </w:tc>
        <w:tc>
          <w:tcPr>
            <w:tcW w:w="1860" w:type="dxa"/>
            <w:vAlign w:val="center"/>
          </w:tcPr>
          <w:p w14:paraId="751AC0EA" w14:textId="77777777" w:rsidR="00DA315C" w:rsidRDefault="00CC2E83">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4,909,979,288.52</w:t>
            </w:r>
          </w:p>
        </w:tc>
        <w:tc>
          <w:tcPr>
            <w:tcW w:w="1860" w:type="dxa"/>
            <w:vAlign w:val="center"/>
          </w:tcPr>
          <w:p w14:paraId="1E67C779"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61" w:type="dxa"/>
            <w:vAlign w:val="center"/>
          </w:tcPr>
          <w:p w14:paraId="0E5C272E"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4,534,078,867.12</w:t>
            </w:r>
          </w:p>
        </w:tc>
        <w:tc>
          <w:tcPr>
            <w:tcW w:w="1861" w:type="dxa"/>
            <w:vAlign w:val="center"/>
          </w:tcPr>
          <w:p w14:paraId="0057C85C" w14:textId="77777777" w:rsidR="00DA315C" w:rsidRDefault="00050540" w:rsidP="0047722E">
            <w:pPr>
              <w:autoSpaceDE w:val="0"/>
              <w:autoSpaceDN w:val="0"/>
              <w:adjustRightInd w:val="0"/>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2,272,668,697.24</w:t>
            </w:r>
          </w:p>
        </w:tc>
      </w:tr>
      <w:tr w:rsidR="00DA315C" w14:paraId="723A2E62" w14:textId="77777777" w:rsidTr="0047722E">
        <w:tc>
          <w:tcPr>
            <w:tcW w:w="1860" w:type="dxa"/>
          </w:tcPr>
          <w:p w14:paraId="2FA1C805" w14:textId="77777777" w:rsidR="00DA315C" w:rsidRDefault="00CC2E83">
            <w:pPr>
              <w:adjustRightInd w:val="0"/>
              <w:snapToGrid w:val="0"/>
              <w:spacing w:line="340" w:lineRule="exact"/>
              <w:rPr>
                <w:rFonts w:ascii="宋体" w:hAnsi="宋体"/>
                <w:color w:val="000000" w:themeColor="text1"/>
                <w:sz w:val="24"/>
              </w:rPr>
            </w:pPr>
            <w:r>
              <w:rPr>
                <w:rFonts w:asciiTheme="minorEastAsia" w:eastAsiaTheme="minorEastAsia" w:hAnsiTheme="minorEastAsia" w:cs="宋体"/>
                <w:color w:val="000000" w:themeColor="text1"/>
                <w:kern w:val="0"/>
                <w:sz w:val="24"/>
              </w:rPr>
              <w:t>报告期期间</w:t>
            </w:r>
            <w:r>
              <w:rPr>
                <w:rFonts w:ascii="宋体" w:hAnsi="宋体" w:hint="eastAsia"/>
                <w:color w:val="000000" w:themeColor="text1"/>
                <w:sz w:val="24"/>
              </w:rPr>
              <w:t>基金总申购份额</w:t>
            </w:r>
          </w:p>
        </w:tc>
        <w:tc>
          <w:tcPr>
            <w:tcW w:w="1860" w:type="dxa"/>
            <w:vAlign w:val="center"/>
          </w:tcPr>
          <w:p w14:paraId="6C8337EA" w14:textId="77777777" w:rsidR="00DA315C" w:rsidRDefault="00CC2E83">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327,995,239.62</w:t>
            </w:r>
          </w:p>
        </w:tc>
        <w:tc>
          <w:tcPr>
            <w:tcW w:w="1860" w:type="dxa"/>
            <w:vAlign w:val="center"/>
          </w:tcPr>
          <w:p w14:paraId="0104EC85"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61" w:type="dxa"/>
            <w:vAlign w:val="center"/>
          </w:tcPr>
          <w:p w14:paraId="34F25BFF"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4,679,639,360.00</w:t>
            </w:r>
          </w:p>
        </w:tc>
        <w:tc>
          <w:tcPr>
            <w:tcW w:w="1861" w:type="dxa"/>
            <w:vAlign w:val="center"/>
          </w:tcPr>
          <w:p w14:paraId="50C00986" w14:textId="77777777" w:rsidR="00DA315C" w:rsidRDefault="00050540" w:rsidP="0047722E">
            <w:pPr>
              <w:autoSpaceDE w:val="0"/>
              <w:autoSpaceDN w:val="0"/>
              <w:adjustRightInd w:val="0"/>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5,352,837,336.64</w:t>
            </w:r>
          </w:p>
        </w:tc>
      </w:tr>
      <w:tr w:rsidR="00DA315C" w14:paraId="129CD71C" w14:textId="77777777" w:rsidTr="0047722E">
        <w:tc>
          <w:tcPr>
            <w:tcW w:w="1860" w:type="dxa"/>
          </w:tcPr>
          <w:p w14:paraId="3D125FE3" w14:textId="77777777" w:rsidR="00DA315C" w:rsidRDefault="00CC2E83">
            <w:pPr>
              <w:adjustRightInd w:val="0"/>
              <w:snapToGrid w:val="0"/>
              <w:spacing w:line="340" w:lineRule="exact"/>
              <w:rPr>
                <w:rFonts w:ascii="宋体" w:hAnsi="宋体"/>
                <w:color w:val="000000" w:themeColor="text1"/>
                <w:sz w:val="24"/>
              </w:rPr>
            </w:pPr>
            <w:r>
              <w:rPr>
                <w:rFonts w:asciiTheme="minorEastAsia" w:eastAsiaTheme="minorEastAsia" w:hAnsiTheme="minorEastAsia" w:cs="宋体"/>
                <w:color w:val="000000" w:themeColor="text1"/>
                <w:kern w:val="0"/>
                <w:sz w:val="24"/>
              </w:rPr>
              <w:lastRenderedPageBreak/>
              <w:t>报告期期间</w:t>
            </w:r>
            <w:r>
              <w:rPr>
                <w:rFonts w:ascii="宋体" w:hAnsi="宋体" w:hint="eastAsia"/>
                <w:color w:val="000000" w:themeColor="text1"/>
                <w:sz w:val="24"/>
              </w:rPr>
              <w:t>基金总赎回份额</w:t>
            </w:r>
          </w:p>
        </w:tc>
        <w:tc>
          <w:tcPr>
            <w:tcW w:w="1860" w:type="dxa"/>
            <w:vAlign w:val="center"/>
          </w:tcPr>
          <w:p w14:paraId="04F54BBA" w14:textId="77777777" w:rsidR="00DA315C" w:rsidRDefault="00CC2E83">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704,263,783.29</w:t>
            </w:r>
          </w:p>
        </w:tc>
        <w:tc>
          <w:tcPr>
            <w:tcW w:w="1860" w:type="dxa"/>
            <w:vAlign w:val="center"/>
          </w:tcPr>
          <w:p w14:paraId="5166E441"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61" w:type="dxa"/>
            <w:vAlign w:val="center"/>
          </w:tcPr>
          <w:p w14:paraId="734F689A"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4,455,506,258.03</w:t>
            </w:r>
          </w:p>
        </w:tc>
        <w:tc>
          <w:tcPr>
            <w:tcW w:w="1861" w:type="dxa"/>
            <w:vAlign w:val="center"/>
          </w:tcPr>
          <w:p w14:paraId="486CD7BA" w14:textId="77777777" w:rsidR="00DA315C" w:rsidRDefault="00050540" w:rsidP="0047722E">
            <w:pPr>
              <w:autoSpaceDE w:val="0"/>
              <w:autoSpaceDN w:val="0"/>
              <w:adjustRightInd w:val="0"/>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5,476,680,403.84</w:t>
            </w:r>
          </w:p>
        </w:tc>
      </w:tr>
      <w:tr w:rsidR="00DA315C" w14:paraId="3F311C36" w14:textId="77777777" w:rsidTr="0047722E">
        <w:tc>
          <w:tcPr>
            <w:tcW w:w="1860" w:type="dxa"/>
          </w:tcPr>
          <w:p w14:paraId="25F50D2A" w14:textId="77777777" w:rsidR="00DA315C" w:rsidRDefault="00CC2E83">
            <w:pPr>
              <w:adjustRightInd w:val="0"/>
              <w:snapToGrid w:val="0"/>
              <w:spacing w:line="340" w:lineRule="exact"/>
              <w:rPr>
                <w:rFonts w:ascii="宋体" w:hAnsi="宋体"/>
                <w:color w:val="000000" w:themeColor="text1"/>
                <w:sz w:val="24"/>
              </w:rPr>
            </w:pPr>
            <w:r>
              <w:rPr>
                <w:rFonts w:ascii="宋体" w:hAnsi="宋体" w:hint="eastAsia"/>
                <w:color w:val="000000" w:themeColor="text1"/>
                <w:sz w:val="24"/>
              </w:rPr>
              <w:t>报告期期末基金份额总额</w:t>
            </w:r>
          </w:p>
        </w:tc>
        <w:tc>
          <w:tcPr>
            <w:tcW w:w="1860" w:type="dxa"/>
            <w:vAlign w:val="center"/>
          </w:tcPr>
          <w:p w14:paraId="4506BC61" w14:textId="77777777" w:rsidR="00DA315C" w:rsidRDefault="00CC2E83">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4,533,710,744.85</w:t>
            </w:r>
          </w:p>
        </w:tc>
        <w:tc>
          <w:tcPr>
            <w:tcW w:w="1860" w:type="dxa"/>
            <w:vAlign w:val="center"/>
          </w:tcPr>
          <w:p w14:paraId="2E75B0F4"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61" w:type="dxa"/>
            <w:vAlign w:val="center"/>
          </w:tcPr>
          <w:p w14:paraId="741240B4"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4,758,211,969.09</w:t>
            </w:r>
          </w:p>
        </w:tc>
        <w:tc>
          <w:tcPr>
            <w:tcW w:w="1861" w:type="dxa"/>
            <w:vAlign w:val="center"/>
          </w:tcPr>
          <w:p w14:paraId="7B491ED7" w14:textId="77777777" w:rsidR="00DA315C" w:rsidRDefault="00050540" w:rsidP="0047722E">
            <w:pPr>
              <w:autoSpaceDE w:val="0"/>
              <w:autoSpaceDN w:val="0"/>
              <w:adjustRightInd w:val="0"/>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2,148,825,630.04</w:t>
            </w:r>
          </w:p>
        </w:tc>
      </w:tr>
    </w:tbl>
    <w:p w14:paraId="5A141211" w14:textId="77777777" w:rsidR="00DA315C" w:rsidRDefault="00CC2E83" w:rsidP="00FC703D">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§7  基金管理人运用</w:t>
      </w:r>
      <w:proofErr w:type="gramStart"/>
      <w:r>
        <w:rPr>
          <w:rFonts w:asciiTheme="minorEastAsia" w:eastAsiaTheme="minorEastAsia" w:hAnsiTheme="minorEastAsia" w:cs="Arial" w:hint="eastAsia"/>
          <w:color w:val="000000" w:themeColor="text1"/>
          <w:kern w:val="0"/>
          <w:sz w:val="24"/>
          <w:szCs w:val="24"/>
        </w:rPr>
        <w:t>固有资金</w:t>
      </w:r>
      <w:proofErr w:type="gramEnd"/>
      <w:r>
        <w:rPr>
          <w:rFonts w:asciiTheme="minorEastAsia" w:eastAsiaTheme="minorEastAsia" w:hAnsiTheme="minorEastAsia" w:cs="Arial" w:hint="eastAsia"/>
          <w:color w:val="000000" w:themeColor="text1"/>
          <w:kern w:val="0"/>
          <w:sz w:val="24"/>
          <w:szCs w:val="24"/>
        </w:rPr>
        <w:t>投资本基金交易明细</w:t>
      </w:r>
    </w:p>
    <w:p w14:paraId="4F05F6D5" w14:textId="77777777" w:rsidR="00DA315C" w:rsidRDefault="00CC2E83" w:rsidP="001B75F9">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无。</w:t>
      </w:r>
    </w:p>
    <w:p w14:paraId="32DB2F5C"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w:t>
      </w:r>
      <w:r>
        <w:rPr>
          <w:rFonts w:asciiTheme="minorEastAsia" w:eastAsiaTheme="minorEastAsia" w:hAnsiTheme="minorEastAsia" w:cs="Arial"/>
          <w:color w:val="000000" w:themeColor="text1"/>
          <w:kern w:val="0"/>
          <w:sz w:val="24"/>
          <w:szCs w:val="24"/>
        </w:rPr>
        <w:t>备查文件目录</w:t>
      </w:r>
    </w:p>
    <w:p w14:paraId="1DB49811" w14:textId="77777777" w:rsidR="00DA315C" w:rsidRDefault="00CC2E83" w:rsidP="009E6F6D">
      <w:pPr>
        <w:autoSpaceDE w:val="0"/>
        <w:autoSpaceDN w:val="0"/>
        <w:adjustRightInd w:val="0"/>
        <w:spacing w:beforeLines="50" w:before="120" w:line="360" w:lineRule="auto"/>
        <w:jc w:val="left"/>
        <w:rPr>
          <w:rFonts w:asciiTheme="minorEastAsia" w:eastAsiaTheme="minorEastAsia" w:hAnsiTheme="minorEastAsia"/>
          <w:b/>
          <w:bCs/>
          <w:color w:val="000000" w:themeColor="text1"/>
          <w:kern w:val="0"/>
          <w:sz w:val="24"/>
        </w:rPr>
      </w:pPr>
      <w:r w:rsidRPr="00922237">
        <w:rPr>
          <w:rFonts w:eastAsiaTheme="minorEastAsia"/>
          <w:b/>
          <w:color w:val="000000" w:themeColor="text1"/>
          <w:kern w:val="0"/>
          <w:sz w:val="24"/>
        </w:rPr>
        <w:t>8</w:t>
      </w:r>
      <w:r w:rsidRPr="00922237">
        <w:rPr>
          <w:rFonts w:eastAsiaTheme="minorEastAsia"/>
          <w:b/>
          <w:bCs/>
          <w:color w:val="000000" w:themeColor="text1"/>
          <w:kern w:val="0"/>
          <w:sz w:val="24"/>
        </w:rPr>
        <w:t>.1</w:t>
      </w:r>
      <w:r>
        <w:rPr>
          <w:rFonts w:asciiTheme="minorEastAsia" w:eastAsiaTheme="minorEastAsia" w:hAnsiTheme="minorEastAsia" w:hint="eastAsia"/>
          <w:b/>
          <w:bCs/>
          <w:color w:val="000000" w:themeColor="text1"/>
          <w:kern w:val="0"/>
          <w:sz w:val="24"/>
        </w:rPr>
        <w:t>备查文件目录</w:t>
      </w:r>
    </w:p>
    <w:p w14:paraId="343A8E22"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 中国证监会批准本基金募集的文件</w:t>
      </w:r>
    </w:p>
    <w:p w14:paraId="456B6C8B"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(二)  摩根天添盈货币市场基金基金合同</w:t>
      </w:r>
    </w:p>
    <w:p w14:paraId="452FE132"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(三) 摩根天添盈货币市场基金托管协议</w:t>
      </w:r>
    </w:p>
    <w:p w14:paraId="58DF06B1"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(四) 法律意见书</w:t>
      </w:r>
    </w:p>
    <w:p w14:paraId="7F1091BC"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(五) 基金管理人业务资格批件、营业执照</w:t>
      </w:r>
    </w:p>
    <w:p w14:paraId="39B3C68B"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(六) 基金托管人业务资格批件、营业执照</w:t>
      </w:r>
    </w:p>
    <w:p w14:paraId="40D4960B" w14:textId="77777777" w:rsidR="00490177" w:rsidRDefault="00A77B9F">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(七) 摩根基金管理（中国）有限公司开放式基金业务规则</w:t>
      </w:r>
    </w:p>
    <w:p w14:paraId="368CEBC7"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(八) 中国证监会要求的其他文件</w:t>
      </w:r>
    </w:p>
    <w:p w14:paraId="573E0B95" w14:textId="77777777" w:rsidR="00DA315C" w:rsidRPr="00922237" w:rsidRDefault="00CC2E83" w:rsidP="00922237">
      <w:pPr>
        <w:autoSpaceDE w:val="0"/>
        <w:autoSpaceDN w:val="0"/>
        <w:adjustRightInd w:val="0"/>
        <w:spacing w:beforeLines="100" w:before="240" w:line="360" w:lineRule="auto"/>
        <w:jc w:val="left"/>
        <w:rPr>
          <w:rFonts w:eastAsiaTheme="minorEastAsia"/>
          <w:b/>
          <w:color w:val="000000" w:themeColor="text1"/>
          <w:kern w:val="0"/>
          <w:sz w:val="24"/>
        </w:rPr>
      </w:pPr>
      <w:r w:rsidRPr="00922237">
        <w:rPr>
          <w:rFonts w:eastAsiaTheme="minorEastAsia" w:hint="eastAsia"/>
          <w:b/>
          <w:color w:val="000000" w:themeColor="text1"/>
          <w:kern w:val="0"/>
          <w:sz w:val="24"/>
        </w:rPr>
        <w:t>8</w:t>
      </w:r>
      <w:r w:rsidRPr="00922237">
        <w:rPr>
          <w:rFonts w:eastAsiaTheme="minorEastAsia"/>
          <w:b/>
          <w:color w:val="000000" w:themeColor="text1"/>
          <w:kern w:val="0"/>
          <w:sz w:val="24"/>
        </w:rPr>
        <w:t>.2</w:t>
      </w:r>
      <w:r w:rsidRPr="00922237">
        <w:rPr>
          <w:rFonts w:eastAsiaTheme="minorEastAsia" w:hint="eastAsia"/>
          <w:b/>
          <w:color w:val="000000" w:themeColor="text1"/>
          <w:kern w:val="0"/>
          <w:sz w:val="24"/>
        </w:rPr>
        <w:t>存放地点</w:t>
      </w:r>
    </w:p>
    <w:p w14:paraId="024F2840"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基金管理人或基金托管人处。</w:t>
      </w:r>
    </w:p>
    <w:p w14:paraId="31C7DFEA" w14:textId="77777777" w:rsidR="00DA315C" w:rsidRPr="00922237" w:rsidRDefault="00CC2E83" w:rsidP="00922237">
      <w:pPr>
        <w:autoSpaceDE w:val="0"/>
        <w:autoSpaceDN w:val="0"/>
        <w:adjustRightInd w:val="0"/>
        <w:spacing w:beforeLines="100" w:before="240" w:line="360" w:lineRule="auto"/>
        <w:jc w:val="left"/>
        <w:rPr>
          <w:rFonts w:eastAsiaTheme="minorEastAsia"/>
          <w:b/>
          <w:color w:val="000000" w:themeColor="text1"/>
          <w:kern w:val="0"/>
          <w:sz w:val="24"/>
        </w:rPr>
      </w:pPr>
      <w:r w:rsidRPr="00922237">
        <w:rPr>
          <w:rFonts w:eastAsiaTheme="minorEastAsia" w:hint="eastAsia"/>
          <w:b/>
          <w:color w:val="000000" w:themeColor="text1"/>
          <w:kern w:val="0"/>
          <w:sz w:val="24"/>
        </w:rPr>
        <w:t>8</w:t>
      </w:r>
      <w:r w:rsidRPr="00922237">
        <w:rPr>
          <w:rFonts w:eastAsiaTheme="minorEastAsia"/>
          <w:b/>
          <w:color w:val="000000" w:themeColor="text1"/>
          <w:kern w:val="0"/>
          <w:sz w:val="24"/>
        </w:rPr>
        <w:t>.3</w:t>
      </w:r>
      <w:r w:rsidRPr="00922237">
        <w:rPr>
          <w:rFonts w:eastAsiaTheme="minorEastAsia" w:hint="eastAsia"/>
          <w:b/>
          <w:color w:val="000000" w:themeColor="text1"/>
          <w:kern w:val="0"/>
          <w:sz w:val="24"/>
        </w:rPr>
        <w:t>查阅方式</w:t>
      </w:r>
    </w:p>
    <w:p w14:paraId="5BE5E47B"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投资者可在营业时间免费查阅，也可按工本费购买复印件。</w:t>
      </w:r>
    </w:p>
    <w:p w14:paraId="1D7B36AD" w14:textId="77777777" w:rsidR="00922237" w:rsidRDefault="00922237">
      <w:pPr>
        <w:spacing w:line="360" w:lineRule="auto"/>
        <w:jc w:val="right"/>
        <w:rPr>
          <w:rFonts w:asciiTheme="minorEastAsia" w:eastAsiaTheme="minorEastAsia" w:hAnsiTheme="minorEastAsia"/>
          <w:b/>
          <w:bCs/>
          <w:color w:val="000000" w:themeColor="text1"/>
          <w:sz w:val="24"/>
        </w:rPr>
      </w:pPr>
    </w:p>
    <w:p w14:paraId="1AED4538" w14:textId="77777777" w:rsidR="00922237" w:rsidRDefault="00922237">
      <w:pPr>
        <w:spacing w:line="360" w:lineRule="auto"/>
        <w:jc w:val="right"/>
        <w:rPr>
          <w:rFonts w:asciiTheme="minorEastAsia" w:eastAsiaTheme="minorEastAsia" w:hAnsiTheme="minorEastAsia"/>
          <w:b/>
          <w:bCs/>
          <w:color w:val="000000" w:themeColor="text1"/>
          <w:sz w:val="24"/>
        </w:rPr>
      </w:pPr>
    </w:p>
    <w:p w14:paraId="1B853BEE" w14:textId="77777777" w:rsidR="00922237" w:rsidRDefault="00922237">
      <w:pPr>
        <w:spacing w:line="360" w:lineRule="auto"/>
        <w:jc w:val="right"/>
        <w:rPr>
          <w:rFonts w:asciiTheme="minorEastAsia" w:eastAsiaTheme="minorEastAsia" w:hAnsiTheme="minorEastAsia"/>
          <w:b/>
          <w:bCs/>
          <w:color w:val="000000" w:themeColor="text1"/>
          <w:sz w:val="24"/>
        </w:rPr>
      </w:pPr>
    </w:p>
    <w:p w14:paraId="6158D0FB" w14:textId="77777777" w:rsidR="00DA315C" w:rsidRDefault="00CC2E83">
      <w:pPr>
        <w:spacing w:line="360" w:lineRule="auto"/>
        <w:jc w:val="right"/>
        <w:rPr>
          <w:rFonts w:asciiTheme="minorEastAsia" w:eastAsiaTheme="minorEastAsia" w:hAnsiTheme="minorEastAsia"/>
          <w:b/>
          <w:bCs/>
          <w:color w:val="000000" w:themeColor="text1"/>
          <w:sz w:val="24"/>
        </w:rPr>
      </w:pPr>
      <w:r>
        <w:rPr>
          <w:rFonts w:asciiTheme="minorEastAsia" w:eastAsiaTheme="minorEastAsia" w:hAnsiTheme="minorEastAsia"/>
          <w:b/>
          <w:bCs/>
          <w:color w:val="000000" w:themeColor="text1"/>
          <w:sz w:val="24"/>
        </w:rPr>
        <w:t>摩根基金管理（中国）有限公司</w:t>
      </w:r>
    </w:p>
    <w:p w14:paraId="27561DE1" w14:textId="77777777" w:rsidR="00DA315C" w:rsidRDefault="00CC2E83">
      <w:pPr>
        <w:spacing w:line="360" w:lineRule="auto"/>
        <w:jc w:val="right"/>
        <w:rPr>
          <w:rFonts w:asciiTheme="minorEastAsia" w:eastAsiaTheme="minorEastAsia" w:hAnsiTheme="minorEastAsia"/>
          <w:b/>
          <w:bCs/>
          <w:color w:val="000000" w:themeColor="text1"/>
          <w:sz w:val="24"/>
        </w:rPr>
      </w:pPr>
      <w:r>
        <w:rPr>
          <w:rFonts w:asciiTheme="minorEastAsia" w:eastAsiaTheme="minorEastAsia" w:hAnsiTheme="minorEastAsia"/>
          <w:b/>
          <w:bCs/>
          <w:color w:val="000000" w:themeColor="text1"/>
          <w:sz w:val="24"/>
        </w:rPr>
        <w:lastRenderedPageBreak/>
        <w:t>二〇二四年十月二十五日</w:t>
      </w:r>
    </w:p>
    <w:sectPr w:rsidR="00DA315C">
      <w:pgSz w:w="11926" w:h="15840"/>
      <w:pgMar w:top="1420" w:right="1420" w:bottom="852" w:left="142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3DC6" w14:textId="77777777" w:rsidR="007C4DC9" w:rsidRDefault="007C4DC9">
      <w:r>
        <w:separator/>
      </w:r>
    </w:p>
  </w:endnote>
  <w:endnote w:type="continuationSeparator" w:id="0">
    <w:p w14:paraId="53761D46" w14:textId="77777777" w:rsidR="007C4DC9" w:rsidRDefault="007C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04FD" w14:textId="77777777" w:rsidR="007753E9" w:rsidRPr="00453C41" w:rsidRDefault="007753E9" w:rsidP="00453C41">
    <w:pPr>
      <w:pStyle w:val="ab"/>
      <w:jc w:val="center"/>
      <w:rPr>
        <w:caps/>
        <w:color w:val="000000" w:themeColor="text1"/>
      </w:rPr>
    </w:pPr>
    <w:r w:rsidRPr="00453C41">
      <w:rPr>
        <w:caps/>
        <w:color w:val="000000" w:themeColor="text1"/>
      </w:rPr>
      <w:fldChar w:fldCharType="begin"/>
    </w:r>
    <w:r w:rsidRPr="00453C41">
      <w:rPr>
        <w:caps/>
        <w:color w:val="000000" w:themeColor="text1"/>
      </w:rPr>
      <w:instrText>PAGE   \* MERGEFORMAT</w:instrText>
    </w:r>
    <w:r w:rsidRPr="00453C41">
      <w:rPr>
        <w:caps/>
        <w:color w:val="000000" w:themeColor="text1"/>
      </w:rPr>
      <w:fldChar w:fldCharType="separate"/>
    </w:r>
    <w:r w:rsidRPr="00EC08E7">
      <w:rPr>
        <w:caps/>
        <w:noProof/>
        <w:color w:val="000000" w:themeColor="text1"/>
        <w:lang w:val="zh-CN"/>
      </w:rPr>
      <w:t>22</w:t>
    </w:r>
    <w:r w:rsidRPr="00453C41">
      <w:rPr>
        <w:cap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AACF" w14:textId="77777777" w:rsidR="007C4DC9" w:rsidRDefault="007C4DC9">
      <w:r>
        <w:separator/>
      </w:r>
    </w:p>
  </w:footnote>
  <w:footnote w:type="continuationSeparator" w:id="0">
    <w:p w14:paraId="5ABBC607" w14:textId="77777777" w:rsidR="007C4DC9" w:rsidRDefault="007C4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B44E" w14:textId="77777777" w:rsidR="007753E9" w:rsidRDefault="007753E9">
    <w:pPr>
      <w:pStyle w:val="ad"/>
      <w:pBdr>
        <w:bottom w:val="single" w:sz="6" w:space="0" w:color="auto"/>
      </w:pBdr>
      <w:jc w:val="right"/>
    </w:pPr>
    <w:r>
      <w:rPr>
        <w:sz w:val="21"/>
        <w:szCs w:val="21"/>
      </w:rPr>
      <w:t>摩根</w:t>
    </w:r>
    <w:proofErr w:type="gramStart"/>
    <w:r>
      <w:rPr>
        <w:sz w:val="21"/>
        <w:szCs w:val="21"/>
      </w:rPr>
      <w:t>天添盈货币市场</w:t>
    </w:r>
    <w:proofErr w:type="gramEnd"/>
    <w:r>
      <w:rPr>
        <w:sz w:val="21"/>
        <w:szCs w:val="21"/>
      </w:rPr>
      <w:t>基金</w:t>
    </w:r>
    <w:r>
      <w:rPr>
        <w:sz w:val="21"/>
        <w:szCs w:val="21"/>
      </w:rPr>
      <w:t>2024</w:t>
    </w:r>
    <w:r>
      <w:rPr>
        <w:sz w:val="21"/>
        <w:szCs w:val="21"/>
      </w:rPr>
      <w:t>年第</w:t>
    </w:r>
    <w:r>
      <w:rPr>
        <w:sz w:val="21"/>
        <w:szCs w:val="21"/>
      </w:rPr>
      <w:t>3</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7283"/>
    <w:rsid w:val="000022B9"/>
    <w:rsid w:val="000028CE"/>
    <w:rsid w:val="00004DE7"/>
    <w:rsid w:val="00005433"/>
    <w:rsid w:val="0001552D"/>
    <w:rsid w:val="0001566B"/>
    <w:rsid w:val="0002085F"/>
    <w:rsid w:val="00025C5D"/>
    <w:rsid w:val="00035596"/>
    <w:rsid w:val="000417E0"/>
    <w:rsid w:val="0004414C"/>
    <w:rsid w:val="00044724"/>
    <w:rsid w:val="00050540"/>
    <w:rsid w:val="000515FA"/>
    <w:rsid w:val="00052CA4"/>
    <w:rsid w:val="00054470"/>
    <w:rsid w:val="0005518A"/>
    <w:rsid w:val="000570EB"/>
    <w:rsid w:val="00057115"/>
    <w:rsid w:val="00057D26"/>
    <w:rsid w:val="00063BA4"/>
    <w:rsid w:val="0006697D"/>
    <w:rsid w:val="00070092"/>
    <w:rsid w:val="00070319"/>
    <w:rsid w:val="0007109E"/>
    <w:rsid w:val="00072602"/>
    <w:rsid w:val="00075BBB"/>
    <w:rsid w:val="00075CA2"/>
    <w:rsid w:val="00076834"/>
    <w:rsid w:val="0007770D"/>
    <w:rsid w:val="00087DFE"/>
    <w:rsid w:val="000A0C86"/>
    <w:rsid w:val="000A225E"/>
    <w:rsid w:val="000A39AB"/>
    <w:rsid w:val="000A466F"/>
    <w:rsid w:val="000B2044"/>
    <w:rsid w:val="000B2266"/>
    <w:rsid w:val="000C469F"/>
    <w:rsid w:val="000D0F44"/>
    <w:rsid w:val="000D6294"/>
    <w:rsid w:val="000E0F6E"/>
    <w:rsid w:val="000E5D62"/>
    <w:rsid w:val="000E6158"/>
    <w:rsid w:val="000F3C21"/>
    <w:rsid w:val="000F4826"/>
    <w:rsid w:val="000F5947"/>
    <w:rsid w:val="00101278"/>
    <w:rsid w:val="00102307"/>
    <w:rsid w:val="001038EF"/>
    <w:rsid w:val="00103B93"/>
    <w:rsid w:val="001074D6"/>
    <w:rsid w:val="00113777"/>
    <w:rsid w:val="00114C97"/>
    <w:rsid w:val="00117063"/>
    <w:rsid w:val="00123E37"/>
    <w:rsid w:val="001302DB"/>
    <w:rsid w:val="00136502"/>
    <w:rsid w:val="00157B55"/>
    <w:rsid w:val="00162222"/>
    <w:rsid w:val="001635C7"/>
    <w:rsid w:val="00166734"/>
    <w:rsid w:val="001669F2"/>
    <w:rsid w:val="001705A7"/>
    <w:rsid w:val="0017387C"/>
    <w:rsid w:val="001822D3"/>
    <w:rsid w:val="0018401C"/>
    <w:rsid w:val="00185622"/>
    <w:rsid w:val="00186667"/>
    <w:rsid w:val="00191B28"/>
    <w:rsid w:val="00193BCF"/>
    <w:rsid w:val="00195C6F"/>
    <w:rsid w:val="00196812"/>
    <w:rsid w:val="00197ED0"/>
    <w:rsid w:val="001A2524"/>
    <w:rsid w:val="001A784C"/>
    <w:rsid w:val="001B42BE"/>
    <w:rsid w:val="001B43B0"/>
    <w:rsid w:val="001B72D6"/>
    <w:rsid w:val="001B75F9"/>
    <w:rsid w:val="001B7CC6"/>
    <w:rsid w:val="001C5D80"/>
    <w:rsid w:val="001D0D4C"/>
    <w:rsid w:val="001D0DB0"/>
    <w:rsid w:val="001D3FAC"/>
    <w:rsid w:val="001D65C8"/>
    <w:rsid w:val="001D6ECD"/>
    <w:rsid w:val="001D75D9"/>
    <w:rsid w:val="001E0DDA"/>
    <w:rsid w:val="001F0286"/>
    <w:rsid w:val="0020640F"/>
    <w:rsid w:val="0021251E"/>
    <w:rsid w:val="00220437"/>
    <w:rsid w:val="00222C78"/>
    <w:rsid w:val="00232095"/>
    <w:rsid w:val="00233014"/>
    <w:rsid w:val="002331D9"/>
    <w:rsid w:val="0024424F"/>
    <w:rsid w:val="002507FE"/>
    <w:rsid w:val="002525C7"/>
    <w:rsid w:val="002611C3"/>
    <w:rsid w:val="002622E8"/>
    <w:rsid w:val="00267283"/>
    <w:rsid w:val="0027189B"/>
    <w:rsid w:val="00274FAC"/>
    <w:rsid w:val="00275552"/>
    <w:rsid w:val="002A4B7F"/>
    <w:rsid w:val="002B45A4"/>
    <w:rsid w:val="002C5792"/>
    <w:rsid w:val="002D3ADF"/>
    <w:rsid w:val="002E040C"/>
    <w:rsid w:val="002E0F4A"/>
    <w:rsid w:val="002F0E9D"/>
    <w:rsid w:val="002F1496"/>
    <w:rsid w:val="002F6539"/>
    <w:rsid w:val="00307062"/>
    <w:rsid w:val="003111AC"/>
    <w:rsid w:val="00311ADA"/>
    <w:rsid w:val="00311AEB"/>
    <w:rsid w:val="00320893"/>
    <w:rsid w:val="00322B07"/>
    <w:rsid w:val="0032323A"/>
    <w:rsid w:val="00323377"/>
    <w:rsid w:val="00327FB0"/>
    <w:rsid w:val="0033599F"/>
    <w:rsid w:val="00340292"/>
    <w:rsid w:val="00340456"/>
    <w:rsid w:val="00340C3A"/>
    <w:rsid w:val="00341CFF"/>
    <w:rsid w:val="00343648"/>
    <w:rsid w:val="00343AF0"/>
    <w:rsid w:val="00346359"/>
    <w:rsid w:val="00346B82"/>
    <w:rsid w:val="0035022C"/>
    <w:rsid w:val="0035215C"/>
    <w:rsid w:val="00362E2A"/>
    <w:rsid w:val="00371E26"/>
    <w:rsid w:val="00373AAB"/>
    <w:rsid w:val="0038256C"/>
    <w:rsid w:val="00383631"/>
    <w:rsid w:val="00384942"/>
    <w:rsid w:val="00394455"/>
    <w:rsid w:val="00394BC1"/>
    <w:rsid w:val="003A0EC1"/>
    <w:rsid w:val="003A1E1E"/>
    <w:rsid w:val="003A2922"/>
    <w:rsid w:val="003B36B4"/>
    <w:rsid w:val="003B6DC6"/>
    <w:rsid w:val="003C0E8C"/>
    <w:rsid w:val="003C1137"/>
    <w:rsid w:val="003C3FA7"/>
    <w:rsid w:val="003C495A"/>
    <w:rsid w:val="003D1ECF"/>
    <w:rsid w:val="003D21F4"/>
    <w:rsid w:val="003D6A07"/>
    <w:rsid w:val="003E14FE"/>
    <w:rsid w:val="003E565B"/>
    <w:rsid w:val="003F43EB"/>
    <w:rsid w:val="003F5616"/>
    <w:rsid w:val="00402654"/>
    <w:rsid w:val="00403ED2"/>
    <w:rsid w:val="00413748"/>
    <w:rsid w:val="004250C5"/>
    <w:rsid w:val="00425438"/>
    <w:rsid w:val="00433C1E"/>
    <w:rsid w:val="004369B0"/>
    <w:rsid w:val="00440828"/>
    <w:rsid w:val="004417A1"/>
    <w:rsid w:val="0044257C"/>
    <w:rsid w:val="00446474"/>
    <w:rsid w:val="00446F8F"/>
    <w:rsid w:val="004527E3"/>
    <w:rsid w:val="00452D31"/>
    <w:rsid w:val="00453C41"/>
    <w:rsid w:val="00455AA7"/>
    <w:rsid w:val="00460000"/>
    <w:rsid w:val="004600C4"/>
    <w:rsid w:val="00461A70"/>
    <w:rsid w:val="004664C1"/>
    <w:rsid w:val="004702DF"/>
    <w:rsid w:val="00470F55"/>
    <w:rsid w:val="00471444"/>
    <w:rsid w:val="00473E10"/>
    <w:rsid w:val="00473EC9"/>
    <w:rsid w:val="00474563"/>
    <w:rsid w:val="00474896"/>
    <w:rsid w:val="004771B9"/>
    <w:rsid w:val="0047722E"/>
    <w:rsid w:val="0048754A"/>
    <w:rsid w:val="00490177"/>
    <w:rsid w:val="004950A3"/>
    <w:rsid w:val="0049568D"/>
    <w:rsid w:val="00496B2E"/>
    <w:rsid w:val="004A0C6B"/>
    <w:rsid w:val="004A2432"/>
    <w:rsid w:val="004A2C47"/>
    <w:rsid w:val="004A357E"/>
    <w:rsid w:val="004A40AA"/>
    <w:rsid w:val="004A46A0"/>
    <w:rsid w:val="004A5B68"/>
    <w:rsid w:val="004B1C09"/>
    <w:rsid w:val="004C5B7C"/>
    <w:rsid w:val="004D22E1"/>
    <w:rsid w:val="004D51CC"/>
    <w:rsid w:val="004D72C7"/>
    <w:rsid w:val="004E041A"/>
    <w:rsid w:val="004E3452"/>
    <w:rsid w:val="004E4E63"/>
    <w:rsid w:val="004F02D6"/>
    <w:rsid w:val="00500487"/>
    <w:rsid w:val="005065A0"/>
    <w:rsid w:val="00506EF6"/>
    <w:rsid w:val="005141F5"/>
    <w:rsid w:val="0051505A"/>
    <w:rsid w:val="00515166"/>
    <w:rsid w:val="0051578D"/>
    <w:rsid w:val="005212AE"/>
    <w:rsid w:val="00525B26"/>
    <w:rsid w:val="00532457"/>
    <w:rsid w:val="00533490"/>
    <w:rsid w:val="00543561"/>
    <w:rsid w:val="0054464B"/>
    <w:rsid w:val="00546747"/>
    <w:rsid w:val="0054785C"/>
    <w:rsid w:val="00551447"/>
    <w:rsid w:val="00555883"/>
    <w:rsid w:val="00560F94"/>
    <w:rsid w:val="00562319"/>
    <w:rsid w:val="005633AD"/>
    <w:rsid w:val="00564C24"/>
    <w:rsid w:val="00570F8C"/>
    <w:rsid w:val="00575970"/>
    <w:rsid w:val="00582960"/>
    <w:rsid w:val="0059170A"/>
    <w:rsid w:val="00591BF0"/>
    <w:rsid w:val="00592D0A"/>
    <w:rsid w:val="00594DCA"/>
    <w:rsid w:val="00595285"/>
    <w:rsid w:val="005A60B7"/>
    <w:rsid w:val="005B238D"/>
    <w:rsid w:val="005B527B"/>
    <w:rsid w:val="005C251D"/>
    <w:rsid w:val="005D1BAF"/>
    <w:rsid w:val="005D596C"/>
    <w:rsid w:val="005D6807"/>
    <w:rsid w:val="005E05CC"/>
    <w:rsid w:val="005E2087"/>
    <w:rsid w:val="005E2D8C"/>
    <w:rsid w:val="005E6FA5"/>
    <w:rsid w:val="005F17EC"/>
    <w:rsid w:val="005F41D2"/>
    <w:rsid w:val="005F668B"/>
    <w:rsid w:val="005F6B28"/>
    <w:rsid w:val="00607204"/>
    <w:rsid w:val="00613327"/>
    <w:rsid w:val="00614726"/>
    <w:rsid w:val="00614961"/>
    <w:rsid w:val="006214E4"/>
    <w:rsid w:val="006254A5"/>
    <w:rsid w:val="0062678E"/>
    <w:rsid w:val="006317E8"/>
    <w:rsid w:val="00632417"/>
    <w:rsid w:val="0063302E"/>
    <w:rsid w:val="00633177"/>
    <w:rsid w:val="006331F2"/>
    <w:rsid w:val="00636261"/>
    <w:rsid w:val="00636B17"/>
    <w:rsid w:val="0064191E"/>
    <w:rsid w:val="006452E9"/>
    <w:rsid w:val="00664834"/>
    <w:rsid w:val="00672BEF"/>
    <w:rsid w:val="00673BA5"/>
    <w:rsid w:val="006911A1"/>
    <w:rsid w:val="00694FDC"/>
    <w:rsid w:val="006A1E40"/>
    <w:rsid w:val="006A2D00"/>
    <w:rsid w:val="006B4965"/>
    <w:rsid w:val="006B4C67"/>
    <w:rsid w:val="006B56E1"/>
    <w:rsid w:val="006B69FA"/>
    <w:rsid w:val="006D27DD"/>
    <w:rsid w:val="006D4647"/>
    <w:rsid w:val="006D4C22"/>
    <w:rsid w:val="006E4EB5"/>
    <w:rsid w:val="006F1C55"/>
    <w:rsid w:val="006F3CEE"/>
    <w:rsid w:val="006F622C"/>
    <w:rsid w:val="00707CB2"/>
    <w:rsid w:val="00710487"/>
    <w:rsid w:val="00714B3D"/>
    <w:rsid w:val="00714FD1"/>
    <w:rsid w:val="007254F2"/>
    <w:rsid w:val="007277D1"/>
    <w:rsid w:val="00727EA0"/>
    <w:rsid w:val="0073105A"/>
    <w:rsid w:val="00734B8E"/>
    <w:rsid w:val="00737060"/>
    <w:rsid w:val="00741288"/>
    <w:rsid w:val="0074455F"/>
    <w:rsid w:val="007521F9"/>
    <w:rsid w:val="00756489"/>
    <w:rsid w:val="00756EA2"/>
    <w:rsid w:val="00757F37"/>
    <w:rsid w:val="007600BC"/>
    <w:rsid w:val="00762326"/>
    <w:rsid w:val="00762E87"/>
    <w:rsid w:val="00764CF7"/>
    <w:rsid w:val="0077198B"/>
    <w:rsid w:val="007723FD"/>
    <w:rsid w:val="00772687"/>
    <w:rsid w:val="00774E1E"/>
    <w:rsid w:val="007753E9"/>
    <w:rsid w:val="00780252"/>
    <w:rsid w:val="007806BE"/>
    <w:rsid w:val="00782061"/>
    <w:rsid w:val="00785897"/>
    <w:rsid w:val="00785C32"/>
    <w:rsid w:val="007A1708"/>
    <w:rsid w:val="007B082A"/>
    <w:rsid w:val="007B1C3E"/>
    <w:rsid w:val="007C42E5"/>
    <w:rsid w:val="007C4DC9"/>
    <w:rsid w:val="007E0C02"/>
    <w:rsid w:val="007E5ADE"/>
    <w:rsid w:val="007F1DE3"/>
    <w:rsid w:val="007F7BD7"/>
    <w:rsid w:val="008056FA"/>
    <w:rsid w:val="008115B6"/>
    <w:rsid w:val="00813897"/>
    <w:rsid w:val="00814461"/>
    <w:rsid w:val="00824D84"/>
    <w:rsid w:val="00825EA5"/>
    <w:rsid w:val="00827710"/>
    <w:rsid w:val="00830EA7"/>
    <w:rsid w:val="00833555"/>
    <w:rsid w:val="008347B3"/>
    <w:rsid w:val="00834D9F"/>
    <w:rsid w:val="00835BDD"/>
    <w:rsid w:val="008379E2"/>
    <w:rsid w:val="00852119"/>
    <w:rsid w:val="0085498E"/>
    <w:rsid w:val="0086245E"/>
    <w:rsid w:val="00877329"/>
    <w:rsid w:val="00880EE6"/>
    <w:rsid w:val="00881BFD"/>
    <w:rsid w:val="00882323"/>
    <w:rsid w:val="00893021"/>
    <w:rsid w:val="0089560B"/>
    <w:rsid w:val="008B21BE"/>
    <w:rsid w:val="008B23BD"/>
    <w:rsid w:val="008C579A"/>
    <w:rsid w:val="008D0A39"/>
    <w:rsid w:val="008D55F2"/>
    <w:rsid w:val="008E3053"/>
    <w:rsid w:val="008E4638"/>
    <w:rsid w:val="008E6CBC"/>
    <w:rsid w:val="008E71D2"/>
    <w:rsid w:val="008F44F3"/>
    <w:rsid w:val="009004F7"/>
    <w:rsid w:val="009018CC"/>
    <w:rsid w:val="00902E3F"/>
    <w:rsid w:val="00903E98"/>
    <w:rsid w:val="009043CD"/>
    <w:rsid w:val="00904D59"/>
    <w:rsid w:val="00906C9B"/>
    <w:rsid w:val="00910FB5"/>
    <w:rsid w:val="00911C0E"/>
    <w:rsid w:val="009153D7"/>
    <w:rsid w:val="00922237"/>
    <w:rsid w:val="009223B5"/>
    <w:rsid w:val="00924D28"/>
    <w:rsid w:val="0094213C"/>
    <w:rsid w:val="0094236C"/>
    <w:rsid w:val="00943AFD"/>
    <w:rsid w:val="0096196D"/>
    <w:rsid w:val="00967986"/>
    <w:rsid w:val="0097021E"/>
    <w:rsid w:val="00971C19"/>
    <w:rsid w:val="00971D35"/>
    <w:rsid w:val="009720BF"/>
    <w:rsid w:val="00976A1A"/>
    <w:rsid w:val="00984794"/>
    <w:rsid w:val="0099296A"/>
    <w:rsid w:val="009965A5"/>
    <w:rsid w:val="009A56D7"/>
    <w:rsid w:val="009A755D"/>
    <w:rsid w:val="009B15FD"/>
    <w:rsid w:val="009B2693"/>
    <w:rsid w:val="009B3C3F"/>
    <w:rsid w:val="009B73A7"/>
    <w:rsid w:val="009B7B0C"/>
    <w:rsid w:val="009C1A42"/>
    <w:rsid w:val="009D067E"/>
    <w:rsid w:val="009D19C1"/>
    <w:rsid w:val="009D5CC1"/>
    <w:rsid w:val="009D60EB"/>
    <w:rsid w:val="009D74FC"/>
    <w:rsid w:val="009E07F4"/>
    <w:rsid w:val="009E2527"/>
    <w:rsid w:val="009E2BAA"/>
    <w:rsid w:val="009E3E0B"/>
    <w:rsid w:val="009E6F6D"/>
    <w:rsid w:val="009F14B0"/>
    <w:rsid w:val="009F480F"/>
    <w:rsid w:val="009F6951"/>
    <w:rsid w:val="00A01505"/>
    <w:rsid w:val="00A01DDC"/>
    <w:rsid w:val="00A1530B"/>
    <w:rsid w:val="00A16747"/>
    <w:rsid w:val="00A167A7"/>
    <w:rsid w:val="00A1694D"/>
    <w:rsid w:val="00A16D78"/>
    <w:rsid w:val="00A24DC0"/>
    <w:rsid w:val="00A42A96"/>
    <w:rsid w:val="00A455A0"/>
    <w:rsid w:val="00A45C1D"/>
    <w:rsid w:val="00A470D2"/>
    <w:rsid w:val="00A50D92"/>
    <w:rsid w:val="00A53D1D"/>
    <w:rsid w:val="00A62DD4"/>
    <w:rsid w:val="00A65A66"/>
    <w:rsid w:val="00A7219D"/>
    <w:rsid w:val="00A73E86"/>
    <w:rsid w:val="00A7669A"/>
    <w:rsid w:val="00A77B9F"/>
    <w:rsid w:val="00A805BC"/>
    <w:rsid w:val="00A80F9F"/>
    <w:rsid w:val="00A81075"/>
    <w:rsid w:val="00A87550"/>
    <w:rsid w:val="00A95FA9"/>
    <w:rsid w:val="00AA34F4"/>
    <w:rsid w:val="00AA5B03"/>
    <w:rsid w:val="00AA68D4"/>
    <w:rsid w:val="00AB24CA"/>
    <w:rsid w:val="00AB373C"/>
    <w:rsid w:val="00AB5159"/>
    <w:rsid w:val="00AB5E54"/>
    <w:rsid w:val="00AC2B47"/>
    <w:rsid w:val="00AC3D9E"/>
    <w:rsid w:val="00AC6C3D"/>
    <w:rsid w:val="00AD1ADB"/>
    <w:rsid w:val="00AD2473"/>
    <w:rsid w:val="00AD2589"/>
    <w:rsid w:val="00AE17F1"/>
    <w:rsid w:val="00AE2FB9"/>
    <w:rsid w:val="00AE342F"/>
    <w:rsid w:val="00AE4F96"/>
    <w:rsid w:val="00AE6D9A"/>
    <w:rsid w:val="00AE7435"/>
    <w:rsid w:val="00AF2397"/>
    <w:rsid w:val="00AF27F9"/>
    <w:rsid w:val="00AF3D19"/>
    <w:rsid w:val="00B03B0B"/>
    <w:rsid w:val="00B040BC"/>
    <w:rsid w:val="00B0441A"/>
    <w:rsid w:val="00B044FC"/>
    <w:rsid w:val="00B06458"/>
    <w:rsid w:val="00B071B6"/>
    <w:rsid w:val="00B13B79"/>
    <w:rsid w:val="00B202AD"/>
    <w:rsid w:val="00B213AC"/>
    <w:rsid w:val="00B25119"/>
    <w:rsid w:val="00B27004"/>
    <w:rsid w:val="00B33F45"/>
    <w:rsid w:val="00B33FA5"/>
    <w:rsid w:val="00B415B8"/>
    <w:rsid w:val="00B420AC"/>
    <w:rsid w:val="00B4354A"/>
    <w:rsid w:val="00B54CC5"/>
    <w:rsid w:val="00B60E27"/>
    <w:rsid w:val="00B634E4"/>
    <w:rsid w:val="00B64D62"/>
    <w:rsid w:val="00B77C54"/>
    <w:rsid w:val="00B821DD"/>
    <w:rsid w:val="00B83944"/>
    <w:rsid w:val="00B94B49"/>
    <w:rsid w:val="00BA7AF1"/>
    <w:rsid w:val="00BB03CC"/>
    <w:rsid w:val="00BB252C"/>
    <w:rsid w:val="00BB5126"/>
    <w:rsid w:val="00BB7518"/>
    <w:rsid w:val="00BC0205"/>
    <w:rsid w:val="00BC14F5"/>
    <w:rsid w:val="00BC2146"/>
    <w:rsid w:val="00BD260A"/>
    <w:rsid w:val="00BD6918"/>
    <w:rsid w:val="00BE1FC8"/>
    <w:rsid w:val="00BE439F"/>
    <w:rsid w:val="00BE5584"/>
    <w:rsid w:val="00BF1111"/>
    <w:rsid w:val="00BF3886"/>
    <w:rsid w:val="00C009AF"/>
    <w:rsid w:val="00C2005E"/>
    <w:rsid w:val="00C205E4"/>
    <w:rsid w:val="00C2782D"/>
    <w:rsid w:val="00C3040F"/>
    <w:rsid w:val="00C31708"/>
    <w:rsid w:val="00C3368F"/>
    <w:rsid w:val="00C36C15"/>
    <w:rsid w:val="00C4213A"/>
    <w:rsid w:val="00C4371A"/>
    <w:rsid w:val="00C448EE"/>
    <w:rsid w:val="00C4568B"/>
    <w:rsid w:val="00C4627A"/>
    <w:rsid w:val="00C637D1"/>
    <w:rsid w:val="00C640B8"/>
    <w:rsid w:val="00C6722B"/>
    <w:rsid w:val="00C7033B"/>
    <w:rsid w:val="00C75870"/>
    <w:rsid w:val="00C83157"/>
    <w:rsid w:val="00C927D5"/>
    <w:rsid w:val="00C93BC9"/>
    <w:rsid w:val="00CA0730"/>
    <w:rsid w:val="00CA1C04"/>
    <w:rsid w:val="00CA3808"/>
    <w:rsid w:val="00CA55E0"/>
    <w:rsid w:val="00CA592F"/>
    <w:rsid w:val="00CA5BEB"/>
    <w:rsid w:val="00CA65DD"/>
    <w:rsid w:val="00CB0E8A"/>
    <w:rsid w:val="00CB2E1E"/>
    <w:rsid w:val="00CC05B9"/>
    <w:rsid w:val="00CC2E83"/>
    <w:rsid w:val="00CC3F83"/>
    <w:rsid w:val="00CC57FC"/>
    <w:rsid w:val="00CC712D"/>
    <w:rsid w:val="00CC7DB0"/>
    <w:rsid w:val="00CD5F24"/>
    <w:rsid w:val="00CE0E18"/>
    <w:rsid w:val="00CE193A"/>
    <w:rsid w:val="00CE5ABB"/>
    <w:rsid w:val="00CE6A71"/>
    <w:rsid w:val="00CF6DF0"/>
    <w:rsid w:val="00CF7E28"/>
    <w:rsid w:val="00D02B35"/>
    <w:rsid w:val="00D06255"/>
    <w:rsid w:val="00D15D82"/>
    <w:rsid w:val="00D1705E"/>
    <w:rsid w:val="00D20E97"/>
    <w:rsid w:val="00D25602"/>
    <w:rsid w:val="00D27CF6"/>
    <w:rsid w:val="00D30BD3"/>
    <w:rsid w:val="00D33791"/>
    <w:rsid w:val="00D33BA8"/>
    <w:rsid w:val="00D33C76"/>
    <w:rsid w:val="00D364EB"/>
    <w:rsid w:val="00D36BE8"/>
    <w:rsid w:val="00D40363"/>
    <w:rsid w:val="00D451BC"/>
    <w:rsid w:val="00D51E96"/>
    <w:rsid w:val="00D568BB"/>
    <w:rsid w:val="00D63B9E"/>
    <w:rsid w:val="00D65D90"/>
    <w:rsid w:val="00D66016"/>
    <w:rsid w:val="00D769BA"/>
    <w:rsid w:val="00D8034F"/>
    <w:rsid w:val="00D81755"/>
    <w:rsid w:val="00D8617C"/>
    <w:rsid w:val="00D87D00"/>
    <w:rsid w:val="00D87E22"/>
    <w:rsid w:val="00D94E23"/>
    <w:rsid w:val="00DA1983"/>
    <w:rsid w:val="00DA2F1E"/>
    <w:rsid w:val="00DA315C"/>
    <w:rsid w:val="00DA5831"/>
    <w:rsid w:val="00DB2873"/>
    <w:rsid w:val="00DC4482"/>
    <w:rsid w:val="00DD5028"/>
    <w:rsid w:val="00DE0807"/>
    <w:rsid w:val="00DE6E8E"/>
    <w:rsid w:val="00DF1198"/>
    <w:rsid w:val="00E009CD"/>
    <w:rsid w:val="00E12082"/>
    <w:rsid w:val="00E17870"/>
    <w:rsid w:val="00E21589"/>
    <w:rsid w:val="00E24D9E"/>
    <w:rsid w:val="00E257C8"/>
    <w:rsid w:val="00E26581"/>
    <w:rsid w:val="00E2722E"/>
    <w:rsid w:val="00E31009"/>
    <w:rsid w:val="00E31AA7"/>
    <w:rsid w:val="00E3447D"/>
    <w:rsid w:val="00E431CE"/>
    <w:rsid w:val="00E445F8"/>
    <w:rsid w:val="00E503E4"/>
    <w:rsid w:val="00E557D2"/>
    <w:rsid w:val="00E55E02"/>
    <w:rsid w:val="00E571C4"/>
    <w:rsid w:val="00E63B3D"/>
    <w:rsid w:val="00E64479"/>
    <w:rsid w:val="00E67D99"/>
    <w:rsid w:val="00E75556"/>
    <w:rsid w:val="00E75EFA"/>
    <w:rsid w:val="00E76F1F"/>
    <w:rsid w:val="00E80BE2"/>
    <w:rsid w:val="00E8309D"/>
    <w:rsid w:val="00E90A9C"/>
    <w:rsid w:val="00E93036"/>
    <w:rsid w:val="00E95356"/>
    <w:rsid w:val="00E966E5"/>
    <w:rsid w:val="00EA3D96"/>
    <w:rsid w:val="00EA6B69"/>
    <w:rsid w:val="00EA6B7B"/>
    <w:rsid w:val="00EB02DE"/>
    <w:rsid w:val="00EB19ED"/>
    <w:rsid w:val="00EB25E4"/>
    <w:rsid w:val="00EB3D8B"/>
    <w:rsid w:val="00EC08E7"/>
    <w:rsid w:val="00ED1B77"/>
    <w:rsid w:val="00ED5511"/>
    <w:rsid w:val="00ED57D1"/>
    <w:rsid w:val="00EE2837"/>
    <w:rsid w:val="00EF3B7C"/>
    <w:rsid w:val="00EF56FA"/>
    <w:rsid w:val="00EF5D52"/>
    <w:rsid w:val="00EF6216"/>
    <w:rsid w:val="00EF6E42"/>
    <w:rsid w:val="00F0613C"/>
    <w:rsid w:val="00F11244"/>
    <w:rsid w:val="00F1270F"/>
    <w:rsid w:val="00F14A7B"/>
    <w:rsid w:val="00F1658B"/>
    <w:rsid w:val="00F2540D"/>
    <w:rsid w:val="00F26602"/>
    <w:rsid w:val="00F31380"/>
    <w:rsid w:val="00F333BF"/>
    <w:rsid w:val="00F34499"/>
    <w:rsid w:val="00F406E3"/>
    <w:rsid w:val="00F40C82"/>
    <w:rsid w:val="00F42AD5"/>
    <w:rsid w:val="00F5114E"/>
    <w:rsid w:val="00F53B1A"/>
    <w:rsid w:val="00F54568"/>
    <w:rsid w:val="00F57249"/>
    <w:rsid w:val="00F62DE3"/>
    <w:rsid w:val="00F77131"/>
    <w:rsid w:val="00F82A7C"/>
    <w:rsid w:val="00F85D7E"/>
    <w:rsid w:val="00FA155C"/>
    <w:rsid w:val="00FA4C13"/>
    <w:rsid w:val="00FB0F77"/>
    <w:rsid w:val="00FB345F"/>
    <w:rsid w:val="00FB4DA5"/>
    <w:rsid w:val="00FB56E0"/>
    <w:rsid w:val="00FB6FB2"/>
    <w:rsid w:val="00FC57A1"/>
    <w:rsid w:val="00FC6D26"/>
    <w:rsid w:val="00FC703D"/>
    <w:rsid w:val="00FC77AA"/>
    <w:rsid w:val="00FD2A60"/>
    <w:rsid w:val="00FD3820"/>
    <w:rsid w:val="00FD3AE6"/>
    <w:rsid w:val="00FE6E6D"/>
    <w:rsid w:val="00FF0DAE"/>
    <w:rsid w:val="00FF3092"/>
    <w:rsid w:val="00FF4B06"/>
    <w:rsid w:val="0BD00F5F"/>
    <w:rsid w:val="430540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4B597EC"/>
  <w15:docId w15:val="{A2A7A989-CD6E-491D-BDA3-2ABCE683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qFormat="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Document Map"/>
    <w:basedOn w:val="a"/>
    <w:semiHidden/>
    <w:qFormat/>
    <w:pPr>
      <w:shd w:val="clear" w:color="auto" w:fill="000080"/>
    </w:pPr>
  </w:style>
  <w:style w:type="paragraph" w:styleId="a5">
    <w:name w:val="Plain Text"/>
    <w:basedOn w:val="a"/>
    <w:link w:val="a6"/>
    <w:uiPriority w:val="99"/>
    <w:qFormat/>
    <w:rPr>
      <w:rFonts w:ascii="宋体" w:hAnsi="Courier New"/>
      <w:szCs w:val="21"/>
    </w:rPr>
  </w:style>
  <w:style w:type="paragraph" w:styleId="a7">
    <w:name w:val="Date"/>
    <w:basedOn w:val="a"/>
    <w:next w:val="a"/>
    <w:link w:val="a8"/>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qFormat/>
    <w:pPr>
      <w:snapToGrid w:val="0"/>
      <w:jc w:val="left"/>
    </w:pPr>
    <w:rPr>
      <w:sz w:val="18"/>
      <w:szCs w:val="18"/>
    </w:rPr>
  </w:style>
  <w:style w:type="paragraph" w:styleId="3">
    <w:name w:val="Body Text Indent 3"/>
    <w:basedOn w:val="a"/>
    <w:qFormat/>
    <w:pPr>
      <w:spacing w:after="120"/>
      <w:ind w:leftChars="200" w:left="420"/>
    </w:pPr>
    <w:rPr>
      <w:sz w:val="16"/>
      <w:szCs w:val="16"/>
    </w:rPr>
  </w:style>
  <w:style w:type="paragraph" w:styleId="af1">
    <w:name w:val="Normal (Web)"/>
    <w:basedOn w:val="a"/>
    <w:qFormat/>
    <w:pPr>
      <w:widowControl/>
      <w:spacing w:before="100" w:beforeAutospacing="1" w:after="100" w:afterAutospacing="1"/>
    </w:pPr>
    <w:rPr>
      <w:rFonts w:ascii="宋体" w:hAnsi="宋体"/>
      <w:kern w:val="0"/>
      <w:sz w:val="24"/>
      <w:szCs w:val="20"/>
    </w:rPr>
  </w:style>
  <w:style w:type="table" w:styleId="af2">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1"/>
    <w:uiPriority w:val="22"/>
    <w:qFormat/>
    <w:rPr>
      <w:b/>
      <w:bCs/>
    </w:rPr>
  </w:style>
  <w:style w:type="character" w:styleId="af4">
    <w:name w:val="footnote reference"/>
    <w:qFormat/>
    <w:rPr>
      <w:vertAlign w:val="superscript"/>
    </w:rPr>
  </w:style>
  <w:style w:type="paragraph" w:customStyle="1" w:styleId="Char">
    <w:name w:val="Char"/>
    <w:basedOn w:val="a"/>
    <w:qFormat/>
  </w:style>
  <w:style w:type="character" w:customStyle="1" w:styleId="a6">
    <w:name w:val="纯文本 字符"/>
    <w:link w:val="a5"/>
    <w:uiPriority w:val="99"/>
    <w:qFormat/>
    <w:rPr>
      <w:rFonts w:ascii="宋体" w:hAnsi="Courier New"/>
      <w:kern w:val="2"/>
      <w:sz w:val="21"/>
      <w:szCs w:val="21"/>
    </w:rPr>
  </w:style>
  <w:style w:type="character" w:customStyle="1" w:styleId="aa">
    <w:name w:val="批注框文本 字符"/>
    <w:basedOn w:val="a1"/>
    <w:link w:val="a9"/>
    <w:qFormat/>
    <w:rPr>
      <w:kern w:val="2"/>
      <w:sz w:val="18"/>
      <w:szCs w:val="18"/>
    </w:rPr>
  </w:style>
  <w:style w:type="paragraph" w:styleId="af5">
    <w:name w:val="List Paragraph"/>
    <w:basedOn w:val="a"/>
    <w:uiPriority w:val="34"/>
    <w:qFormat/>
    <w:pPr>
      <w:ind w:firstLineChars="200" w:firstLine="420"/>
    </w:pPr>
  </w:style>
  <w:style w:type="character" w:customStyle="1" w:styleId="ae">
    <w:name w:val="页眉 字符"/>
    <w:basedOn w:val="a1"/>
    <w:link w:val="ad"/>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8">
    <w:name w:val="日期 字符"/>
    <w:basedOn w:val="a1"/>
    <w:link w:val="a7"/>
    <w:qFormat/>
    <w:rPr>
      <w:kern w:val="2"/>
      <w:sz w:val="24"/>
    </w:rPr>
  </w:style>
  <w:style w:type="character" w:customStyle="1" w:styleId="af0">
    <w:name w:val="脚注文本 字符"/>
    <w:basedOn w:val="a1"/>
    <w:link w:val="af"/>
    <w:qFormat/>
    <w:rPr>
      <w:kern w:val="2"/>
      <w:sz w:val="18"/>
      <w:szCs w:val="18"/>
    </w:rPr>
  </w:style>
  <w:style w:type="character" w:customStyle="1" w:styleId="ac">
    <w:name w:val="页脚 字符"/>
    <w:basedOn w:val="a1"/>
    <w:link w:val="ab"/>
    <w:uiPriority w:val="99"/>
    <w:rsid w:val="00A73E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18</Pages>
  <Words>1395</Words>
  <Characters>7955</Characters>
  <Application>Microsoft Office Word</Application>
  <DocSecurity>0</DocSecurity>
  <Lines>66</Lines>
  <Paragraphs>18</Paragraphs>
  <ScaleCrop>false</ScaleCrop>
  <Company>jysld</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132</cp:revision>
  <cp:lastPrinted>2009-01-22T10:11:00Z</cp:lastPrinted>
  <dcterms:created xsi:type="dcterms:W3CDTF">2013-12-25T02:47:00Z</dcterms:created>
  <dcterms:modified xsi:type="dcterms:W3CDTF">2024-10-24T03:24:00Z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