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15C" w:rsidRDefault="00DA315C">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bookmarkStart w:id="0" w:name="_GoBack"/>
      <w:bookmarkEnd w:id="0"/>
    </w:p>
    <w:p w:rsidR="00DA315C" w:rsidRDefault="00DA315C">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DA315C" w:rsidRDefault="00DA315C">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DA315C" w:rsidRDefault="00DA315C">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DA315C" w:rsidRDefault="00CC2E83">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摩根天添盈货币市场基金</w:t>
      </w:r>
    </w:p>
    <w:p w:rsidR="00DA315C" w:rsidRDefault="00CC2E83">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2023年第2季度报告</w:t>
      </w:r>
    </w:p>
    <w:p w:rsidR="00DA315C" w:rsidRPr="004F02D6" w:rsidRDefault="00CC2E83">
      <w:pPr>
        <w:spacing w:line="360" w:lineRule="auto"/>
        <w:jc w:val="center"/>
        <w:rPr>
          <w:rFonts w:asciiTheme="minorEastAsia" w:eastAsiaTheme="minorEastAsia" w:hAnsiTheme="minorEastAsia"/>
          <w:b/>
          <w:color w:val="000000" w:themeColor="text1"/>
          <w:sz w:val="36"/>
          <w:szCs w:val="36"/>
        </w:rPr>
      </w:pPr>
      <w:r w:rsidRPr="004F02D6">
        <w:rPr>
          <w:rFonts w:asciiTheme="minorEastAsia" w:eastAsiaTheme="minorEastAsia" w:hAnsiTheme="minorEastAsia"/>
          <w:b/>
          <w:color w:val="000000" w:themeColor="text1"/>
          <w:sz w:val="36"/>
          <w:szCs w:val="36"/>
        </w:rPr>
        <w:t>2023年6月30日</w:t>
      </w: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jc w:val="center"/>
        <w:rPr>
          <w:rFonts w:asciiTheme="minorEastAsia" w:eastAsiaTheme="minorEastAsia" w:hAnsiTheme="minorEastAsia"/>
          <w:b/>
          <w:color w:val="000000" w:themeColor="text1"/>
          <w:sz w:val="24"/>
        </w:rPr>
      </w:pPr>
    </w:p>
    <w:p w:rsidR="00DA315C" w:rsidRDefault="00DA315C">
      <w:pPr>
        <w:spacing w:line="360" w:lineRule="auto"/>
        <w:rPr>
          <w:rFonts w:asciiTheme="minorEastAsia" w:eastAsiaTheme="minorEastAsia" w:hAnsiTheme="minorEastAsia"/>
          <w:b/>
          <w:color w:val="000000" w:themeColor="text1"/>
          <w:sz w:val="24"/>
        </w:rPr>
      </w:pPr>
    </w:p>
    <w:p w:rsidR="00DA315C" w:rsidRDefault="00CC2E83">
      <w:pPr>
        <w:spacing w:line="360" w:lineRule="auto"/>
        <w:ind w:firstLineChars="900" w:firstLine="2168"/>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基金管理人：</w:t>
      </w:r>
      <w:r>
        <w:rPr>
          <w:rFonts w:asciiTheme="minorEastAsia" w:eastAsiaTheme="minorEastAsia" w:hAnsiTheme="minorEastAsia"/>
          <w:b/>
          <w:color w:val="000000" w:themeColor="text1"/>
          <w:sz w:val="24"/>
        </w:rPr>
        <w:t>摩根基金管理（中国）有限公司</w:t>
      </w:r>
    </w:p>
    <w:p w:rsidR="00DA315C" w:rsidRDefault="00CC2E83">
      <w:pPr>
        <w:spacing w:line="360" w:lineRule="auto"/>
        <w:ind w:firstLineChars="900" w:firstLine="2168"/>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基金托管人：</w:t>
      </w:r>
      <w:r>
        <w:rPr>
          <w:rFonts w:asciiTheme="minorEastAsia" w:eastAsiaTheme="minorEastAsia" w:hAnsiTheme="minorEastAsia"/>
          <w:b/>
          <w:color w:val="000000" w:themeColor="text1"/>
          <w:sz w:val="24"/>
        </w:rPr>
        <w:t>中信银行股份有限公司</w:t>
      </w:r>
    </w:p>
    <w:p w:rsidR="00DA315C" w:rsidRDefault="00CC2E83">
      <w:pPr>
        <w:spacing w:line="360" w:lineRule="auto"/>
        <w:ind w:firstLineChars="900" w:firstLine="2168"/>
        <w:rPr>
          <w:rFonts w:asciiTheme="minorEastAsia" w:eastAsiaTheme="minorEastAsia" w:hAnsiTheme="minorEastAsia"/>
          <w:b/>
          <w:color w:val="000000" w:themeColor="text1"/>
          <w:sz w:val="24"/>
        </w:rPr>
        <w:sectPr w:rsidR="00DA315C">
          <w:headerReference w:type="default" r:id="rId7"/>
          <w:footerReference w:type="default" r:id="rId8"/>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rPr>
        <w:t>报告送出日期：</w:t>
      </w:r>
      <w:r>
        <w:rPr>
          <w:rFonts w:asciiTheme="minorEastAsia" w:eastAsiaTheme="minorEastAsia" w:hAnsiTheme="minorEastAsia"/>
          <w:b/>
          <w:color w:val="000000" w:themeColor="text1"/>
          <w:sz w:val="24"/>
        </w:rPr>
        <w:t>二〇二三年七月二十一日</w:t>
      </w:r>
    </w:p>
    <w:p w:rsidR="00DA315C" w:rsidRDefault="00CC2E83" w:rsidP="00EF5D52">
      <w:pPr>
        <w:pStyle w:val="1"/>
        <w:spacing w:beforeLines="200" w:before="480" w:afterLines="100" w:after="240" w:line="360" w:lineRule="auto"/>
        <w:jc w:val="center"/>
        <w:rPr>
          <w:rFonts w:asciiTheme="minorEastAsia" w:eastAsiaTheme="minorEastAsia" w:hAnsiTheme="minorEastAsia" w:cs="Arial"/>
          <w:b w:val="0"/>
          <w:color w:val="000000" w:themeColor="text1"/>
          <w:kern w:val="0"/>
          <w:sz w:val="24"/>
          <w:szCs w:val="24"/>
        </w:rPr>
      </w:pPr>
      <w:r>
        <w:rPr>
          <w:rFonts w:asciiTheme="minorEastAsia" w:eastAsiaTheme="minorEastAsia" w:hAnsiTheme="minorEastAsia" w:cs="Arial" w:hint="eastAsia"/>
          <w:color w:val="000000" w:themeColor="text1"/>
          <w:kern w:val="0"/>
          <w:sz w:val="24"/>
          <w:szCs w:val="24"/>
        </w:rPr>
        <w:lastRenderedPageBreak/>
        <w:t>§</w:t>
      </w:r>
      <w:r>
        <w:rPr>
          <w:rFonts w:asciiTheme="minorEastAsia" w:eastAsiaTheme="minorEastAsia" w:hAnsiTheme="minorEastAsia" w:cs="Arial"/>
          <w:color w:val="000000" w:themeColor="text1"/>
          <w:kern w:val="0"/>
          <w:sz w:val="24"/>
          <w:szCs w:val="24"/>
        </w:rPr>
        <w:t xml:space="preserve">1  </w:t>
      </w:r>
      <w:r>
        <w:rPr>
          <w:rFonts w:asciiTheme="minorEastAsia" w:eastAsiaTheme="minorEastAsia" w:hAnsiTheme="minorEastAsia" w:cs="Arial" w:hint="eastAsia"/>
          <w:color w:val="000000" w:themeColor="text1"/>
          <w:kern w:val="0"/>
          <w:sz w:val="24"/>
          <w:szCs w:val="24"/>
        </w:rPr>
        <w:t>重要提示</w:t>
      </w:r>
    </w:p>
    <w:p w:rsidR="00FC1011" w:rsidRDefault="00F55F5D">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基金管理人的董事会及董事保证本报告所载资料不存在虚假记载、误导性陈述或重大遗漏，并对其内容的真实性、准确性和完整性承担个别及连带责任。 </w:t>
      </w:r>
    </w:p>
    <w:p w:rsidR="00FC1011" w:rsidRDefault="00F55F5D">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基金托管人中信银行股份有限公司根据本基金合同规定，于2023年7月20日复核了本报告中的财务指标、净值表现和投资组合报告等内容，保证复核内容不存在虚假记载、误导性陈述或者重大遗漏。 </w:t>
      </w:r>
    </w:p>
    <w:p w:rsidR="00FC1011" w:rsidRDefault="00F55F5D">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基金管理人承诺以诚实信用、勤勉尽责的原则管理和运用基金资产，但不保证基金一定盈利。 </w:t>
      </w:r>
    </w:p>
    <w:p w:rsidR="00FC1011" w:rsidRDefault="00F55F5D">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基金的过往业绩并不代表其未来表现。投资有风险，投资者在作出投资决策前应仔细阅读本基金的招募说明书。 </w:t>
      </w:r>
    </w:p>
    <w:p w:rsidR="00FC1011" w:rsidRDefault="00F55F5D">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本报告中财务资料未经审计。</w:t>
      </w:r>
    </w:p>
    <w:p w:rsidR="00DA315C" w:rsidRDefault="00CC2E83">
      <w:pPr>
        <w:adjustRightInd w:val="0"/>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本报告期自2023年4月1日起至6月30日止。</w:t>
      </w:r>
    </w:p>
    <w:p w:rsidR="00DA315C" w:rsidRDefault="00CC2E83" w:rsidP="00EF5D52">
      <w:pPr>
        <w:pStyle w:val="1"/>
        <w:spacing w:beforeLines="200" w:before="480" w:afterLines="100" w:after="240"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color w:val="000000" w:themeColor="text1"/>
          <w:kern w:val="0"/>
          <w:sz w:val="24"/>
          <w:szCs w:val="24"/>
        </w:rPr>
        <w:t xml:space="preserve">2  </w:t>
      </w:r>
      <w:r>
        <w:rPr>
          <w:rFonts w:asciiTheme="minorEastAsia" w:eastAsiaTheme="minorEastAsia" w:hAnsiTheme="minorEastAsia" w:cs="Arial" w:hint="eastAsia"/>
          <w:color w:val="000000" w:themeColor="text1"/>
          <w:kern w:val="0"/>
          <w:sz w:val="24"/>
          <w:szCs w:val="24"/>
        </w:rPr>
        <w:t>基金产品概况</w:t>
      </w:r>
    </w:p>
    <w:tbl>
      <w:tblPr>
        <w:tblStyle w:val="af2"/>
        <w:tblW w:w="5000" w:type="pct"/>
        <w:tblLayout w:type="fixed"/>
        <w:tblLook w:val="04A0" w:firstRow="1" w:lastRow="0" w:firstColumn="1" w:lastColumn="0" w:noHBand="0" w:noVBand="1"/>
      </w:tblPr>
      <w:tblGrid>
        <w:gridCol w:w="2658"/>
        <w:gridCol w:w="1561"/>
        <w:gridCol w:w="1559"/>
        <w:gridCol w:w="1838"/>
        <w:gridCol w:w="1686"/>
      </w:tblGrid>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基金简称</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摩根天添盈货币</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基金主代码</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000855</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基金运作方式</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契约型开放式</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基金合同生效日</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2014年11月25日</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报告期末基金份额总额</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8,283,142,795.20</w:t>
            </w:r>
            <w:r>
              <w:rPr>
                <w:rFonts w:asciiTheme="minorEastAsia" w:eastAsiaTheme="minorEastAsia" w:hAnsiTheme="minorEastAsia" w:hint="eastAsia"/>
                <w:color w:val="000000" w:themeColor="text1"/>
                <w:kern w:val="0"/>
                <w:sz w:val="24"/>
              </w:rPr>
              <w:t>份</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投资目标</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 xml:space="preserve">在有效控制投资风险和保持较高流动性的前提下，为投资者提供资金的流动性储备，进一步优化现金管理，并力求获得高于业绩比较基准的稳定回报。 </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投资策略</w:t>
            </w:r>
          </w:p>
        </w:tc>
        <w:tc>
          <w:tcPr>
            <w:tcW w:w="3571" w:type="pct"/>
            <w:gridSpan w:val="4"/>
          </w:tcPr>
          <w:p w:rsidR="00FC1011" w:rsidRDefault="00F55F5D">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本基金将综合考虑各类可投资品种的收益性、流动性及风险性特征，对各类资产进行合理的配置和选择。在保证基金资产的安全性和流动性基础上，力争为投资者创造稳定的投资收益。</w:t>
            </w:r>
            <w:r>
              <w:rPr>
                <w:rFonts w:asciiTheme="minorEastAsia" w:eastAsiaTheme="minorEastAsia" w:hAnsiTheme="minorEastAsia"/>
                <w:color w:val="000000" w:themeColor="text1"/>
                <w:kern w:val="0"/>
                <w:sz w:val="24"/>
              </w:rPr>
              <w:lastRenderedPageBreak/>
              <w:t>本基金以短期金融工具作为投资对象，基于对各细分市场的市场规模、交易情况、各交易品种的流动性、相对收益、信用风险以及投资组合平均剩余期限要求等重要指标的分析，确定（调整）投资组合的类别资产配置比例。利率变化是影响债券价格的最重要因素，本基金将通过对国内外宏观经济走势、货币政策和财政政策、市场结构变化和短期资金供给等因素的综合分析，形成对未来货币市场利率变动的预期，并依此确定和调整组合的平均剩余期限。在个券选择层面，本基金将综合考虑安全性、流动性和收益性等因素，通过分析各个金融产品的剩余期限与收益率的配比状况、信用等级、流动性指标等因素进行证券选择，选择风险收益配比最合理的证券作为投资对象。</w:t>
            </w:r>
          </w:p>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其他投资策略：包括收益率曲线策略、流动性管理策略、息差策略、套利策略。</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lastRenderedPageBreak/>
              <w:t>业绩比较基准</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同期七天通知存款利率（税后）</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风险收益特征</w:t>
            </w:r>
          </w:p>
        </w:tc>
        <w:tc>
          <w:tcPr>
            <w:tcW w:w="3571" w:type="pct"/>
            <w:gridSpan w:val="4"/>
          </w:tcPr>
          <w:p w:rsidR="00FC1011" w:rsidRDefault="00F55F5D">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本基金为货币市场基金，是证券投资基金中的低风险品种。本基金的风险和预期收益低于股票型基金、混合型基金和债券型基金。</w:t>
            </w:r>
          </w:p>
          <w:p w:rsidR="00DA315C" w:rsidRDefault="00CC2E83">
            <w:pPr>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基金管理人</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摩根基金管理（中国）有限公司</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基金托管人</w:t>
            </w:r>
          </w:p>
        </w:tc>
        <w:tc>
          <w:tcPr>
            <w:tcW w:w="3571" w:type="pct"/>
            <w:gridSpan w:val="4"/>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kern w:val="0"/>
                <w:sz w:val="24"/>
              </w:rPr>
              <w:t>中信银行股份有限公司</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s="宋体"/>
                <w:color w:val="000000" w:themeColor="text1"/>
                <w:kern w:val="0"/>
                <w:sz w:val="24"/>
              </w:rPr>
            </w:pPr>
            <w:r>
              <w:rPr>
                <w:rFonts w:asciiTheme="minorEastAsia" w:eastAsiaTheme="minorEastAsia" w:hAnsiTheme="minorEastAsia" w:hint="eastAsia"/>
                <w:color w:val="000000" w:themeColor="text1"/>
                <w:sz w:val="24"/>
              </w:rPr>
              <w:t>下属四级基金的基金简</w:t>
            </w:r>
            <w:r>
              <w:rPr>
                <w:rFonts w:asciiTheme="minorEastAsia" w:eastAsiaTheme="minorEastAsia" w:hAnsiTheme="minorEastAsia" w:hint="eastAsia"/>
                <w:color w:val="000000" w:themeColor="text1"/>
                <w:sz w:val="24"/>
              </w:rPr>
              <w:lastRenderedPageBreak/>
              <w:t>称</w:t>
            </w:r>
          </w:p>
        </w:tc>
        <w:tc>
          <w:tcPr>
            <w:tcW w:w="839" w:type="pct"/>
            <w:vAlign w:val="center"/>
          </w:tcPr>
          <w:p w:rsidR="00DA315C" w:rsidRDefault="00CC2E83">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color w:val="000000" w:themeColor="text1"/>
                <w:sz w:val="24"/>
              </w:rPr>
              <w:lastRenderedPageBreak/>
              <w:t>摩根天添盈</w:t>
            </w:r>
            <w:r>
              <w:rPr>
                <w:rFonts w:asciiTheme="minorEastAsia" w:eastAsiaTheme="minorEastAsia" w:hAnsiTheme="minorEastAsia"/>
                <w:color w:val="000000" w:themeColor="text1"/>
                <w:sz w:val="24"/>
              </w:rPr>
              <w:lastRenderedPageBreak/>
              <w:t>货币A类</w:t>
            </w:r>
          </w:p>
        </w:tc>
        <w:tc>
          <w:tcPr>
            <w:tcW w:w="838"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lastRenderedPageBreak/>
              <w:t>摩根天添盈</w:t>
            </w:r>
            <w:r>
              <w:rPr>
                <w:rFonts w:asciiTheme="minorEastAsia" w:eastAsiaTheme="minorEastAsia" w:hAnsiTheme="minorEastAsia" w:hint="eastAsia"/>
                <w:color w:val="000000" w:themeColor="text1"/>
                <w:sz w:val="24"/>
              </w:rPr>
              <w:lastRenderedPageBreak/>
              <w:t>货币B类</w:t>
            </w:r>
          </w:p>
        </w:tc>
        <w:tc>
          <w:tcPr>
            <w:tcW w:w="988"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lastRenderedPageBreak/>
              <w:t>摩根天添盈货</w:t>
            </w:r>
            <w:r>
              <w:rPr>
                <w:rFonts w:asciiTheme="minorEastAsia" w:eastAsiaTheme="minorEastAsia" w:hAnsiTheme="minorEastAsia" w:hint="eastAsia"/>
                <w:color w:val="000000" w:themeColor="text1"/>
                <w:sz w:val="24"/>
              </w:rPr>
              <w:lastRenderedPageBreak/>
              <w:t>币E类</w:t>
            </w:r>
          </w:p>
        </w:tc>
        <w:tc>
          <w:tcPr>
            <w:tcW w:w="906"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lastRenderedPageBreak/>
              <w:t>摩根天添盈货</w:t>
            </w:r>
            <w:r>
              <w:rPr>
                <w:rFonts w:asciiTheme="minorEastAsia" w:eastAsiaTheme="minorEastAsia" w:hAnsiTheme="minorEastAsia" w:hint="eastAsia"/>
                <w:color w:val="000000" w:themeColor="text1"/>
                <w:sz w:val="24"/>
              </w:rPr>
              <w:lastRenderedPageBreak/>
              <w:t>币C类</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下属四级基金的交易代码</w:t>
            </w:r>
          </w:p>
        </w:tc>
        <w:tc>
          <w:tcPr>
            <w:tcW w:w="839" w:type="pct"/>
            <w:vAlign w:val="center"/>
          </w:tcPr>
          <w:p w:rsidR="00DA315C" w:rsidRDefault="00CC2E83">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000855</w:t>
            </w:r>
          </w:p>
        </w:tc>
        <w:tc>
          <w:tcPr>
            <w:tcW w:w="838"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000856</w:t>
            </w:r>
          </w:p>
        </w:tc>
        <w:tc>
          <w:tcPr>
            <w:tcW w:w="988"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000857</w:t>
            </w:r>
          </w:p>
        </w:tc>
        <w:tc>
          <w:tcPr>
            <w:tcW w:w="906"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017010</w:t>
            </w:r>
          </w:p>
        </w:tc>
      </w:tr>
      <w:tr w:rsidR="00DA315C">
        <w:tc>
          <w:tcPr>
            <w:tcW w:w="1429" w:type="pct"/>
          </w:tcPr>
          <w:p w:rsidR="00DA315C" w:rsidRDefault="00CC2E83">
            <w:pPr>
              <w:adjustRightInd w:val="0"/>
              <w:spacing w:before="29" w:line="360" w:lineRule="auto"/>
              <w:ind w:left="17"/>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报告期末下属四级基金的份额总额</w:t>
            </w:r>
          </w:p>
        </w:tc>
        <w:tc>
          <w:tcPr>
            <w:tcW w:w="839" w:type="pct"/>
            <w:vAlign w:val="center"/>
          </w:tcPr>
          <w:p w:rsidR="00DA315C" w:rsidRDefault="00CC2E83">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color w:val="000000" w:themeColor="text1"/>
                <w:sz w:val="24"/>
              </w:rPr>
              <w:t>5,321,422,574.64</w:t>
            </w:r>
            <w:r>
              <w:rPr>
                <w:rFonts w:asciiTheme="minorEastAsia" w:eastAsiaTheme="minorEastAsia" w:hAnsiTheme="minorEastAsia" w:hint="eastAsia"/>
                <w:color w:val="000000" w:themeColor="text1"/>
                <w:sz w:val="24"/>
              </w:rPr>
              <w:t>份</w:t>
            </w:r>
          </w:p>
        </w:tc>
        <w:tc>
          <w:tcPr>
            <w:tcW w:w="838"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w:t>
            </w:r>
            <w:r w:rsidR="00CC2E83">
              <w:rPr>
                <w:rFonts w:asciiTheme="minorEastAsia" w:eastAsiaTheme="minorEastAsia" w:hAnsiTheme="minorEastAsia" w:hint="eastAsia"/>
                <w:color w:val="000000" w:themeColor="text1"/>
                <w:sz w:val="24"/>
              </w:rPr>
              <w:t>份</w:t>
            </w:r>
          </w:p>
        </w:tc>
        <w:tc>
          <w:tcPr>
            <w:tcW w:w="988"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2,961,617,782.42</w:t>
            </w:r>
            <w:r w:rsidR="00CC2E83">
              <w:rPr>
                <w:rFonts w:asciiTheme="minorEastAsia" w:eastAsiaTheme="minorEastAsia" w:hAnsiTheme="minorEastAsia" w:hint="eastAsia"/>
                <w:color w:val="000000" w:themeColor="text1"/>
                <w:sz w:val="24"/>
              </w:rPr>
              <w:t>份</w:t>
            </w:r>
          </w:p>
        </w:tc>
        <w:tc>
          <w:tcPr>
            <w:tcW w:w="906" w:type="pct"/>
            <w:vAlign w:val="center"/>
          </w:tcPr>
          <w:p w:rsidR="00DA315C" w:rsidRDefault="00050540">
            <w:pPr>
              <w:spacing w:line="360" w:lineRule="auto"/>
              <w:jc w:val="lef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102,438.14</w:t>
            </w:r>
            <w:r w:rsidR="00CC2E83">
              <w:rPr>
                <w:rFonts w:asciiTheme="minorEastAsia" w:eastAsiaTheme="minorEastAsia" w:hAnsiTheme="minorEastAsia" w:hint="eastAsia"/>
                <w:color w:val="000000" w:themeColor="text1"/>
                <w:sz w:val="24"/>
              </w:rPr>
              <w:t>份</w:t>
            </w:r>
          </w:p>
        </w:tc>
      </w:tr>
    </w:tbl>
    <w:p w:rsidR="00DA315C" w:rsidRDefault="00CC2E83" w:rsidP="00EF5D52">
      <w:pPr>
        <w:pStyle w:val="1"/>
        <w:spacing w:beforeLines="200" w:before="480" w:afterLines="100" w:after="240"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color w:val="000000" w:themeColor="text1"/>
          <w:kern w:val="0"/>
          <w:sz w:val="24"/>
          <w:szCs w:val="24"/>
        </w:rPr>
        <w:t xml:space="preserve">3  </w:t>
      </w:r>
      <w:r>
        <w:rPr>
          <w:rFonts w:asciiTheme="minorEastAsia" w:eastAsiaTheme="minorEastAsia" w:hAnsiTheme="minorEastAsia" w:cs="Arial" w:hint="eastAsia"/>
          <w:color w:val="000000" w:themeColor="text1"/>
          <w:kern w:val="0"/>
          <w:sz w:val="24"/>
          <w:szCs w:val="24"/>
        </w:rPr>
        <w:t>主要财务指标和基金净值表现</w:t>
      </w:r>
    </w:p>
    <w:p w:rsidR="00DA315C" w:rsidRDefault="00CC2E83" w:rsidP="00FC703D">
      <w:pPr>
        <w:spacing w:beforeLines="50" w:before="12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3.1 </w:t>
      </w:r>
      <w:r>
        <w:rPr>
          <w:rFonts w:asciiTheme="minorEastAsia" w:eastAsiaTheme="minorEastAsia" w:hAnsiTheme="minorEastAsia" w:cs="Arial" w:hint="eastAsia"/>
          <w:b/>
          <w:color w:val="000000" w:themeColor="text1"/>
          <w:kern w:val="0"/>
          <w:sz w:val="24"/>
        </w:rPr>
        <w:t>主要财务指标</w:t>
      </w:r>
    </w:p>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单位：人民币元</w:t>
      </w:r>
    </w:p>
    <w:tbl>
      <w:tblPr>
        <w:tblStyle w:val="af2"/>
        <w:tblW w:w="0" w:type="auto"/>
        <w:tblLayout w:type="fixed"/>
        <w:tblLook w:val="04A0" w:firstRow="1" w:lastRow="0" w:firstColumn="1" w:lastColumn="0" w:noHBand="0" w:noVBand="1"/>
      </w:tblPr>
      <w:tblGrid>
        <w:gridCol w:w="2235"/>
        <w:gridCol w:w="1701"/>
        <w:gridCol w:w="1701"/>
        <w:gridCol w:w="1804"/>
        <w:gridCol w:w="1861"/>
      </w:tblGrid>
      <w:tr w:rsidR="00DA315C" w:rsidTr="000E6158">
        <w:tc>
          <w:tcPr>
            <w:tcW w:w="2235" w:type="dxa"/>
            <w:vMerge w:val="restart"/>
          </w:tcPr>
          <w:p w:rsidR="00DA315C" w:rsidRDefault="00CC2E83">
            <w:pPr>
              <w:autoSpaceDE w:val="0"/>
              <w:autoSpaceDN w:val="0"/>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kern w:val="0"/>
                <w:sz w:val="24"/>
              </w:rPr>
              <w:t>主要财务指标</w:t>
            </w:r>
          </w:p>
        </w:tc>
        <w:tc>
          <w:tcPr>
            <w:tcW w:w="7067" w:type="dxa"/>
            <w:gridSpan w:val="4"/>
          </w:tcPr>
          <w:p w:rsidR="00DA315C" w:rsidRDefault="00CC2E83">
            <w:pPr>
              <w:autoSpaceDE w:val="0"/>
              <w:autoSpaceDN w:val="0"/>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报告期(</w:t>
            </w:r>
            <w:r>
              <w:rPr>
                <w:rFonts w:asciiTheme="minorEastAsia" w:eastAsiaTheme="minorEastAsia" w:hAnsiTheme="minorEastAsia" w:cs="宋体"/>
                <w:color w:val="000000" w:themeColor="text1"/>
                <w:sz w:val="24"/>
              </w:rPr>
              <w:t>2023年4月1日-2023年6月30日</w:t>
            </w:r>
            <w:r>
              <w:rPr>
                <w:rFonts w:asciiTheme="minorEastAsia" w:eastAsiaTheme="minorEastAsia" w:hAnsiTheme="minorEastAsia" w:cs="宋体" w:hint="eastAsia"/>
                <w:color w:val="000000" w:themeColor="text1"/>
                <w:sz w:val="24"/>
              </w:rPr>
              <w:t>)</w:t>
            </w:r>
          </w:p>
        </w:tc>
      </w:tr>
      <w:tr w:rsidR="00DA315C" w:rsidTr="00CB2E1E">
        <w:tc>
          <w:tcPr>
            <w:tcW w:w="2235" w:type="dxa"/>
            <w:vMerge/>
          </w:tcPr>
          <w:p w:rsidR="00DA315C" w:rsidRDefault="00DA315C">
            <w:pPr>
              <w:autoSpaceDE w:val="0"/>
              <w:autoSpaceDN w:val="0"/>
              <w:spacing w:line="360" w:lineRule="auto"/>
              <w:rPr>
                <w:rFonts w:asciiTheme="minorEastAsia" w:eastAsiaTheme="minorEastAsia" w:hAnsiTheme="minorEastAsia"/>
                <w:color w:val="000000" w:themeColor="text1"/>
                <w:sz w:val="24"/>
              </w:rPr>
            </w:pPr>
          </w:p>
        </w:tc>
        <w:tc>
          <w:tcPr>
            <w:tcW w:w="1701" w:type="dxa"/>
            <w:vAlign w:val="center"/>
          </w:tcPr>
          <w:p w:rsidR="00DA315C" w:rsidRDefault="00CC2E83">
            <w:pPr>
              <w:adjustRightInd w:val="0"/>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olor w:val="000000" w:themeColor="text1"/>
                <w:sz w:val="24"/>
              </w:rPr>
              <w:t>摩根天添盈货币A类</w:t>
            </w:r>
          </w:p>
        </w:tc>
        <w:tc>
          <w:tcPr>
            <w:tcW w:w="1701" w:type="dxa"/>
            <w:vAlign w:val="center"/>
          </w:tcPr>
          <w:p w:rsidR="00DA315C" w:rsidRDefault="00050540">
            <w:pPr>
              <w:adjustRightInd w:val="0"/>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摩根天添盈货币B类</w:t>
            </w:r>
          </w:p>
        </w:tc>
        <w:tc>
          <w:tcPr>
            <w:tcW w:w="1804" w:type="dxa"/>
            <w:vAlign w:val="center"/>
          </w:tcPr>
          <w:p w:rsidR="00DA315C" w:rsidRDefault="00050540">
            <w:pPr>
              <w:adjustRightInd w:val="0"/>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摩根天添盈货币E类</w:t>
            </w:r>
          </w:p>
        </w:tc>
        <w:tc>
          <w:tcPr>
            <w:tcW w:w="1861" w:type="dxa"/>
            <w:vAlign w:val="center"/>
          </w:tcPr>
          <w:p w:rsidR="00DA315C" w:rsidRDefault="00050540">
            <w:pPr>
              <w:adjustRightInd w:val="0"/>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摩根天添盈货币C类</w:t>
            </w:r>
          </w:p>
        </w:tc>
      </w:tr>
      <w:tr w:rsidR="00DA315C" w:rsidTr="00CB2E1E">
        <w:tc>
          <w:tcPr>
            <w:tcW w:w="2235" w:type="dxa"/>
            <w:vAlign w:val="center"/>
          </w:tcPr>
          <w:p w:rsidR="00DA315C" w:rsidRDefault="00CC2E83" w:rsidP="00525B26">
            <w:pPr>
              <w:adjustRightInd w:val="0"/>
              <w:spacing w:before="29" w:line="360" w:lineRule="auto"/>
              <w:ind w:left="17"/>
              <w:rPr>
                <w:rFonts w:asciiTheme="minorEastAsia" w:eastAsiaTheme="minorEastAsia" w:hAnsiTheme="minorEastAsia"/>
                <w:color w:val="000000" w:themeColor="text1"/>
                <w:kern w:val="0"/>
                <w:sz w:val="24"/>
              </w:rPr>
            </w:pPr>
            <w:r>
              <w:rPr>
                <w:rFonts w:asciiTheme="minorEastAsia" w:eastAsiaTheme="minorEastAsia" w:hAnsiTheme="minorEastAsia" w:cs="方正仿宋简体"/>
                <w:color w:val="000000" w:themeColor="text1"/>
                <w:kern w:val="0"/>
                <w:sz w:val="24"/>
              </w:rPr>
              <w:t>1.</w:t>
            </w:r>
            <w:r>
              <w:rPr>
                <w:rFonts w:asciiTheme="minorEastAsia" w:eastAsiaTheme="minorEastAsia" w:hAnsiTheme="minorEastAsia" w:cs="宋体" w:hint="eastAsia"/>
                <w:color w:val="000000" w:themeColor="text1"/>
                <w:kern w:val="0"/>
                <w:sz w:val="24"/>
              </w:rPr>
              <w:t>本期已实现收益</w:t>
            </w:r>
          </w:p>
        </w:tc>
        <w:tc>
          <w:tcPr>
            <w:tcW w:w="1701" w:type="dxa"/>
            <w:vAlign w:val="center"/>
          </w:tcPr>
          <w:p w:rsidR="00DA315C" w:rsidRDefault="00CC2E83"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23,009,137.51</w:t>
            </w:r>
          </w:p>
        </w:tc>
        <w:tc>
          <w:tcPr>
            <w:tcW w:w="1701"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04"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16,562,330.82</w:t>
            </w:r>
          </w:p>
        </w:tc>
        <w:tc>
          <w:tcPr>
            <w:tcW w:w="1861"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766.53</w:t>
            </w:r>
          </w:p>
        </w:tc>
      </w:tr>
      <w:tr w:rsidR="00DA315C" w:rsidTr="00CB2E1E">
        <w:tc>
          <w:tcPr>
            <w:tcW w:w="2235" w:type="dxa"/>
            <w:vAlign w:val="center"/>
          </w:tcPr>
          <w:p w:rsidR="00DA315C" w:rsidRDefault="00CC2E83" w:rsidP="00525B26">
            <w:pPr>
              <w:adjustRightInd w:val="0"/>
              <w:spacing w:before="29" w:line="360" w:lineRule="auto"/>
              <w:ind w:left="17"/>
              <w:rPr>
                <w:rFonts w:asciiTheme="minorEastAsia" w:eastAsiaTheme="minorEastAsia" w:hAnsiTheme="minorEastAsia"/>
                <w:color w:val="000000" w:themeColor="text1"/>
                <w:kern w:val="0"/>
                <w:sz w:val="24"/>
              </w:rPr>
            </w:pPr>
            <w:r>
              <w:rPr>
                <w:rFonts w:asciiTheme="minorEastAsia" w:eastAsiaTheme="minorEastAsia" w:hAnsiTheme="minorEastAsia" w:cs="方正仿宋简体"/>
                <w:color w:val="000000" w:themeColor="text1"/>
                <w:kern w:val="0"/>
                <w:sz w:val="24"/>
              </w:rPr>
              <w:t>2.</w:t>
            </w:r>
            <w:r>
              <w:rPr>
                <w:rFonts w:asciiTheme="minorEastAsia" w:eastAsiaTheme="minorEastAsia" w:hAnsiTheme="minorEastAsia" w:cs="宋体" w:hint="eastAsia"/>
                <w:color w:val="000000" w:themeColor="text1"/>
                <w:kern w:val="0"/>
                <w:sz w:val="24"/>
              </w:rPr>
              <w:t>本期利润</w:t>
            </w:r>
          </w:p>
        </w:tc>
        <w:tc>
          <w:tcPr>
            <w:tcW w:w="1701" w:type="dxa"/>
            <w:vAlign w:val="center"/>
          </w:tcPr>
          <w:p w:rsidR="00DA315C" w:rsidRDefault="00CC2E83"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23,009,137.51</w:t>
            </w:r>
          </w:p>
        </w:tc>
        <w:tc>
          <w:tcPr>
            <w:tcW w:w="1701"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04"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16,562,330.82</w:t>
            </w:r>
          </w:p>
        </w:tc>
        <w:tc>
          <w:tcPr>
            <w:tcW w:w="1861"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766.53</w:t>
            </w:r>
          </w:p>
        </w:tc>
      </w:tr>
      <w:tr w:rsidR="00DA315C" w:rsidTr="00CB2E1E">
        <w:tc>
          <w:tcPr>
            <w:tcW w:w="2235" w:type="dxa"/>
            <w:vAlign w:val="center"/>
          </w:tcPr>
          <w:p w:rsidR="00DA315C" w:rsidRDefault="00CC2E83" w:rsidP="00525B26">
            <w:pPr>
              <w:adjustRightInd w:val="0"/>
              <w:spacing w:before="29" w:line="360" w:lineRule="auto"/>
              <w:ind w:left="17"/>
              <w:rPr>
                <w:rFonts w:asciiTheme="minorEastAsia" w:eastAsiaTheme="minorEastAsia" w:hAnsiTheme="minorEastAsia"/>
                <w:color w:val="000000" w:themeColor="text1"/>
                <w:kern w:val="0"/>
                <w:sz w:val="24"/>
              </w:rPr>
            </w:pPr>
            <w:r>
              <w:rPr>
                <w:rFonts w:asciiTheme="minorEastAsia" w:eastAsiaTheme="minorEastAsia" w:hAnsiTheme="minorEastAsia" w:cs="方正仿宋简体" w:hint="eastAsia"/>
                <w:color w:val="000000" w:themeColor="text1"/>
                <w:kern w:val="0"/>
                <w:sz w:val="24"/>
              </w:rPr>
              <w:t>3</w:t>
            </w:r>
            <w:r>
              <w:rPr>
                <w:rFonts w:asciiTheme="minorEastAsia" w:eastAsiaTheme="minorEastAsia" w:hAnsiTheme="minorEastAsia" w:cs="方正仿宋简体"/>
                <w:color w:val="000000" w:themeColor="text1"/>
                <w:kern w:val="0"/>
                <w:sz w:val="24"/>
              </w:rPr>
              <w:t>.</w:t>
            </w:r>
            <w:r>
              <w:rPr>
                <w:rFonts w:asciiTheme="minorEastAsia" w:eastAsiaTheme="minorEastAsia" w:hAnsiTheme="minorEastAsia" w:cs="宋体" w:hint="eastAsia"/>
                <w:color w:val="000000" w:themeColor="text1"/>
                <w:kern w:val="0"/>
                <w:sz w:val="24"/>
              </w:rPr>
              <w:t>期末基金资产净值</w:t>
            </w:r>
          </w:p>
        </w:tc>
        <w:tc>
          <w:tcPr>
            <w:tcW w:w="1701" w:type="dxa"/>
            <w:vAlign w:val="center"/>
          </w:tcPr>
          <w:p w:rsidR="00DA315C" w:rsidRDefault="00CC2E83"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5,321,422,574.64</w:t>
            </w:r>
          </w:p>
        </w:tc>
        <w:tc>
          <w:tcPr>
            <w:tcW w:w="1701"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04"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2,961,617,782.42</w:t>
            </w:r>
          </w:p>
        </w:tc>
        <w:tc>
          <w:tcPr>
            <w:tcW w:w="1861" w:type="dxa"/>
            <w:vAlign w:val="center"/>
          </w:tcPr>
          <w:p w:rsidR="00DA315C" w:rsidRDefault="00050540" w:rsidP="00525B26">
            <w:pPr>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102,438.14</w:t>
            </w:r>
          </w:p>
        </w:tc>
      </w:tr>
    </w:tbl>
    <w:p w:rsidR="00FC1011" w:rsidRDefault="00F55F5D">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注：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DA315C" w:rsidRDefault="00CC2E83" w:rsidP="00FB6FB2">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上述基金业绩指标不包括交易基金的各项费用（例如基金转换费等），计入费用后实际收益水平要低于所列数字。</w:t>
      </w:r>
    </w:p>
    <w:p w:rsidR="00DA315C" w:rsidRDefault="00CC2E83" w:rsidP="00FC703D">
      <w:pPr>
        <w:spacing w:beforeLines="50" w:before="12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3.2 </w:t>
      </w:r>
      <w:r>
        <w:rPr>
          <w:rFonts w:asciiTheme="minorEastAsia" w:eastAsiaTheme="minorEastAsia" w:hAnsiTheme="minorEastAsia" w:cs="Arial" w:hint="eastAsia"/>
          <w:b/>
          <w:color w:val="000000" w:themeColor="text1"/>
          <w:kern w:val="0"/>
          <w:sz w:val="24"/>
        </w:rPr>
        <w:t>基金净值表现</w:t>
      </w:r>
    </w:p>
    <w:p w:rsidR="00DA315C" w:rsidRDefault="00CC2E83" w:rsidP="00FC703D">
      <w:pPr>
        <w:spacing w:beforeLines="50" w:before="12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3.2.1 </w:t>
      </w:r>
      <w:r>
        <w:rPr>
          <w:rFonts w:asciiTheme="minorEastAsia" w:eastAsiaTheme="minorEastAsia" w:hAnsiTheme="minorEastAsia" w:cs="Arial" w:hint="eastAsia"/>
          <w:b/>
          <w:color w:val="000000" w:themeColor="text1"/>
          <w:kern w:val="0"/>
          <w:sz w:val="24"/>
        </w:rPr>
        <w:t>基金份额净值收益率及其与同期业绩比较基准收益率的比较</w:t>
      </w:r>
    </w:p>
    <w:p w:rsidR="00DA315C" w:rsidRDefault="00CC2E83" w:rsidP="00FC703D">
      <w:pPr>
        <w:pStyle w:val="20"/>
        <w:spacing w:beforeLines="50" w:before="120" w:line="360" w:lineRule="auto"/>
        <w:ind w:firstLineChars="0" w:firstLine="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lastRenderedPageBreak/>
        <w:t>1、摩根天添盈货币A类:</w:t>
      </w:r>
    </w:p>
    <w:tbl>
      <w:tblPr>
        <w:tblStyle w:val="af2"/>
        <w:tblW w:w="0" w:type="auto"/>
        <w:tblLayout w:type="fixed"/>
        <w:tblLook w:val="04A0" w:firstRow="1" w:lastRow="0" w:firstColumn="1" w:lastColumn="0" w:noHBand="0" w:noVBand="1"/>
      </w:tblPr>
      <w:tblGrid>
        <w:gridCol w:w="1328"/>
        <w:gridCol w:w="1329"/>
        <w:gridCol w:w="1329"/>
        <w:gridCol w:w="1329"/>
        <w:gridCol w:w="1329"/>
        <w:gridCol w:w="1329"/>
        <w:gridCol w:w="1329"/>
      </w:tblGrid>
      <w:tr w:rsidR="00DA315C">
        <w:tc>
          <w:tcPr>
            <w:tcW w:w="1328"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阶段</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净值收益率①</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净值收益率标准差②</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业绩比较基准收益率③</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业绩比较基准收益率标准差④</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①-③</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②-④</w:t>
            </w:r>
          </w:p>
        </w:tc>
      </w:tr>
      <w:tr w:rsidR="00FC1011">
        <w:tc>
          <w:tcPr>
            <w:tcW w:w="1328" w:type="dxa"/>
            <w:vAlign w:val="center"/>
          </w:tcPr>
          <w:p w:rsidR="00FC1011" w:rsidRDefault="00F55F5D">
            <w:pPr>
              <w:jc w:val="left"/>
            </w:pPr>
            <w:r>
              <w:rPr>
                <w:rFonts w:asciiTheme="minorEastAsia" w:eastAsiaTheme="minorEastAsia" w:hAnsiTheme="minorEastAsia"/>
                <w:color w:val="000000" w:themeColor="text1"/>
              </w:rPr>
              <w:t>过去三个月</w:t>
            </w:r>
          </w:p>
        </w:tc>
        <w:tc>
          <w:tcPr>
            <w:tcW w:w="1329" w:type="dxa"/>
            <w:vAlign w:val="center"/>
          </w:tcPr>
          <w:p w:rsidR="00FC1011" w:rsidRDefault="00F55F5D">
            <w:pPr>
              <w:jc w:val="center"/>
            </w:pPr>
            <w:r>
              <w:rPr>
                <w:rFonts w:asciiTheme="minorEastAsia" w:eastAsiaTheme="minorEastAsia" w:hAnsiTheme="minorEastAsia"/>
                <w:color w:val="000000" w:themeColor="text1"/>
              </w:rPr>
              <w:t>0.4389%</w:t>
            </w:r>
          </w:p>
        </w:tc>
        <w:tc>
          <w:tcPr>
            <w:tcW w:w="1329" w:type="dxa"/>
            <w:vAlign w:val="center"/>
          </w:tcPr>
          <w:p w:rsidR="00FC1011" w:rsidRDefault="00F55F5D">
            <w:pPr>
              <w:jc w:val="center"/>
            </w:pPr>
            <w:r>
              <w:rPr>
                <w:rFonts w:asciiTheme="minorEastAsia" w:eastAsiaTheme="minorEastAsia" w:hAnsiTheme="minorEastAsia"/>
                <w:color w:val="000000" w:themeColor="text1"/>
              </w:rPr>
              <w:t>0.0005%</w:t>
            </w:r>
          </w:p>
        </w:tc>
        <w:tc>
          <w:tcPr>
            <w:tcW w:w="1329" w:type="dxa"/>
            <w:vAlign w:val="center"/>
          </w:tcPr>
          <w:p w:rsidR="00FC1011" w:rsidRDefault="00F55F5D">
            <w:pPr>
              <w:jc w:val="center"/>
            </w:pPr>
            <w:r>
              <w:rPr>
                <w:rFonts w:asciiTheme="minorEastAsia" w:eastAsiaTheme="minorEastAsia" w:hAnsiTheme="minorEastAsia"/>
                <w:color w:val="000000" w:themeColor="text1"/>
              </w:rPr>
              <w:t>0.3366%</w:t>
            </w:r>
          </w:p>
        </w:tc>
        <w:tc>
          <w:tcPr>
            <w:tcW w:w="1329" w:type="dxa"/>
            <w:vAlign w:val="center"/>
          </w:tcPr>
          <w:p w:rsidR="00FC1011" w:rsidRDefault="00F55F5D">
            <w:pPr>
              <w:jc w:val="center"/>
            </w:pPr>
            <w:r>
              <w:rPr>
                <w:rFonts w:asciiTheme="minorEastAsia" w:eastAsiaTheme="minorEastAsia" w:hAnsiTheme="minorEastAsia"/>
                <w:color w:val="000000" w:themeColor="text1"/>
              </w:rPr>
              <w:t>0.0000%</w:t>
            </w:r>
          </w:p>
        </w:tc>
        <w:tc>
          <w:tcPr>
            <w:tcW w:w="1329" w:type="dxa"/>
            <w:vAlign w:val="center"/>
          </w:tcPr>
          <w:p w:rsidR="00FC1011" w:rsidRDefault="00F55F5D">
            <w:pPr>
              <w:jc w:val="center"/>
            </w:pPr>
            <w:r>
              <w:rPr>
                <w:rFonts w:asciiTheme="minorEastAsia" w:eastAsiaTheme="minorEastAsia" w:hAnsiTheme="minorEastAsia"/>
                <w:color w:val="000000" w:themeColor="text1"/>
              </w:rPr>
              <w:t>0.1023%</w:t>
            </w:r>
          </w:p>
        </w:tc>
        <w:tc>
          <w:tcPr>
            <w:tcW w:w="1329" w:type="dxa"/>
            <w:vAlign w:val="center"/>
          </w:tcPr>
          <w:p w:rsidR="00FC1011" w:rsidRDefault="00F55F5D">
            <w:pPr>
              <w:jc w:val="center"/>
            </w:pPr>
            <w:r>
              <w:rPr>
                <w:rFonts w:asciiTheme="minorEastAsia" w:eastAsiaTheme="minorEastAsia" w:hAnsiTheme="minorEastAsia"/>
                <w:color w:val="000000" w:themeColor="text1"/>
              </w:rPr>
              <w:t>0.0005%</w:t>
            </w:r>
          </w:p>
        </w:tc>
      </w:tr>
      <w:tr w:rsidR="00FC1011">
        <w:tc>
          <w:tcPr>
            <w:tcW w:w="1328" w:type="dxa"/>
            <w:vAlign w:val="center"/>
          </w:tcPr>
          <w:p w:rsidR="00FC1011" w:rsidRDefault="00F55F5D">
            <w:pPr>
              <w:jc w:val="left"/>
            </w:pPr>
            <w:r>
              <w:rPr>
                <w:rFonts w:asciiTheme="minorEastAsia" w:eastAsiaTheme="minorEastAsia" w:hAnsiTheme="minorEastAsia"/>
                <w:color w:val="000000" w:themeColor="text1"/>
              </w:rPr>
              <w:t>过去六个月</w:t>
            </w:r>
          </w:p>
        </w:tc>
        <w:tc>
          <w:tcPr>
            <w:tcW w:w="1329" w:type="dxa"/>
            <w:vAlign w:val="center"/>
          </w:tcPr>
          <w:p w:rsidR="00FC1011" w:rsidRDefault="00F55F5D">
            <w:pPr>
              <w:jc w:val="center"/>
            </w:pPr>
            <w:r>
              <w:rPr>
                <w:rFonts w:asciiTheme="minorEastAsia" w:eastAsiaTheme="minorEastAsia" w:hAnsiTheme="minorEastAsia"/>
                <w:color w:val="000000" w:themeColor="text1"/>
              </w:rPr>
              <w:t>0.8485%</w:t>
            </w:r>
          </w:p>
        </w:tc>
        <w:tc>
          <w:tcPr>
            <w:tcW w:w="1329" w:type="dxa"/>
            <w:vAlign w:val="center"/>
          </w:tcPr>
          <w:p w:rsidR="00FC1011" w:rsidRDefault="00F55F5D">
            <w:pPr>
              <w:jc w:val="center"/>
            </w:pPr>
            <w:r>
              <w:rPr>
                <w:rFonts w:asciiTheme="minorEastAsia" w:eastAsiaTheme="minorEastAsia" w:hAnsiTheme="minorEastAsia"/>
                <w:color w:val="000000" w:themeColor="text1"/>
              </w:rPr>
              <w:t>0.0004%</w:t>
            </w:r>
          </w:p>
        </w:tc>
        <w:tc>
          <w:tcPr>
            <w:tcW w:w="1329" w:type="dxa"/>
            <w:vAlign w:val="center"/>
          </w:tcPr>
          <w:p w:rsidR="00FC1011" w:rsidRDefault="00F55F5D">
            <w:pPr>
              <w:jc w:val="center"/>
            </w:pPr>
            <w:r>
              <w:rPr>
                <w:rFonts w:asciiTheme="minorEastAsia" w:eastAsiaTheme="minorEastAsia" w:hAnsiTheme="minorEastAsia"/>
                <w:color w:val="000000" w:themeColor="text1"/>
              </w:rPr>
              <w:t>0.6695%</w:t>
            </w:r>
          </w:p>
        </w:tc>
        <w:tc>
          <w:tcPr>
            <w:tcW w:w="1329" w:type="dxa"/>
            <w:vAlign w:val="center"/>
          </w:tcPr>
          <w:p w:rsidR="00FC1011" w:rsidRDefault="00F55F5D">
            <w:pPr>
              <w:jc w:val="center"/>
            </w:pPr>
            <w:r>
              <w:rPr>
                <w:rFonts w:asciiTheme="minorEastAsia" w:eastAsiaTheme="minorEastAsia" w:hAnsiTheme="minorEastAsia"/>
                <w:color w:val="000000" w:themeColor="text1"/>
              </w:rPr>
              <w:t>0.0000%</w:t>
            </w:r>
          </w:p>
        </w:tc>
        <w:tc>
          <w:tcPr>
            <w:tcW w:w="1329" w:type="dxa"/>
            <w:vAlign w:val="center"/>
          </w:tcPr>
          <w:p w:rsidR="00FC1011" w:rsidRDefault="00F55F5D">
            <w:pPr>
              <w:jc w:val="center"/>
            </w:pPr>
            <w:r>
              <w:rPr>
                <w:rFonts w:asciiTheme="minorEastAsia" w:eastAsiaTheme="minorEastAsia" w:hAnsiTheme="minorEastAsia"/>
                <w:color w:val="000000" w:themeColor="text1"/>
              </w:rPr>
              <w:t>0.1790%</w:t>
            </w:r>
          </w:p>
        </w:tc>
        <w:tc>
          <w:tcPr>
            <w:tcW w:w="1329" w:type="dxa"/>
            <w:vAlign w:val="center"/>
          </w:tcPr>
          <w:p w:rsidR="00FC1011" w:rsidRDefault="00F55F5D">
            <w:pPr>
              <w:jc w:val="center"/>
            </w:pPr>
            <w:r>
              <w:rPr>
                <w:rFonts w:asciiTheme="minorEastAsia" w:eastAsiaTheme="minorEastAsia" w:hAnsiTheme="minorEastAsia"/>
                <w:color w:val="000000" w:themeColor="text1"/>
              </w:rPr>
              <w:t>0.0004%</w:t>
            </w:r>
          </w:p>
        </w:tc>
      </w:tr>
      <w:tr w:rsidR="00FC1011">
        <w:tc>
          <w:tcPr>
            <w:tcW w:w="1328" w:type="dxa"/>
            <w:vAlign w:val="center"/>
          </w:tcPr>
          <w:p w:rsidR="00FC1011" w:rsidRDefault="00F55F5D">
            <w:pPr>
              <w:jc w:val="left"/>
            </w:pPr>
            <w:r>
              <w:rPr>
                <w:rFonts w:asciiTheme="minorEastAsia" w:eastAsiaTheme="minorEastAsia" w:hAnsiTheme="minorEastAsia"/>
                <w:color w:val="000000" w:themeColor="text1"/>
              </w:rPr>
              <w:t>过去一年</w:t>
            </w:r>
          </w:p>
        </w:tc>
        <w:tc>
          <w:tcPr>
            <w:tcW w:w="1329" w:type="dxa"/>
            <w:vAlign w:val="center"/>
          </w:tcPr>
          <w:p w:rsidR="00FC1011" w:rsidRDefault="00F55F5D">
            <w:pPr>
              <w:jc w:val="center"/>
            </w:pPr>
            <w:r>
              <w:rPr>
                <w:rFonts w:asciiTheme="minorEastAsia" w:eastAsiaTheme="minorEastAsia" w:hAnsiTheme="minorEastAsia"/>
                <w:color w:val="000000" w:themeColor="text1"/>
              </w:rPr>
              <w:t>1.6107%</w:t>
            </w:r>
          </w:p>
        </w:tc>
        <w:tc>
          <w:tcPr>
            <w:tcW w:w="1329" w:type="dxa"/>
            <w:vAlign w:val="center"/>
          </w:tcPr>
          <w:p w:rsidR="00FC1011" w:rsidRDefault="00F55F5D">
            <w:pPr>
              <w:jc w:val="center"/>
            </w:pPr>
            <w:r>
              <w:rPr>
                <w:rFonts w:asciiTheme="minorEastAsia" w:eastAsiaTheme="minorEastAsia" w:hAnsiTheme="minorEastAsia"/>
                <w:color w:val="000000" w:themeColor="text1"/>
              </w:rPr>
              <w:t>0.0005%</w:t>
            </w:r>
          </w:p>
        </w:tc>
        <w:tc>
          <w:tcPr>
            <w:tcW w:w="1329" w:type="dxa"/>
            <w:vAlign w:val="center"/>
          </w:tcPr>
          <w:p w:rsidR="00FC1011" w:rsidRDefault="00F55F5D">
            <w:pPr>
              <w:jc w:val="center"/>
            </w:pPr>
            <w:r>
              <w:rPr>
                <w:rFonts w:asciiTheme="minorEastAsia" w:eastAsiaTheme="minorEastAsia" w:hAnsiTheme="minorEastAsia"/>
                <w:color w:val="000000" w:themeColor="text1"/>
              </w:rPr>
              <w:t>1.3500%</w:t>
            </w:r>
          </w:p>
        </w:tc>
        <w:tc>
          <w:tcPr>
            <w:tcW w:w="1329" w:type="dxa"/>
            <w:vAlign w:val="center"/>
          </w:tcPr>
          <w:p w:rsidR="00FC1011" w:rsidRDefault="00F55F5D">
            <w:pPr>
              <w:jc w:val="center"/>
            </w:pPr>
            <w:r>
              <w:rPr>
                <w:rFonts w:asciiTheme="minorEastAsia" w:eastAsiaTheme="minorEastAsia" w:hAnsiTheme="minorEastAsia"/>
                <w:color w:val="000000" w:themeColor="text1"/>
              </w:rPr>
              <w:t>0.0000%</w:t>
            </w:r>
          </w:p>
        </w:tc>
        <w:tc>
          <w:tcPr>
            <w:tcW w:w="1329" w:type="dxa"/>
            <w:vAlign w:val="center"/>
          </w:tcPr>
          <w:p w:rsidR="00FC1011" w:rsidRDefault="00F55F5D">
            <w:pPr>
              <w:jc w:val="center"/>
            </w:pPr>
            <w:r>
              <w:rPr>
                <w:rFonts w:asciiTheme="minorEastAsia" w:eastAsiaTheme="minorEastAsia" w:hAnsiTheme="minorEastAsia"/>
                <w:color w:val="000000" w:themeColor="text1"/>
              </w:rPr>
              <w:t>0.2607%</w:t>
            </w:r>
          </w:p>
        </w:tc>
        <w:tc>
          <w:tcPr>
            <w:tcW w:w="1329" w:type="dxa"/>
            <w:vAlign w:val="center"/>
          </w:tcPr>
          <w:p w:rsidR="00FC1011" w:rsidRDefault="00F55F5D">
            <w:pPr>
              <w:jc w:val="center"/>
            </w:pPr>
            <w:r>
              <w:rPr>
                <w:rFonts w:asciiTheme="minorEastAsia" w:eastAsiaTheme="minorEastAsia" w:hAnsiTheme="minorEastAsia"/>
                <w:color w:val="000000" w:themeColor="text1"/>
              </w:rPr>
              <w:t>0.0005%</w:t>
            </w:r>
          </w:p>
        </w:tc>
      </w:tr>
      <w:tr w:rsidR="00FC1011">
        <w:tc>
          <w:tcPr>
            <w:tcW w:w="1328" w:type="dxa"/>
            <w:vAlign w:val="center"/>
          </w:tcPr>
          <w:p w:rsidR="00FC1011" w:rsidRDefault="00F55F5D">
            <w:pPr>
              <w:jc w:val="left"/>
            </w:pPr>
            <w:r>
              <w:rPr>
                <w:rFonts w:asciiTheme="minorEastAsia" w:eastAsiaTheme="minorEastAsia" w:hAnsiTheme="minorEastAsia"/>
                <w:color w:val="000000" w:themeColor="text1"/>
              </w:rPr>
              <w:t>过去三年</w:t>
            </w:r>
          </w:p>
        </w:tc>
        <w:tc>
          <w:tcPr>
            <w:tcW w:w="1329" w:type="dxa"/>
            <w:vAlign w:val="center"/>
          </w:tcPr>
          <w:p w:rsidR="00FC1011" w:rsidRDefault="00F55F5D">
            <w:pPr>
              <w:jc w:val="center"/>
            </w:pPr>
            <w:r>
              <w:rPr>
                <w:rFonts w:asciiTheme="minorEastAsia" w:eastAsiaTheme="minorEastAsia" w:hAnsiTheme="minorEastAsia"/>
                <w:color w:val="000000" w:themeColor="text1"/>
              </w:rPr>
              <w:t>5.7590%</w:t>
            </w:r>
          </w:p>
        </w:tc>
        <w:tc>
          <w:tcPr>
            <w:tcW w:w="1329" w:type="dxa"/>
            <w:vAlign w:val="center"/>
          </w:tcPr>
          <w:p w:rsidR="00FC1011" w:rsidRDefault="00F55F5D">
            <w:pPr>
              <w:jc w:val="center"/>
            </w:pPr>
            <w:r>
              <w:rPr>
                <w:rFonts w:asciiTheme="minorEastAsia" w:eastAsiaTheme="minorEastAsia" w:hAnsiTheme="minorEastAsia"/>
                <w:color w:val="000000" w:themeColor="text1"/>
              </w:rPr>
              <w:t>0.0009%</w:t>
            </w:r>
          </w:p>
        </w:tc>
        <w:tc>
          <w:tcPr>
            <w:tcW w:w="1329" w:type="dxa"/>
            <w:vAlign w:val="center"/>
          </w:tcPr>
          <w:p w:rsidR="00FC1011" w:rsidRDefault="00F55F5D">
            <w:pPr>
              <w:jc w:val="center"/>
            </w:pPr>
            <w:r>
              <w:rPr>
                <w:rFonts w:asciiTheme="minorEastAsia" w:eastAsiaTheme="minorEastAsia" w:hAnsiTheme="minorEastAsia"/>
                <w:color w:val="000000" w:themeColor="text1"/>
              </w:rPr>
              <w:t>4.0500%</w:t>
            </w:r>
          </w:p>
        </w:tc>
        <w:tc>
          <w:tcPr>
            <w:tcW w:w="1329" w:type="dxa"/>
            <w:vAlign w:val="center"/>
          </w:tcPr>
          <w:p w:rsidR="00FC1011" w:rsidRDefault="00F55F5D">
            <w:pPr>
              <w:jc w:val="center"/>
            </w:pPr>
            <w:r>
              <w:rPr>
                <w:rFonts w:asciiTheme="minorEastAsia" w:eastAsiaTheme="minorEastAsia" w:hAnsiTheme="minorEastAsia"/>
                <w:color w:val="000000" w:themeColor="text1"/>
              </w:rPr>
              <w:t>0.0000%</w:t>
            </w:r>
          </w:p>
        </w:tc>
        <w:tc>
          <w:tcPr>
            <w:tcW w:w="1329" w:type="dxa"/>
            <w:vAlign w:val="center"/>
          </w:tcPr>
          <w:p w:rsidR="00FC1011" w:rsidRDefault="00F55F5D">
            <w:pPr>
              <w:jc w:val="center"/>
            </w:pPr>
            <w:r>
              <w:rPr>
                <w:rFonts w:asciiTheme="minorEastAsia" w:eastAsiaTheme="minorEastAsia" w:hAnsiTheme="minorEastAsia"/>
                <w:color w:val="000000" w:themeColor="text1"/>
              </w:rPr>
              <w:t>1.7090%</w:t>
            </w:r>
          </w:p>
        </w:tc>
        <w:tc>
          <w:tcPr>
            <w:tcW w:w="1329" w:type="dxa"/>
            <w:vAlign w:val="center"/>
          </w:tcPr>
          <w:p w:rsidR="00FC1011" w:rsidRDefault="00F55F5D">
            <w:pPr>
              <w:jc w:val="center"/>
            </w:pPr>
            <w:r>
              <w:rPr>
                <w:rFonts w:asciiTheme="minorEastAsia" w:eastAsiaTheme="minorEastAsia" w:hAnsiTheme="minorEastAsia"/>
                <w:color w:val="000000" w:themeColor="text1"/>
              </w:rPr>
              <w:t>0.0009%</w:t>
            </w:r>
          </w:p>
        </w:tc>
      </w:tr>
      <w:tr w:rsidR="00FC1011">
        <w:tc>
          <w:tcPr>
            <w:tcW w:w="1328" w:type="dxa"/>
            <w:vAlign w:val="center"/>
          </w:tcPr>
          <w:p w:rsidR="00FC1011" w:rsidRDefault="00F55F5D">
            <w:pPr>
              <w:jc w:val="left"/>
            </w:pPr>
            <w:r>
              <w:rPr>
                <w:rFonts w:asciiTheme="minorEastAsia" w:eastAsiaTheme="minorEastAsia" w:hAnsiTheme="minorEastAsia"/>
                <w:color w:val="000000" w:themeColor="text1"/>
              </w:rPr>
              <w:t>过去五年</w:t>
            </w:r>
          </w:p>
        </w:tc>
        <w:tc>
          <w:tcPr>
            <w:tcW w:w="1329" w:type="dxa"/>
            <w:vAlign w:val="center"/>
          </w:tcPr>
          <w:p w:rsidR="00FC1011" w:rsidRDefault="00F55F5D">
            <w:pPr>
              <w:jc w:val="center"/>
            </w:pPr>
            <w:r>
              <w:rPr>
                <w:rFonts w:asciiTheme="minorEastAsia" w:eastAsiaTheme="minorEastAsia" w:hAnsiTheme="minorEastAsia"/>
                <w:color w:val="000000" w:themeColor="text1"/>
              </w:rPr>
              <w:t>10.7329%</w:t>
            </w:r>
          </w:p>
        </w:tc>
        <w:tc>
          <w:tcPr>
            <w:tcW w:w="1329" w:type="dxa"/>
            <w:vAlign w:val="center"/>
          </w:tcPr>
          <w:p w:rsidR="00FC1011" w:rsidRDefault="00F55F5D">
            <w:pPr>
              <w:jc w:val="center"/>
            </w:pPr>
            <w:r>
              <w:rPr>
                <w:rFonts w:asciiTheme="minorEastAsia" w:eastAsiaTheme="minorEastAsia" w:hAnsiTheme="minorEastAsia"/>
                <w:color w:val="000000" w:themeColor="text1"/>
              </w:rPr>
              <w:t>0.0012%</w:t>
            </w:r>
          </w:p>
        </w:tc>
        <w:tc>
          <w:tcPr>
            <w:tcW w:w="1329" w:type="dxa"/>
            <w:vAlign w:val="center"/>
          </w:tcPr>
          <w:p w:rsidR="00FC1011" w:rsidRDefault="00F55F5D">
            <w:pPr>
              <w:jc w:val="center"/>
            </w:pPr>
            <w:r>
              <w:rPr>
                <w:rFonts w:asciiTheme="minorEastAsia" w:eastAsiaTheme="minorEastAsia" w:hAnsiTheme="minorEastAsia"/>
                <w:color w:val="000000" w:themeColor="text1"/>
              </w:rPr>
              <w:t>6.7537%</w:t>
            </w:r>
          </w:p>
        </w:tc>
        <w:tc>
          <w:tcPr>
            <w:tcW w:w="1329" w:type="dxa"/>
            <w:vAlign w:val="center"/>
          </w:tcPr>
          <w:p w:rsidR="00FC1011" w:rsidRDefault="00F55F5D">
            <w:pPr>
              <w:jc w:val="center"/>
            </w:pPr>
            <w:r>
              <w:rPr>
                <w:rFonts w:asciiTheme="minorEastAsia" w:eastAsiaTheme="minorEastAsia" w:hAnsiTheme="minorEastAsia"/>
                <w:color w:val="000000" w:themeColor="text1"/>
              </w:rPr>
              <w:t>0.0000%</w:t>
            </w:r>
          </w:p>
        </w:tc>
        <w:tc>
          <w:tcPr>
            <w:tcW w:w="1329" w:type="dxa"/>
            <w:vAlign w:val="center"/>
          </w:tcPr>
          <w:p w:rsidR="00FC1011" w:rsidRDefault="00F55F5D">
            <w:pPr>
              <w:jc w:val="center"/>
            </w:pPr>
            <w:r>
              <w:rPr>
                <w:rFonts w:asciiTheme="minorEastAsia" w:eastAsiaTheme="minorEastAsia" w:hAnsiTheme="minorEastAsia"/>
                <w:color w:val="000000" w:themeColor="text1"/>
              </w:rPr>
              <w:t>3.9792%</w:t>
            </w:r>
          </w:p>
        </w:tc>
        <w:tc>
          <w:tcPr>
            <w:tcW w:w="1329" w:type="dxa"/>
            <w:vAlign w:val="center"/>
          </w:tcPr>
          <w:p w:rsidR="00FC1011" w:rsidRDefault="00F55F5D">
            <w:pPr>
              <w:jc w:val="center"/>
            </w:pPr>
            <w:r>
              <w:rPr>
                <w:rFonts w:asciiTheme="minorEastAsia" w:eastAsiaTheme="minorEastAsia" w:hAnsiTheme="minorEastAsia"/>
                <w:color w:val="000000" w:themeColor="text1"/>
              </w:rPr>
              <w:t>0.0012%</w:t>
            </w:r>
          </w:p>
        </w:tc>
      </w:tr>
      <w:tr w:rsidR="00FC1011">
        <w:tc>
          <w:tcPr>
            <w:tcW w:w="1328" w:type="dxa"/>
            <w:vAlign w:val="center"/>
          </w:tcPr>
          <w:p w:rsidR="00FC1011" w:rsidRDefault="00F55F5D">
            <w:pPr>
              <w:jc w:val="left"/>
            </w:pPr>
            <w:r>
              <w:rPr>
                <w:rFonts w:asciiTheme="minorEastAsia" w:eastAsiaTheme="minorEastAsia" w:hAnsiTheme="minorEastAsia"/>
                <w:color w:val="000000" w:themeColor="text1"/>
              </w:rPr>
              <w:t>自基金合同生效起至今</w:t>
            </w:r>
          </w:p>
        </w:tc>
        <w:tc>
          <w:tcPr>
            <w:tcW w:w="1329" w:type="dxa"/>
            <w:vAlign w:val="center"/>
          </w:tcPr>
          <w:p w:rsidR="00FC1011" w:rsidRDefault="00F55F5D">
            <w:pPr>
              <w:jc w:val="center"/>
            </w:pPr>
            <w:r>
              <w:rPr>
                <w:rFonts w:asciiTheme="minorEastAsia" w:eastAsiaTheme="minorEastAsia" w:hAnsiTheme="minorEastAsia"/>
                <w:color w:val="000000" w:themeColor="text1"/>
              </w:rPr>
              <w:t>22.7966%</w:t>
            </w:r>
          </w:p>
        </w:tc>
        <w:tc>
          <w:tcPr>
            <w:tcW w:w="1329" w:type="dxa"/>
            <w:vAlign w:val="center"/>
          </w:tcPr>
          <w:p w:rsidR="00FC1011" w:rsidRDefault="00F55F5D">
            <w:pPr>
              <w:jc w:val="center"/>
            </w:pPr>
            <w:r>
              <w:rPr>
                <w:rFonts w:asciiTheme="minorEastAsia" w:eastAsiaTheme="minorEastAsia" w:hAnsiTheme="minorEastAsia"/>
                <w:color w:val="000000" w:themeColor="text1"/>
              </w:rPr>
              <w:t>0.0023%</w:t>
            </w:r>
          </w:p>
        </w:tc>
        <w:tc>
          <w:tcPr>
            <w:tcW w:w="1329" w:type="dxa"/>
            <w:vAlign w:val="center"/>
          </w:tcPr>
          <w:p w:rsidR="00FC1011" w:rsidRDefault="00F55F5D">
            <w:pPr>
              <w:jc w:val="center"/>
            </w:pPr>
            <w:r>
              <w:rPr>
                <w:rFonts w:asciiTheme="minorEastAsia" w:eastAsiaTheme="minorEastAsia" w:hAnsiTheme="minorEastAsia"/>
                <w:color w:val="000000" w:themeColor="text1"/>
              </w:rPr>
              <w:t>11.6137%</w:t>
            </w:r>
          </w:p>
        </w:tc>
        <w:tc>
          <w:tcPr>
            <w:tcW w:w="1329" w:type="dxa"/>
            <w:vAlign w:val="center"/>
          </w:tcPr>
          <w:p w:rsidR="00FC1011" w:rsidRDefault="00F55F5D">
            <w:pPr>
              <w:jc w:val="center"/>
            </w:pPr>
            <w:r>
              <w:rPr>
                <w:rFonts w:asciiTheme="minorEastAsia" w:eastAsiaTheme="minorEastAsia" w:hAnsiTheme="minorEastAsia"/>
                <w:color w:val="000000" w:themeColor="text1"/>
              </w:rPr>
              <w:t>0.0000%</w:t>
            </w:r>
          </w:p>
        </w:tc>
        <w:tc>
          <w:tcPr>
            <w:tcW w:w="1329" w:type="dxa"/>
            <w:vAlign w:val="center"/>
          </w:tcPr>
          <w:p w:rsidR="00FC1011" w:rsidRDefault="00F55F5D">
            <w:pPr>
              <w:jc w:val="center"/>
            </w:pPr>
            <w:r>
              <w:rPr>
                <w:rFonts w:asciiTheme="minorEastAsia" w:eastAsiaTheme="minorEastAsia" w:hAnsiTheme="minorEastAsia"/>
                <w:color w:val="000000" w:themeColor="text1"/>
              </w:rPr>
              <w:t>11.1829%</w:t>
            </w:r>
          </w:p>
        </w:tc>
        <w:tc>
          <w:tcPr>
            <w:tcW w:w="1329" w:type="dxa"/>
            <w:vAlign w:val="center"/>
          </w:tcPr>
          <w:p w:rsidR="00FC1011" w:rsidRDefault="00F55F5D">
            <w:pPr>
              <w:jc w:val="center"/>
            </w:pPr>
            <w:r>
              <w:rPr>
                <w:rFonts w:asciiTheme="minorEastAsia" w:eastAsiaTheme="minorEastAsia" w:hAnsiTheme="minorEastAsia"/>
                <w:color w:val="000000" w:themeColor="text1"/>
              </w:rPr>
              <w:t>0.0023%</w:t>
            </w:r>
          </w:p>
        </w:tc>
      </w:tr>
    </w:tbl>
    <w:p w:rsidR="00DA315C" w:rsidRDefault="00CC2E83" w:rsidP="00FC703D">
      <w:pPr>
        <w:pStyle w:val="20"/>
        <w:spacing w:beforeLines="50" w:before="120" w:line="360" w:lineRule="auto"/>
        <w:ind w:firstLineChars="0" w:firstLine="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2、</w:t>
      </w:r>
      <w:r w:rsidR="00050540">
        <w:rPr>
          <w:rFonts w:asciiTheme="minorEastAsia" w:eastAsiaTheme="minorEastAsia" w:hAnsiTheme="minorEastAsia" w:hint="eastAsia"/>
          <w:b/>
          <w:color w:val="000000" w:themeColor="text1"/>
        </w:rPr>
        <w:t>摩根天添盈货币B类</w:t>
      </w:r>
      <w:r>
        <w:rPr>
          <w:rFonts w:asciiTheme="minorEastAsia" w:eastAsiaTheme="minorEastAsia" w:hAnsiTheme="minorEastAsia" w:hint="eastAsia"/>
          <w:b/>
          <w:color w:val="000000" w:themeColor="text1"/>
        </w:rPr>
        <w:t>：</w:t>
      </w:r>
    </w:p>
    <w:p w:rsidR="00DA315C" w:rsidRDefault="00050540" w:rsidP="00FB6FB2">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自2018年6月22日起，本基金B类基金份额为零且停止计算B类基金份额每万份收益。</w:t>
      </w:r>
    </w:p>
    <w:p w:rsidR="00DA315C" w:rsidRDefault="00CC2E83" w:rsidP="00FC703D">
      <w:pPr>
        <w:pStyle w:val="20"/>
        <w:spacing w:beforeLines="50" w:before="120" w:line="360" w:lineRule="auto"/>
        <w:ind w:firstLineChars="0" w:firstLine="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3、</w:t>
      </w:r>
      <w:r w:rsidR="00050540">
        <w:rPr>
          <w:rFonts w:asciiTheme="minorEastAsia" w:eastAsiaTheme="minorEastAsia" w:hAnsiTheme="minorEastAsia" w:hint="eastAsia"/>
          <w:b/>
          <w:color w:val="000000" w:themeColor="text1"/>
        </w:rPr>
        <w:t>摩根天添盈货币E类</w:t>
      </w:r>
      <w:r>
        <w:rPr>
          <w:rFonts w:asciiTheme="minorEastAsia" w:eastAsiaTheme="minorEastAsia" w:hAnsiTheme="minorEastAsia" w:hint="eastAsia"/>
          <w:b/>
          <w:color w:val="000000" w:themeColor="text1"/>
        </w:rPr>
        <w:t>：</w:t>
      </w:r>
    </w:p>
    <w:tbl>
      <w:tblPr>
        <w:tblStyle w:val="af2"/>
        <w:tblW w:w="0" w:type="auto"/>
        <w:tblLayout w:type="fixed"/>
        <w:tblLook w:val="04A0" w:firstRow="1" w:lastRow="0" w:firstColumn="1" w:lastColumn="0" w:noHBand="0" w:noVBand="1"/>
      </w:tblPr>
      <w:tblGrid>
        <w:gridCol w:w="1328"/>
        <w:gridCol w:w="1329"/>
        <w:gridCol w:w="1329"/>
        <w:gridCol w:w="1329"/>
        <w:gridCol w:w="1329"/>
        <w:gridCol w:w="1329"/>
        <w:gridCol w:w="1329"/>
      </w:tblGrid>
      <w:tr w:rsidR="00DA315C">
        <w:tc>
          <w:tcPr>
            <w:tcW w:w="1328"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阶段</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净值收益率①</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净值收益率标准差②</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业绩比较基准收益率③</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业绩比较基准收益率标准差④</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①-③</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②-④</w:t>
            </w:r>
          </w:p>
        </w:tc>
      </w:tr>
      <w:tr w:rsidR="00FC1011">
        <w:tc>
          <w:tcPr>
            <w:tcW w:w="1328" w:type="dxa"/>
            <w:vAlign w:val="center"/>
          </w:tcPr>
          <w:p w:rsidR="00FC1011" w:rsidRDefault="00F55F5D">
            <w:pPr>
              <w:jc w:val="left"/>
            </w:pPr>
            <w:r>
              <w:rPr>
                <w:rFonts w:asciiTheme="minorEastAsia" w:eastAsiaTheme="minorEastAsia" w:hAnsiTheme="minorEastAsia"/>
                <w:color w:val="000000" w:themeColor="text1"/>
              </w:rPr>
              <w:t>过去三个月</w:t>
            </w:r>
          </w:p>
        </w:tc>
        <w:tc>
          <w:tcPr>
            <w:tcW w:w="1329" w:type="dxa"/>
            <w:vAlign w:val="center"/>
          </w:tcPr>
          <w:p w:rsidR="00FC1011" w:rsidRDefault="00F55F5D">
            <w:pPr>
              <w:jc w:val="center"/>
            </w:pPr>
            <w:r>
              <w:rPr>
                <w:rFonts w:asciiTheme="minorEastAsia" w:eastAsiaTheme="minorEastAsia" w:hAnsiTheme="minorEastAsia"/>
                <w:color w:val="000000" w:themeColor="text1"/>
              </w:rPr>
              <w:t>0.4990%</w:t>
            </w:r>
          </w:p>
        </w:tc>
        <w:tc>
          <w:tcPr>
            <w:tcW w:w="1329" w:type="dxa"/>
            <w:vAlign w:val="center"/>
          </w:tcPr>
          <w:p w:rsidR="00FC1011" w:rsidRDefault="00F55F5D">
            <w:pPr>
              <w:jc w:val="center"/>
            </w:pPr>
            <w:r>
              <w:rPr>
                <w:rFonts w:asciiTheme="minorEastAsia" w:eastAsiaTheme="minorEastAsia" w:hAnsiTheme="minorEastAsia"/>
                <w:color w:val="000000" w:themeColor="text1"/>
              </w:rPr>
              <w:t>0.0005%</w:t>
            </w:r>
          </w:p>
        </w:tc>
        <w:tc>
          <w:tcPr>
            <w:tcW w:w="1329" w:type="dxa"/>
            <w:vAlign w:val="center"/>
          </w:tcPr>
          <w:p w:rsidR="00FC1011" w:rsidRDefault="00F55F5D">
            <w:pPr>
              <w:jc w:val="center"/>
            </w:pPr>
            <w:r>
              <w:rPr>
                <w:rFonts w:asciiTheme="minorEastAsia" w:eastAsiaTheme="minorEastAsia" w:hAnsiTheme="minorEastAsia"/>
                <w:color w:val="000000" w:themeColor="text1"/>
              </w:rPr>
              <w:t>0.3366%</w:t>
            </w:r>
          </w:p>
        </w:tc>
        <w:tc>
          <w:tcPr>
            <w:tcW w:w="1329" w:type="dxa"/>
            <w:vAlign w:val="center"/>
          </w:tcPr>
          <w:p w:rsidR="00FC1011" w:rsidRDefault="00F55F5D">
            <w:pPr>
              <w:jc w:val="center"/>
            </w:pPr>
            <w:r>
              <w:rPr>
                <w:rFonts w:asciiTheme="minorEastAsia" w:eastAsiaTheme="minorEastAsia" w:hAnsiTheme="minorEastAsia"/>
                <w:color w:val="000000" w:themeColor="text1"/>
              </w:rPr>
              <w:t>0.0000%</w:t>
            </w:r>
          </w:p>
        </w:tc>
        <w:tc>
          <w:tcPr>
            <w:tcW w:w="1329" w:type="dxa"/>
            <w:vAlign w:val="center"/>
          </w:tcPr>
          <w:p w:rsidR="00FC1011" w:rsidRDefault="00F55F5D">
            <w:pPr>
              <w:jc w:val="center"/>
            </w:pPr>
            <w:r>
              <w:rPr>
                <w:rFonts w:asciiTheme="minorEastAsia" w:eastAsiaTheme="minorEastAsia" w:hAnsiTheme="minorEastAsia"/>
                <w:color w:val="000000" w:themeColor="text1"/>
              </w:rPr>
              <w:t>0.1624%</w:t>
            </w:r>
          </w:p>
        </w:tc>
        <w:tc>
          <w:tcPr>
            <w:tcW w:w="1329" w:type="dxa"/>
            <w:vAlign w:val="center"/>
          </w:tcPr>
          <w:p w:rsidR="00FC1011" w:rsidRDefault="00F55F5D">
            <w:pPr>
              <w:jc w:val="center"/>
            </w:pPr>
            <w:r>
              <w:rPr>
                <w:rFonts w:asciiTheme="minorEastAsia" w:eastAsiaTheme="minorEastAsia" w:hAnsiTheme="minorEastAsia"/>
                <w:color w:val="000000" w:themeColor="text1"/>
              </w:rPr>
              <w:t>0.0005%</w:t>
            </w:r>
          </w:p>
        </w:tc>
      </w:tr>
      <w:tr w:rsidR="00FC1011">
        <w:tc>
          <w:tcPr>
            <w:tcW w:w="1328" w:type="dxa"/>
            <w:vAlign w:val="center"/>
          </w:tcPr>
          <w:p w:rsidR="00FC1011" w:rsidRDefault="00F55F5D">
            <w:pPr>
              <w:jc w:val="left"/>
            </w:pPr>
            <w:r>
              <w:rPr>
                <w:rFonts w:asciiTheme="minorEastAsia" w:eastAsiaTheme="minorEastAsia" w:hAnsiTheme="minorEastAsia"/>
                <w:color w:val="000000" w:themeColor="text1"/>
              </w:rPr>
              <w:t>过去六个月</w:t>
            </w:r>
          </w:p>
        </w:tc>
        <w:tc>
          <w:tcPr>
            <w:tcW w:w="1329" w:type="dxa"/>
            <w:vAlign w:val="center"/>
          </w:tcPr>
          <w:p w:rsidR="00FC1011" w:rsidRDefault="00F55F5D">
            <w:pPr>
              <w:jc w:val="center"/>
            </w:pPr>
            <w:r>
              <w:rPr>
                <w:rFonts w:asciiTheme="minorEastAsia" w:eastAsiaTheme="minorEastAsia" w:hAnsiTheme="minorEastAsia"/>
                <w:color w:val="000000" w:themeColor="text1"/>
              </w:rPr>
              <w:t>0.9686%</w:t>
            </w:r>
          </w:p>
        </w:tc>
        <w:tc>
          <w:tcPr>
            <w:tcW w:w="1329" w:type="dxa"/>
            <w:vAlign w:val="center"/>
          </w:tcPr>
          <w:p w:rsidR="00FC1011" w:rsidRDefault="00F55F5D">
            <w:pPr>
              <w:jc w:val="center"/>
            </w:pPr>
            <w:r>
              <w:rPr>
                <w:rFonts w:asciiTheme="minorEastAsia" w:eastAsiaTheme="minorEastAsia" w:hAnsiTheme="minorEastAsia"/>
                <w:color w:val="000000" w:themeColor="text1"/>
              </w:rPr>
              <w:t>0.0004%</w:t>
            </w:r>
          </w:p>
        </w:tc>
        <w:tc>
          <w:tcPr>
            <w:tcW w:w="1329" w:type="dxa"/>
            <w:vAlign w:val="center"/>
          </w:tcPr>
          <w:p w:rsidR="00FC1011" w:rsidRDefault="00F55F5D">
            <w:pPr>
              <w:jc w:val="center"/>
            </w:pPr>
            <w:r>
              <w:rPr>
                <w:rFonts w:asciiTheme="minorEastAsia" w:eastAsiaTheme="minorEastAsia" w:hAnsiTheme="minorEastAsia"/>
                <w:color w:val="000000" w:themeColor="text1"/>
              </w:rPr>
              <w:t>0.6695%</w:t>
            </w:r>
          </w:p>
        </w:tc>
        <w:tc>
          <w:tcPr>
            <w:tcW w:w="1329" w:type="dxa"/>
            <w:vAlign w:val="center"/>
          </w:tcPr>
          <w:p w:rsidR="00FC1011" w:rsidRDefault="00F55F5D">
            <w:pPr>
              <w:jc w:val="center"/>
            </w:pPr>
            <w:r>
              <w:rPr>
                <w:rFonts w:asciiTheme="minorEastAsia" w:eastAsiaTheme="minorEastAsia" w:hAnsiTheme="minorEastAsia"/>
                <w:color w:val="000000" w:themeColor="text1"/>
              </w:rPr>
              <w:t>0.0000%</w:t>
            </w:r>
          </w:p>
        </w:tc>
        <w:tc>
          <w:tcPr>
            <w:tcW w:w="1329" w:type="dxa"/>
            <w:vAlign w:val="center"/>
          </w:tcPr>
          <w:p w:rsidR="00FC1011" w:rsidRDefault="00F55F5D">
            <w:pPr>
              <w:jc w:val="center"/>
            </w:pPr>
            <w:r>
              <w:rPr>
                <w:rFonts w:asciiTheme="minorEastAsia" w:eastAsiaTheme="minorEastAsia" w:hAnsiTheme="minorEastAsia"/>
                <w:color w:val="000000" w:themeColor="text1"/>
              </w:rPr>
              <w:t>0.2991%</w:t>
            </w:r>
          </w:p>
        </w:tc>
        <w:tc>
          <w:tcPr>
            <w:tcW w:w="1329" w:type="dxa"/>
            <w:vAlign w:val="center"/>
          </w:tcPr>
          <w:p w:rsidR="00FC1011" w:rsidRDefault="00F55F5D">
            <w:pPr>
              <w:jc w:val="center"/>
            </w:pPr>
            <w:r>
              <w:rPr>
                <w:rFonts w:asciiTheme="minorEastAsia" w:eastAsiaTheme="minorEastAsia" w:hAnsiTheme="minorEastAsia"/>
                <w:color w:val="000000" w:themeColor="text1"/>
              </w:rPr>
              <w:t>0.0004%</w:t>
            </w:r>
          </w:p>
        </w:tc>
      </w:tr>
      <w:tr w:rsidR="00FC1011">
        <w:tc>
          <w:tcPr>
            <w:tcW w:w="1328" w:type="dxa"/>
            <w:vAlign w:val="center"/>
          </w:tcPr>
          <w:p w:rsidR="00FC1011" w:rsidRDefault="00F55F5D">
            <w:pPr>
              <w:jc w:val="left"/>
            </w:pPr>
            <w:r>
              <w:rPr>
                <w:rFonts w:asciiTheme="minorEastAsia" w:eastAsiaTheme="minorEastAsia" w:hAnsiTheme="minorEastAsia"/>
                <w:color w:val="000000" w:themeColor="text1"/>
              </w:rPr>
              <w:t>过去一年</w:t>
            </w:r>
          </w:p>
        </w:tc>
        <w:tc>
          <w:tcPr>
            <w:tcW w:w="1329" w:type="dxa"/>
            <w:vAlign w:val="center"/>
          </w:tcPr>
          <w:p w:rsidR="00FC1011" w:rsidRDefault="00F55F5D">
            <w:pPr>
              <w:jc w:val="center"/>
            </w:pPr>
            <w:r>
              <w:rPr>
                <w:rFonts w:asciiTheme="minorEastAsia" w:eastAsiaTheme="minorEastAsia" w:hAnsiTheme="minorEastAsia"/>
                <w:color w:val="000000" w:themeColor="text1"/>
              </w:rPr>
              <w:t>1.8549%</w:t>
            </w:r>
          </w:p>
        </w:tc>
        <w:tc>
          <w:tcPr>
            <w:tcW w:w="1329" w:type="dxa"/>
            <w:vAlign w:val="center"/>
          </w:tcPr>
          <w:p w:rsidR="00FC1011" w:rsidRDefault="00F55F5D">
            <w:pPr>
              <w:jc w:val="center"/>
            </w:pPr>
            <w:r>
              <w:rPr>
                <w:rFonts w:asciiTheme="minorEastAsia" w:eastAsiaTheme="minorEastAsia" w:hAnsiTheme="minorEastAsia"/>
                <w:color w:val="000000" w:themeColor="text1"/>
              </w:rPr>
              <w:t>0.0005%</w:t>
            </w:r>
          </w:p>
        </w:tc>
        <w:tc>
          <w:tcPr>
            <w:tcW w:w="1329" w:type="dxa"/>
            <w:vAlign w:val="center"/>
          </w:tcPr>
          <w:p w:rsidR="00FC1011" w:rsidRDefault="00F55F5D">
            <w:pPr>
              <w:jc w:val="center"/>
            </w:pPr>
            <w:r>
              <w:rPr>
                <w:rFonts w:asciiTheme="minorEastAsia" w:eastAsiaTheme="minorEastAsia" w:hAnsiTheme="minorEastAsia"/>
                <w:color w:val="000000" w:themeColor="text1"/>
              </w:rPr>
              <w:t>1.3500%</w:t>
            </w:r>
          </w:p>
        </w:tc>
        <w:tc>
          <w:tcPr>
            <w:tcW w:w="1329" w:type="dxa"/>
            <w:vAlign w:val="center"/>
          </w:tcPr>
          <w:p w:rsidR="00FC1011" w:rsidRDefault="00F55F5D">
            <w:pPr>
              <w:jc w:val="center"/>
            </w:pPr>
            <w:r>
              <w:rPr>
                <w:rFonts w:asciiTheme="minorEastAsia" w:eastAsiaTheme="minorEastAsia" w:hAnsiTheme="minorEastAsia"/>
                <w:color w:val="000000" w:themeColor="text1"/>
              </w:rPr>
              <w:t>0.0000%</w:t>
            </w:r>
          </w:p>
        </w:tc>
        <w:tc>
          <w:tcPr>
            <w:tcW w:w="1329" w:type="dxa"/>
            <w:vAlign w:val="center"/>
          </w:tcPr>
          <w:p w:rsidR="00FC1011" w:rsidRDefault="00F55F5D">
            <w:pPr>
              <w:jc w:val="center"/>
            </w:pPr>
            <w:r>
              <w:rPr>
                <w:rFonts w:asciiTheme="minorEastAsia" w:eastAsiaTheme="minorEastAsia" w:hAnsiTheme="minorEastAsia"/>
                <w:color w:val="000000" w:themeColor="text1"/>
              </w:rPr>
              <w:t>0.5049%</w:t>
            </w:r>
          </w:p>
        </w:tc>
        <w:tc>
          <w:tcPr>
            <w:tcW w:w="1329" w:type="dxa"/>
            <w:vAlign w:val="center"/>
          </w:tcPr>
          <w:p w:rsidR="00FC1011" w:rsidRDefault="00F55F5D">
            <w:pPr>
              <w:jc w:val="center"/>
            </w:pPr>
            <w:r>
              <w:rPr>
                <w:rFonts w:asciiTheme="minorEastAsia" w:eastAsiaTheme="minorEastAsia" w:hAnsiTheme="minorEastAsia"/>
                <w:color w:val="000000" w:themeColor="text1"/>
              </w:rPr>
              <w:t>0.0005%</w:t>
            </w:r>
          </w:p>
        </w:tc>
      </w:tr>
      <w:tr w:rsidR="00FC1011">
        <w:tc>
          <w:tcPr>
            <w:tcW w:w="1328" w:type="dxa"/>
            <w:vAlign w:val="center"/>
          </w:tcPr>
          <w:p w:rsidR="00FC1011" w:rsidRDefault="00F55F5D">
            <w:pPr>
              <w:jc w:val="left"/>
            </w:pPr>
            <w:r>
              <w:rPr>
                <w:rFonts w:asciiTheme="minorEastAsia" w:eastAsiaTheme="minorEastAsia" w:hAnsiTheme="minorEastAsia"/>
                <w:color w:val="000000" w:themeColor="text1"/>
              </w:rPr>
              <w:t>过去三年</w:t>
            </w:r>
          </w:p>
        </w:tc>
        <w:tc>
          <w:tcPr>
            <w:tcW w:w="1329" w:type="dxa"/>
            <w:vAlign w:val="center"/>
          </w:tcPr>
          <w:p w:rsidR="00FC1011" w:rsidRDefault="00F55F5D">
            <w:pPr>
              <w:jc w:val="center"/>
            </w:pPr>
            <w:r>
              <w:rPr>
                <w:rFonts w:asciiTheme="minorEastAsia" w:eastAsiaTheme="minorEastAsia" w:hAnsiTheme="minorEastAsia"/>
                <w:color w:val="000000" w:themeColor="text1"/>
              </w:rPr>
              <w:t>6.3937%</w:t>
            </w:r>
          </w:p>
        </w:tc>
        <w:tc>
          <w:tcPr>
            <w:tcW w:w="1329" w:type="dxa"/>
            <w:vAlign w:val="center"/>
          </w:tcPr>
          <w:p w:rsidR="00FC1011" w:rsidRDefault="00F55F5D">
            <w:pPr>
              <w:jc w:val="center"/>
            </w:pPr>
            <w:r>
              <w:rPr>
                <w:rFonts w:asciiTheme="minorEastAsia" w:eastAsiaTheme="minorEastAsia" w:hAnsiTheme="minorEastAsia"/>
                <w:color w:val="000000" w:themeColor="text1"/>
              </w:rPr>
              <w:t>0.0009%</w:t>
            </w:r>
          </w:p>
        </w:tc>
        <w:tc>
          <w:tcPr>
            <w:tcW w:w="1329" w:type="dxa"/>
            <w:vAlign w:val="center"/>
          </w:tcPr>
          <w:p w:rsidR="00FC1011" w:rsidRDefault="00F55F5D">
            <w:pPr>
              <w:jc w:val="center"/>
            </w:pPr>
            <w:r>
              <w:rPr>
                <w:rFonts w:asciiTheme="minorEastAsia" w:eastAsiaTheme="minorEastAsia" w:hAnsiTheme="minorEastAsia"/>
                <w:color w:val="000000" w:themeColor="text1"/>
              </w:rPr>
              <w:t>4.0500%</w:t>
            </w:r>
          </w:p>
        </w:tc>
        <w:tc>
          <w:tcPr>
            <w:tcW w:w="1329" w:type="dxa"/>
            <w:vAlign w:val="center"/>
          </w:tcPr>
          <w:p w:rsidR="00FC1011" w:rsidRDefault="00F55F5D">
            <w:pPr>
              <w:jc w:val="center"/>
            </w:pPr>
            <w:r>
              <w:rPr>
                <w:rFonts w:asciiTheme="minorEastAsia" w:eastAsiaTheme="minorEastAsia" w:hAnsiTheme="minorEastAsia"/>
                <w:color w:val="000000" w:themeColor="text1"/>
              </w:rPr>
              <w:t>0.0000%</w:t>
            </w:r>
          </w:p>
        </w:tc>
        <w:tc>
          <w:tcPr>
            <w:tcW w:w="1329" w:type="dxa"/>
            <w:vAlign w:val="center"/>
          </w:tcPr>
          <w:p w:rsidR="00FC1011" w:rsidRDefault="00F55F5D">
            <w:pPr>
              <w:jc w:val="center"/>
            </w:pPr>
            <w:r>
              <w:rPr>
                <w:rFonts w:asciiTheme="minorEastAsia" w:eastAsiaTheme="minorEastAsia" w:hAnsiTheme="minorEastAsia"/>
                <w:color w:val="000000" w:themeColor="text1"/>
              </w:rPr>
              <w:t>2.3437%</w:t>
            </w:r>
          </w:p>
        </w:tc>
        <w:tc>
          <w:tcPr>
            <w:tcW w:w="1329" w:type="dxa"/>
            <w:vAlign w:val="center"/>
          </w:tcPr>
          <w:p w:rsidR="00FC1011" w:rsidRDefault="00F55F5D">
            <w:pPr>
              <w:jc w:val="center"/>
            </w:pPr>
            <w:r>
              <w:rPr>
                <w:rFonts w:asciiTheme="minorEastAsia" w:eastAsiaTheme="minorEastAsia" w:hAnsiTheme="minorEastAsia"/>
                <w:color w:val="000000" w:themeColor="text1"/>
              </w:rPr>
              <w:t>0.0009%</w:t>
            </w:r>
          </w:p>
        </w:tc>
      </w:tr>
      <w:tr w:rsidR="00FC1011">
        <w:tc>
          <w:tcPr>
            <w:tcW w:w="1328" w:type="dxa"/>
            <w:vAlign w:val="center"/>
          </w:tcPr>
          <w:p w:rsidR="00FC1011" w:rsidRDefault="00F55F5D">
            <w:pPr>
              <w:jc w:val="left"/>
            </w:pPr>
            <w:r>
              <w:rPr>
                <w:rFonts w:asciiTheme="minorEastAsia" w:eastAsiaTheme="minorEastAsia" w:hAnsiTheme="minorEastAsia"/>
                <w:color w:val="000000" w:themeColor="text1"/>
              </w:rPr>
              <w:t>过去五年</w:t>
            </w:r>
          </w:p>
        </w:tc>
        <w:tc>
          <w:tcPr>
            <w:tcW w:w="1329" w:type="dxa"/>
            <w:vAlign w:val="center"/>
          </w:tcPr>
          <w:p w:rsidR="00FC1011" w:rsidRDefault="00F55F5D">
            <w:pPr>
              <w:jc w:val="center"/>
            </w:pPr>
            <w:r>
              <w:rPr>
                <w:rFonts w:asciiTheme="minorEastAsia" w:eastAsiaTheme="minorEastAsia" w:hAnsiTheme="minorEastAsia"/>
                <w:color w:val="000000" w:themeColor="text1"/>
              </w:rPr>
              <w:t>11.7272%</w:t>
            </w:r>
          </w:p>
        </w:tc>
        <w:tc>
          <w:tcPr>
            <w:tcW w:w="1329" w:type="dxa"/>
            <w:vAlign w:val="center"/>
          </w:tcPr>
          <w:p w:rsidR="00FC1011" w:rsidRDefault="00F55F5D">
            <w:pPr>
              <w:jc w:val="center"/>
            </w:pPr>
            <w:r>
              <w:rPr>
                <w:rFonts w:asciiTheme="minorEastAsia" w:eastAsiaTheme="minorEastAsia" w:hAnsiTheme="minorEastAsia"/>
                <w:color w:val="000000" w:themeColor="text1"/>
              </w:rPr>
              <w:t>0.0011%</w:t>
            </w:r>
          </w:p>
        </w:tc>
        <w:tc>
          <w:tcPr>
            <w:tcW w:w="1329" w:type="dxa"/>
            <w:vAlign w:val="center"/>
          </w:tcPr>
          <w:p w:rsidR="00FC1011" w:rsidRDefault="00F55F5D">
            <w:pPr>
              <w:jc w:val="center"/>
            </w:pPr>
            <w:r>
              <w:rPr>
                <w:rFonts w:asciiTheme="minorEastAsia" w:eastAsiaTheme="minorEastAsia" w:hAnsiTheme="minorEastAsia"/>
                <w:color w:val="000000" w:themeColor="text1"/>
              </w:rPr>
              <w:t>6.7537%</w:t>
            </w:r>
          </w:p>
        </w:tc>
        <w:tc>
          <w:tcPr>
            <w:tcW w:w="1329" w:type="dxa"/>
            <w:vAlign w:val="center"/>
          </w:tcPr>
          <w:p w:rsidR="00FC1011" w:rsidRDefault="00F55F5D">
            <w:pPr>
              <w:jc w:val="center"/>
            </w:pPr>
            <w:r>
              <w:rPr>
                <w:rFonts w:asciiTheme="minorEastAsia" w:eastAsiaTheme="minorEastAsia" w:hAnsiTheme="minorEastAsia"/>
                <w:color w:val="000000" w:themeColor="text1"/>
              </w:rPr>
              <w:t>0.0000%</w:t>
            </w:r>
          </w:p>
        </w:tc>
        <w:tc>
          <w:tcPr>
            <w:tcW w:w="1329" w:type="dxa"/>
            <w:vAlign w:val="center"/>
          </w:tcPr>
          <w:p w:rsidR="00FC1011" w:rsidRDefault="00F55F5D">
            <w:pPr>
              <w:jc w:val="center"/>
            </w:pPr>
            <w:r>
              <w:rPr>
                <w:rFonts w:asciiTheme="minorEastAsia" w:eastAsiaTheme="minorEastAsia" w:hAnsiTheme="minorEastAsia"/>
                <w:color w:val="000000" w:themeColor="text1"/>
              </w:rPr>
              <w:t>4.9735%</w:t>
            </w:r>
          </w:p>
        </w:tc>
        <w:tc>
          <w:tcPr>
            <w:tcW w:w="1329" w:type="dxa"/>
            <w:vAlign w:val="center"/>
          </w:tcPr>
          <w:p w:rsidR="00FC1011" w:rsidRDefault="00F55F5D">
            <w:pPr>
              <w:jc w:val="center"/>
            </w:pPr>
            <w:r>
              <w:rPr>
                <w:rFonts w:asciiTheme="minorEastAsia" w:eastAsiaTheme="minorEastAsia" w:hAnsiTheme="minorEastAsia"/>
                <w:color w:val="000000" w:themeColor="text1"/>
              </w:rPr>
              <w:t>0.0011%</w:t>
            </w:r>
          </w:p>
        </w:tc>
      </w:tr>
      <w:tr w:rsidR="00FC1011">
        <w:tc>
          <w:tcPr>
            <w:tcW w:w="1328" w:type="dxa"/>
            <w:vAlign w:val="center"/>
          </w:tcPr>
          <w:p w:rsidR="00FC1011" w:rsidRDefault="00F55F5D">
            <w:pPr>
              <w:jc w:val="left"/>
            </w:pPr>
            <w:r>
              <w:rPr>
                <w:rFonts w:asciiTheme="minorEastAsia" w:eastAsiaTheme="minorEastAsia" w:hAnsiTheme="minorEastAsia"/>
                <w:color w:val="000000" w:themeColor="text1"/>
              </w:rPr>
              <w:t>自基金合同生效起至今</w:t>
            </w:r>
          </w:p>
        </w:tc>
        <w:tc>
          <w:tcPr>
            <w:tcW w:w="1329" w:type="dxa"/>
            <w:vAlign w:val="center"/>
          </w:tcPr>
          <w:p w:rsidR="00FC1011" w:rsidRDefault="00F55F5D">
            <w:pPr>
              <w:jc w:val="center"/>
            </w:pPr>
            <w:r>
              <w:rPr>
                <w:rFonts w:asciiTheme="minorEastAsia" w:eastAsiaTheme="minorEastAsia" w:hAnsiTheme="minorEastAsia"/>
                <w:color w:val="000000" w:themeColor="text1"/>
              </w:rPr>
              <w:t>24.5796%</w:t>
            </w:r>
          </w:p>
        </w:tc>
        <w:tc>
          <w:tcPr>
            <w:tcW w:w="1329" w:type="dxa"/>
            <w:vAlign w:val="center"/>
          </w:tcPr>
          <w:p w:rsidR="00FC1011" w:rsidRDefault="00F55F5D">
            <w:pPr>
              <w:jc w:val="center"/>
            </w:pPr>
            <w:r>
              <w:rPr>
                <w:rFonts w:asciiTheme="minorEastAsia" w:eastAsiaTheme="minorEastAsia" w:hAnsiTheme="minorEastAsia"/>
                <w:color w:val="000000" w:themeColor="text1"/>
              </w:rPr>
              <w:t>0.0023%</w:t>
            </w:r>
          </w:p>
        </w:tc>
        <w:tc>
          <w:tcPr>
            <w:tcW w:w="1329" w:type="dxa"/>
            <w:vAlign w:val="center"/>
          </w:tcPr>
          <w:p w:rsidR="00FC1011" w:rsidRDefault="00F55F5D">
            <w:pPr>
              <w:jc w:val="center"/>
            </w:pPr>
            <w:r>
              <w:rPr>
                <w:rFonts w:asciiTheme="minorEastAsia" w:eastAsiaTheme="minorEastAsia" w:hAnsiTheme="minorEastAsia"/>
                <w:color w:val="000000" w:themeColor="text1"/>
              </w:rPr>
              <w:t>11.6137%</w:t>
            </w:r>
          </w:p>
        </w:tc>
        <w:tc>
          <w:tcPr>
            <w:tcW w:w="1329" w:type="dxa"/>
            <w:vAlign w:val="center"/>
          </w:tcPr>
          <w:p w:rsidR="00FC1011" w:rsidRDefault="00F55F5D">
            <w:pPr>
              <w:jc w:val="center"/>
            </w:pPr>
            <w:r>
              <w:rPr>
                <w:rFonts w:asciiTheme="minorEastAsia" w:eastAsiaTheme="minorEastAsia" w:hAnsiTheme="minorEastAsia"/>
                <w:color w:val="000000" w:themeColor="text1"/>
              </w:rPr>
              <w:t>0.0000%</w:t>
            </w:r>
          </w:p>
        </w:tc>
        <w:tc>
          <w:tcPr>
            <w:tcW w:w="1329" w:type="dxa"/>
            <w:vAlign w:val="center"/>
          </w:tcPr>
          <w:p w:rsidR="00FC1011" w:rsidRDefault="00F55F5D">
            <w:pPr>
              <w:jc w:val="center"/>
            </w:pPr>
            <w:r>
              <w:rPr>
                <w:rFonts w:asciiTheme="minorEastAsia" w:eastAsiaTheme="minorEastAsia" w:hAnsiTheme="minorEastAsia"/>
                <w:color w:val="000000" w:themeColor="text1"/>
              </w:rPr>
              <w:t>12.9659%</w:t>
            </w:r>
          </w:p>
        </w:tc>
        <w:tc>
          <w:tcPr>
            <w:tcW w:w="1329" w:type="dxa"/>
            <w:vAlign w:val="center"/>
          </w:tcPr>
          <w:p w:rsidR="00FC1011" w:rsidRDefault="00F55F5D">
            <w:pPr>
              <w:jc w:val="center"/>
            </w:pPr>
            <w:r>
              <w:rPr>
                <w:rFonts w:asciiTheme="minorEastAsia" w:eastAsiaTheme="minorEastAsia" w:hAnsiTheme="minorEastAsia"/>
                <w:color w:val="000000" w:themeColor="text1"/>
              </w:rPr>
              <w:t>0.0023%</w:t>
            </w:r>
          </w:p>
        </w:tc>
      </w:tr>
    </w:tbl>
    <w:p w:rsidR="00DA315C" w:rsidRDefault="00CC2E83" w:rsidP="004600C4">
      <w:pPr>
        <w:pStyle w:val="20"/>
        <w:spacing w:beforeLines="50" w:before="120" w:line="360" w:lineRule="auto"/>
        <w:ind w:firstLineChars="0" w:firstLine="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4、</w:t>
      </w:r>
      <w:r w:rsidR="00050540">
        <w:rPr>
          <w:rFonts w:asciiTheme="minorEastAsia" w:eastAsiaTheme="minorEastAsia" w:hAnsiTheme="minorEastAsia" w:hint="eastAsia"/>
          <w:b/>
          <w:color w:val="000000" w:themeColor="text1"/>
        </w:rPr>
        <w:t>摩根天添盈货币C类</w:t>
      </w:r>
      <w:r>
        <w:rPr>
          <w:rFonts w:asciiTheme="minorEastAsia" w:eastAsiaTheme="minorEastAsia" w:hAnsiTheme="minorEastAsia" w:hint="eastAsia"/>
          <w:b/>
          <w:color w:val="000000" w:themeColor="text1"/>
        </w:rPr>
        <w:t>：</w:t>
      </w:r>
    </w:p>
    <w:tbl>
      <w:tblPr>
        <w:tblStyle w:val="af2"/>
        <w:tblW w:w="0" w:type="auto"/>
        <w:tblLayout w:type="fixed"/>
        <w:tblLook w:val="04A0" w:firstRow="1" w:lastRow="0" w:firstColumn="1" w:lastColumn="0" w:noHBand="0" w:noVBand="1"/>
      </w:tblPr>
      <w:tblGrid>
        <w:gridCol w:w="1328"/>
        <w:gridCol w:w="1329"/>
        <w:gridCol w:w="1329"/>
        <w:gridCol w:w="1329"/>
        <w:gridCol w:w="1329"/>
        <w:gridCol w:w="1329"/>
        <w:gridCol w:w="1329"/>
      </w:tblGrid>
      <w:tr w:rsidR="00DA315C">
        <w:tc>
          <w:tcPr>
            <w:tcW w:w="1328"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阶段</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净值收益率①</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净值收益率标准差②</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业绩比较基准收益率③</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业绩比较基准收益率标准差④</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①-③</w:t>
            </w:r>
          </w:p>
        </w:tc>
        <w:tc>
          <w:tcPr>
            <w:tcW w:w="1329" w:type="dxa"/>
            <w:vAlign w:val="center"/>
          </w:tcPr>
          <w:p w:rsidR="00DA315C" w:rsidRDefault="00CC2E83">
            <w:pPr>
              <w:pStyle w:val="af1"/>
              <w:adjustRightInd w:val="0"/>
              <w:snapToGrid w:val="0"/>
              <w:spacing w:before="0" w:beforeAutospacing="0" w:after="0" w:afterAutospacing="0" w:line="360" w:lineRule="auto"/>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②-④</w:t>
            </w:r>
          </w:p>
        </w:tc>
      </w:tr>
      <w:tr w:rsidR="00FC1011">
        <w:tc>
          <w:tcPr>
            <w:tcW w:w="1328" w:type="dxa"/>
            <w:vAlign w:val="center"/>
          </w:tcPr>
          <w:p w:rsidR="00FC1011" w:rsidRDefault="00F55F5D">
            <w:pPr>
              <w:jc w:val="left"/>
            </w:pPr>
            <w:r>
              <w:rPr>
                <w:rFonts w:asciiTheme="minorEastAsia" w:eastAsiaTheme="minorEastAsia" w:hAnsiTheme="minorEastAsia"/>
                <w:color w:val="000000" w:themeColor="text1"/>
              </w:rPr>
              <w:t>过去三个月</w:t>
            </w:r>
          </w:p>
        </w:tc>
        <w:tc>
          <w:tcPr>
            <w:tcW w:w="1329" w:type="dxa"/>
            <w:vAlign w:val="center"/>
          </w:tcPr>
          <w:p w:rsidR="00FC1011" w:rsidRDefault="00F55F5D">
            <w:pPr>
              <w:jc w:val="center"/>
            </w:pPr>
            <w:r>
              <w:rPr>
                <w:rFonts w:asciiTheme="minorEastAsia" w:eastAsiaTheme="minorEastAsia" w:hAnsiTheme="minorEastAsia"/>
                <w:color w:val="000000" w:themeColor="text1"/>
              </w:rPr>
              <w:t>0.4985%</w:t>
            </w:r>
          </w:p>
        </w:tc>
        <w:tc>
          <w:tcPr>
            <w:tcW w:w="1329" w:type="dxa"/>
            <w:vAlign w:val="center"/>
          </w:tcPr>
          <w:p w:rsidR="00FC1011" w:rsidRDefault="00F55F5D">
            <w:pPr>
              <w:jc w:val="center"/>
            </w:pPr>
            <w:r>
              <w:rPr>
                <w:rFonts w:asciiTheme="minorEastAsia" w:eastAsiaTheme="minorEastAsia" w:hAnsiTheme="minorEastAsia"/>
                <w:color w:val="000000" w:themeColor="text1"/>
              </w:rPr>
              <w:t>0.0005%</w:t>
            </w:r>
          </w:p>
        </w:tc>
        <w:tc>
          <w:tcPr>
            <w:tcW w:w="1329" w:type="dxa"/>
            <w:vAlign w:val="center"/>
          </w:tcPr>
          <w:p w:rsidR="00FC1011" w:rsidRDefault="00F55F5D">
            <w:pPr>
              <w:jc w:val="center"/>
            </w:pPr>
            <w:r>
              <w:rPr>
                <w:rFonts w:asciiTheme="minorEastAsia" w:eastAsiaTheme="minorEastAsia" w:hAnsiTheme="minorEastAsia"/>
                <w:color w:val="000000" w:themeColor="text1"/>
              </w:rPr>
              <w:t>0.3366%</w:t>
            </w:r>
          </w:p>
        </w:tc>
        <w:tc>
          <w:tcPr>
            <w:tcW w:w="1329" w:type="dxa"/>
            <w:vAlign w:val="center"/>
          </w:tcPr>
          <w:p w:rsidR="00FC1011" w:rsidRDefault="00F55F5D">
            <w:pPr>
              <w:jc w:val="center"/>
            </w:pPr>
            <w:r>
              <w:rPr>
                <w:rFonts w:asciiTheme="minorEastAsia" w:eastAsiaTheme="minorEastAsia" w:hAnsiTheme="minorEastAsia"/>
                <w:color w:val="000000" w:themeColor="text1"/>
              </w:rPr>
              <w:t>0.0000%</w:t>
            </w:r>
          </w:p>
        </w:tc>
        <w:tc>
          <w:tcPr>
            <w:tcW w:w="1329" w:type="dxa"/>
            <w:vAlign w:val="center"/>
          </w:tcPr>
          <w:p w:rsidR="00FC1011" w:rsidRDefault="00F55F5D">
            <w:pPr>
              <w:jc w:val="center"/>
            </w:pPr>
            <w:r>
              <w:rPr>
                <w:rFonts w:asciiTheme="minorEastAsia" w:eastAsiaTheme="minorEastAsia" w:hAnsiTheme="minorEastAsia"/>
                <w:color w:val="000000" w:themeColor="text1"/>
              </w:rPr>
              <w:t>0.1619%</w:t>
            </w:r>
          </w:p>
        </w:tc>
        <w:tc>
          <w:tcPr>
            <w:tcW w:w="1329" w:type="dxa"/>
            <w:vAlign w:val="center"/>
          </w:tcPr>
          <w:p w:rsidR="00FC1011" w:rsidRDefault="00F55F5D">
            <w:pPr>
              <w:jc w:val="center"/>
            </w:pPr>
            <w:r>
              <w:rPr>
                <w:rFonts w:asciiTheme="minorEastAsia" w:eastAsiaTheme="minorEastAsia" w:hAnsiTheme="minorEastAsia"/>
                <w:color w:val="000000" w:themeColor="text1"/>
              </w:rPr>
              <w:t>0.0005%</w:t>
            </w:r>
          </w:p>
        </w:tc>
      </w:tr>
      <w:tr w:rsidR="00FC1011">
        <w:tc>
          <w:tcPr>
            <w:tcW w:w="1328" w:type="dxa"/>
            <w:vAlign w:val="center"/>
          </w:tcPr>
          <w:p w:rsidR="00FC1011" w:rsidRDefault="00F55F5D">
            <w:pPr>
              <w:jc w:val="left"/>
            </w:pPr>
            <w:r>
              <w:rPr>
                <w:rFonts w:asciiTheme="minorEastAsia" w:eastAsiaTheme="minorEastAsia" w:hAnsiTheme="minorEastAsia"/>
                <w:color w:val="000000" w:themeColor="text1"/>
              </w:rPr>
              <w:t>过去六个月</w:t>
            </w:r>
          </w:p>
        </w:tc>
        <w:tc>
          <w:tcPr>
            <w:tcW w:w="1329" w:type="dxa"/>
            <w:vAlign w:val="center"/>
          </w:tcPr>
          <w:p w:rsidR="00FC1011" w:rsidRDefault="00F55F5D">
            <w:pPr>
              <w:jc w:val="center"/>
            </w:pPr>
            <w:r>
              <w:rPr>
                <w:rFonts w:asciiTheme="minorEastAsia" w:eastAsiaTheme="minorEastAsia" w:hAnsiTheme="minorEastAsia"/>
                <w:color w:val="000000" w:themeColor="text1"/>
              </w:rPr>
              <w:t>0.9676%</w:t>
            </w:r>
          </w:p>
        </w:tc>
        <w:tc>
          <w:tcPr>
            <w:tcW w:w="1329" w:type="dxa"/>
            <w:vAlign w:val="center"/>
          </w:tcPr>
          <w:p w:rsidR="00FC1011" w:rsidRDefault="00F55F5D">
            <w:pPr>
              <w:jc w:val="center"/>
            </w:pPr>
            <w:r>
              <w:rPr>
                <w:rFonts w:asciiTheme="minorEastAsia" w:eastAsiaTheme="minorEastAsia" w:hAnsiTheme="minorEastAsia"/>
                <w:color w:val="000000" w:themeColor="text1"/>
              </w:rPr>
              <w:t>0.0004%</w:t>
            </w:r>
          </w:p>
        </w:tc>
        <w:tc>
          <w:tcPr>
            <w:tcW w:w="1329" w:type="dxa"/>
            <w:vAlign w:val="center"/>
          </w:tcPr>
          <w:p w:rsidR="00FC1011" w:rsidRDefault="00F55F5D">
            <w:pPr>
              <w:jc w:val="center"/>
            </w:pPr>
            <w:r>
              <w:rPr>
                <w:rFonts w:asciiTheme="minorEastAsia" w:eastAsiaTheme="minorEastAsia" w:hAnsiTheme="minorEastAsia"/>
                <w:color w:val="000000" w:themeColor="text1"/>
              </w:rPr>
              <w:t>0.6695%</w:t>
            </w:r>
          </w:p>
        </w:tc>
        <w:tc>
          <w:tcPr>
            <w:tcW w:w="1329" w:type="dxa"/>
            <w:vAlign w:val="center"/>
          </w:tcPr>
          <w:p w:rsidR="00FC1011" w:rsidRDefault="00F55F5D">
            <w:pPr>
              <w:jc w:val="center"/>
            </w:pPr>
            <w:r>
              <w:rPr>
                <w:rFonts w:asciiTheme="minorEastAsia" w:eastAsiaTheme="minorEastAsia" w:hAnsiTheme="minorEastAsia"/>
                <w:color w:val="000000" w:themeColor="text1"/>
              </w:rPr>
              <w:t>0.0000%</w:t>
            </w:r>
          </w:p>
        </w:tc>
        <w:tc>
          <w:tcPr>
            <w:tcW w:w="1329" w:type="dxa"/>
            <w:vAlign w:val="center"/>
          </w:tcPr>
          <w:p w:rsidR="00FC1011" w:rsidRDefault="00F55F5D">
            <w:pPr>
              <w:jc w:val="center"/>
            </w:pPr>
            <w:r>
              <w:rPr>
                <w:rFonts w:asciiTheme="minorEastAsia" w:eastAsiaTheme="minorEastAsia" w:hAnsiTheme="minorEastAsia"/>
                <w:color w:val="000000" w:themeColor="text1"/>
              </w:rPr>
              <w:t>0.2981%</w:t>
            </w:r>
          </w:p>
        </w:tc>
        <w:tc>
          <w:tcPr>
            <w:tcW w:w="1329" w:type="dxa"/>
            <w:vAlign w:val="center"/>
          </w:tcPr>
          <w:p w:rsidR="00FC1011" w:rsidRDefault="00F55F5D">
            <w:pPr>
              <w:jc w:val="center"/>
            </w:pPr>
            <w:r>
              <w:rPr>
                <w:rFonts w:asciiTheme="minorEastAsia" w:eastAsiaTheme="minorEastAsia" w:hAnsiTheme="minorEastAsia"/>
                <w:color w:val="000000" w:themeColor="text1"/>
              </w:rPr>
              <w:t>0.0004%</w:t>
            </w:r>
          </w:p>
        </w:tc>
      </w:tr>
      <w:tr w:rsidR="00FC1011">
        <w:tc>
          <w:tcPr>
            <w:tcW w:w="1328" w:type="dxa"/>
            <w:vAlign w:val="center"/>
          </w:tcPr>
          <w:p w:rsidR="00FC1011" w:rsidRDefault="00F55F5D">
            <w:pPr>
              <w:jc w:val="left"/>
            </w:pPr>
            <w:r>
              <w:rPr>
                <w:rFonts w:asciiTheme="minorEastAsia" w:eastAsiaTheme="minorEastAsia" w:hAnsiTheme="minorEastAsia"/>
                <w:color w:val="000000" w:themeColor="text1"/>
              </w:rPr>
              <w:lastRenderedPageBreak/>
              <w:t>过去一年</w:t>
            </w:r>
          </w:p>
        </w:tc>
        <w:tc>
          <w:tcPr>
            <w:tcW w:w="1329" w:type="dxa"/>
            <w:vAlign w:val="center"/>
          </w:tcPr>
          <w:p w:rsidR="00FC1011" w:rsidRDefault="00F55F5D">
            <w:pPr>
              <w:jc w:val="center"/>
            </w:pPr>
            <w:r>
              <w:rPr>
                <w:rFonts w:asciiTheme="minorEastAsia" w:eastAsiaTheme="minorEastAsia" w:hAnsiTheme="minorEastAsia"/>
                <w:color w:val="000000" w:themeColor="text1"/>
              </w:rPr>
              <w:t>-</w:t>
            </w:r>
          </w:p>
        </w:tc>
        <w:tc>
          <w:tcPr>
            <w:tcW w:w="1329" w:type="dxa"/>
            <w:vAlign w:val="center"/>
          </w:tcPr>
          <w:p w:rsidR="00FC1011" w:rsidRDefault="00F55F5D">
            <w:pPr>
              <w:jc w:val="center"/>
            </w:pPr>
            <w:r>
              <w:rPr>
                <w:rFonts w:asciiTheme="minorEastAsia" w:eastAsiaTheme="minorEastAsia" w:hAnsiTheme="minorEastAsia"/>
                <w:color w:val="000000" w:themeColor="text1"/>
              </w:rPr>
              <w:t>-</w:t>
            </w:r>
          </w:p>
        </w:tc>
        <w:tc>
          <w:tcPr>
            <w:tcW w:w="1329" w:type="dxa"/>
            <w:vAlign w:val="center"/>
          </w:tcPr>
          <w:p w:rsidR="00FC1011" w:rsidRDefault="00F55F5D">
            <w:pPr>
              <w:jc w:val="center"/>
            </w:pPr>
            <w:r>
              <w:rPr>
                <w:rFonts w:asciiTheme="minorEastAsia" w:eastAsiaTheme="minorEastAsia" w:hAnsiTheme="minorEastAsia"/>
                <w:color w:val="000000" w:themeColor="text1"/>
              </w:rPr>
              <w:t>-</w:t>
            </w:r>
          </w:p>
        </w:tc>
        <w:tc>
          <w:tcPr>
            <w:tcW w:w="1329" w:type="dxa"/>
            <w:vAlign w:val="center"/>
          </w:tcPr>
          <w:p w:rsidR="00FC1011" w:rsidRDefault="00F55F5D">
            <w:pPr>
              <w:jc w:val="center"/>
            </w:pPr>
            <w:r>
              <w:rPr>
                <w:rFonts w:asciiTheme="minorEastAsia" w:eastAsiaTheme="minorEastAsia" w:hAnsiTheme="minorEastAsia"/>
                <w:color w:val="000000" w:themeColor="text1"/>
              </w:rPr>
              <w:t>-</w:t>
            </w:r>
          </w:p>
        </w:tc>
        <w:tc>
          <w:tcPr>
            <w:tcW w:w="1329" w:type="dxa"/>
            <w:vAlign w:val="center"/>
          </w:tcPr>
          <w:p w:rsidR="00FC1011" w:rsidRDefault="00F55F5D">
            <w:pPr>
              <w:jc w:val="center"/>
            </w:pPr>
            <w:r>
              <w:rPr>
                <w:rFonts w:asciiTheme="minorEastAsia" w:eastAsiaTheme="minorEastAsia" w:hAnsiTheme="minorEastAsia"/>
                <w:color w:val="000000" w:themeColor="text1"/>
              </w:rPr>
              <w:t>-</w:t>
            </w:r>
          </w:p>
        </w:tc>
        <w:tc>
          <w:tcPr>
            <w:tcW w:w="1329" w:type="dxa"/>
            <w:vAlign w:val="center"/>
          </w:tcPr>
          <w:p w:rsidR="00FC1011" w:rsidRDefault="00F55F5D">
            <w:pPr>
              <w:jc w:val="center"/>
            </w:pPr>
            <w:r>
              <w:rPr>
                <w:rFonts w:asciiTheme="minorEastAsia" w:eastAsiaTheme="minorEastAsia" w:hAnsiTheme="minorEastAsia"/>
                <w:color w:val="000000" w:themeColor="text1"/>
              </w:rPr>
              <w:t>-</w:t>
            </w:r>
          </w:p>
        </w:tc>
      </w:tr>
      <w:tr w:rsidR="00FC1011">
        <w:tc>
          <w:tcPr>
            <w:tcW w:w="1328" w:type="dxa"/>
            <w:vAlign w:val="center"/>
          </w:tcPr>
          <w:p w:rsidR="00FC1011" w:rsidRDefault="00F55F5D">
            <w:pPr>
              <w:jc w:val="left"/>
            </w:pPr>
            <w:r>
              <w:rPr>
                <w:rFonts w:asciiTheme="minorEastAsia" w:eastAsiaTheme="minorEastAsia" w:hAnsiTheme="minorEastAsia"/>
                <w:color w:val="000000" w:themeColor="text1"/>
              </w:rPr>
              <w:t>过去五年</w:t>
            </w:r>
          </w:p>
        </w:tc>
        <w:tc>
          <w:tcPr>
            <w:tcW w:w="1329" w:type="dxa"/>
            <w:vAlign w:val="center"/>
          </w:tcPr>
          <w:p w:rsidR="00FC1011" w:rsidRDefault="00F55F5D">
            <w:pPr>
              <w:jc w:val="center"/>
            </w:pPr>
            <w:r>
              <w:rPr>
                <w:rFonts w:asciiTheme="minorEastAsia" w:eastAsiaTheme="minorEastAsia" w:hAnsiTheme="minorEastAsia"/>
                <w:color w:val="000000" w:themeColor="text1"/>
              </w:rPr>
              <w:t>-</w:t>
            </w:r>
          </w:p>
        </w:tc>
        <w:tc>
          <w:tcPr>
            <w:tcW w:w="1329" w:type="dxa"/>
            <w:vAlign w:val="center"/>
          </w:tcPr>
          <w:p w:rsidR="00FC1011" w:rsidRDefault="00F55F5D">
            <w:pPr>
              <w:jc w:val="center"/>
            </w:pPr>
            <w:r>
              <w:rPr>
                <w:rFonts w:asciiTheme="minorEastAsia" w:eastAsiaTheme="minorEastAsia" w:hAnsiTheme="minorEastAsia"/>
                <w:color w:val="000000" w:themeColor="text1"/>
              </w:rPr>
              <w:t>-</w:t>
            </w:r>
          </w:p>
        </w:tc>
        <w:tc>
          <w:tcPr>
            <w:tcW w:w="1329" w:type="dxa"/>
            <w:vAlign w:val="center"/>
          </w:tcPr>
          <w:p w:rsidR="00FC1011" w:rsidRDefault="00F55F5D">
            <w:pPr>
              <w:jc w:val="center"/>
            </w:pPr>
            <w:r>
              <w:rPr>
                <w:rFonts w:asciiTheme="minorEastAsia" w:eastAsiaTheme="minorEastAsia" w:hAnsiTheme="minorEastAsia"/>
                <w:color w:val="000000" w:themeColor="text1"/>
              </w:rPr>
              <w:t>-</w:t>
            </w:r>
          </w:p>
        </w:tc>
        <w:tc>
          <w:tcPr>
            <w:tcW w:w="1329" w:type="dxa"/>
            <w:vAlign w:val="center"/>
          </w:tcPr>
          <w:p w:rsidR="00FC1011" w:rsidRDefault="00F55F5D">
            <w:pPr>
              <w:jc w:val="center"/>
            </w:pPr>
            <w:r>
              <w:rPr>
                <w:rFonts w:asciiTheme="minorEastAsia" w:eastAsiaTheme="minorEastAsia" w:hAnsiTheme="minorEastAsia"/>
                <w:color w:val="000000" w:themeColor="text1"/>
              </w:rPr>
              <w:t>-</w:t>
            </w:r>
          </w:p>
        </w:tc>
        <w:tc>
          <w:tcPr>
            <w:tcW w:w="1329" w:type="dxa"/>
            <w:vAlign w:val="center"/>
          </w:tcPr>
          <w:p w:rsidR="00FC1011" w:rsidRDefault="00F55F5D">
            <w:pPr>
              <w:jc w:val="center"/>
            </w:pPr>
            <w:r>
              <w:rPr>
                <w:rFonts w:asciiTheme="minorEastAsia" w:eastAsiaTheme="minorEastAsia" w:hAnsiTheme="minorEastAsia"/>
                <w:color w:val="000000" w:themeColor="text1"/>
              </w:rPr>
              <w:t>-</w:t>
            </w:r>
          </w:p>
        </w:tc>
        <w:tc>
          <w:tcPr>
            <w:tcW w:w="1329" w:type="dxa"/>
            <w:vAlign w:val="center"/>
          </w:tcPr>
          <w:p w:rsidR="00FC1011" w:rsidRDefault="00F55F5D">
            <w:pPr>
              <w:jc w:val="center"/>
            </w:pPr>
            <w:r>
              <w:rPr>
                <w:rFonts w:asciiTheme="minorEastAsia" w:eastAsiaTheme="minorEastAsia" w:hAnsiTheme="minorEastAsia"/>
                <w:color w:val="000000" w:themeColor="text1"/>
              </w:rPr>
              <w:t>-</w:t>
            </w:r>
          </w:p>
        </w:tc>
      </w:tr>
      <w:tr w:rsidR="00FC1011">
        <w:tc>
          <w:tcPr>
            <w:tcW w:w="1328" w:type="dxa"/>
            <w:vAlign w:val="center"/>
          </w:tcPr>
          <w:p w:rsidR="00FC1011" w:rsidRDefault="00F55F5D">
            <w:pPr>
              <w:jc w:val="left"/>
            </w:pPr>
            <w:r>
              <w:rPr>
                <w:rFonts w:asciiTheme="minorEastAsia" w:eastAsiaTheme="minorEastAsia" w:hAnsiTheme="minorEastAsia"/>
                <w:color w:val="000000" w:themeColor="text1"/>
              </w:rPr>
              <w:t>过去三年</w:t>
            </w:r>
          </w:p>
        </w:tc>
        <w:tc>
          <w:tcPr>
            <w:tcW w:w="1329" w:type="dxa"/>
            <w:vAlign w:val="center"/>
          </w:tcPr>
          <w:p w:rsidR="00FC1011" w:rsidRDefault="00F55F5D">
            <w:pPr>
              <w:jc w:val="center"/>
            </w:pPr>
            <w:r>
              <w:rPr>
                <w:rFonts w:asciiTheme="minorEastAsia" w:eastAsiaTheme="minorEastAsia" w:hAnsiTheme="minorEastAsia"/>
                <w:color w:val="000000" w:themeColor="text1"/>
              </w:rPr>
              <w:t>-</w:t>
            </w:r>
          </w:p>
        </w:tc>
        <w:tc>
          <w:tcPr>
            <w:tcW w:w="1329" w:type="dxa"/>
            <w:vAlign w:val="center"/>
          </w:tcPr>
          <w:p w:rsidR="00FC1011" w:rsidRDefault="00F55F5D">
            <w:pPr>
              <w:jc w:val="center"/>
            </w:pPr>
            <w:r>
              <w:rPr>
                <w:rFonts w:asciiTheme="minorEastAsia" w:eastAsiaTheme="minorEastAsia" w:hAnsiTheme="minorEastAsia"/>
                <w:color w:val="000000" w:themeColor="text1"/>
              </w:rPr>
              <w:t>-</w:t>
            </w:r>
          </w:p>
        </w:tc>
        <w:tc>
          <w:tcPr>
            <w:tcW w:w="1329" w:type="dxa"/>
            <w:vAlign w:val="center"/>
          </w:tcPr>
          <w:p w:rsidR="00FC1011" w:rsidRDefault="00F55F5D">
            <w:pPr>
              <w:jc w:val="center"/>
            </w:pPr>
            <w:r>
              <w:rPr>
                <w:rFonts w:asciiTheme="minorEastAsia" w:eastAsiaTheme="minorEastAsia" w:hAnsiTheme="minorEastAsia"/>
                <w:color w:val="000000" w:themeColor="text1"/>
              </w:rPr>
              <w:t>-</w:t>
            </w:r>
          </w:p>
        </w:tc>
        <w:tc>
          <w:tcPr>
            <w:tcW w:w="1329" w:type="dxa"/>
            <w:vAlign w:val="center"/>
          </w:tcPr>
          <w:p w:rsidR="00FC1011" w:rsidRDefault="00F55F5D">
            <w:pPr>
              <w:jc w:val="center"/>
            </w:pPr>
            <w:r>
              <w:rPr>
                <w:rFonts w:asciiTheme="minorEastAsia" w:eastAsiaTheme="minorEastAsia" w:hAnsiTheme="minorEastAsia"/>
                <w:color w:val="000000" w:themeColor="text1"/>
              </w:rPr>
              <w:t>-</w:t>
            </w:r>
          </w:p>
        </w:tc>
        <w:tc>
          <w:tcPr>
            <w:tcW w:w="1329" w:type="dxa"/>
            <w:vAlign w:val="center"/>
          </w:tcPr>
          <w:p w:rsidR="00FC1011" w:rsidRDefault="00F55F5D">
            <w:pPr>
              <w:jc w:val="center"/>
            </w:pPr>
            <w:r>
              <w:rPr>
                <w:rFonts w:asciiTheme="minorEastAsia" w:eastAsiaTheme="minorEastAsia" w:hAnsiTheme="minorEastAsia"/>
                <w:color w:val="000000" w:themeColor="text1"/>
              </w:rPr>
              <w:t>-</w:t>
            </w:r>
          </w:p>
        </w:tc>
        <w:tc>
          <w:tcPr>
            <w:tcW w:w="1329" w:type="dxa"/>
            <w:vAlign w:val="center"/>
          </w:tcPr>
          <w:p w:rsidR="00FC1011" w:rsidRDefault="00F55F5D">
            <w:pPr>
              <w:jc w:val="center"/>
            </w:pPr>
            <w:r>
              <w:rPr>
                <w:rFonts w:asciiTheme="minorEastAsia" w:eastAsiaTheme="minorEastAsia" w:hAnsiTheme="minorEastAsia"/>
                <w:color w:val="000000" w:themeColor="text1"/>
              </w:rPr>
              <w:t>-</w:t>
            </w:r>
          </w:p>
        </w:tc>
      </w:tr>
      <w:tr w:rsidR="00FC1011">
        <w:tc>
          <w:tcPr>
            <w:tcW w:w="1328" w:type="dxa"/>
            <w:vAlign w:val="center"/>
          </w:tcPr>
          <w:p w:rsidR="00FC1011" w:rsidRDefault="00F55F5D">
            <w:pPr>
              <w:jc w:val="left"/>
            </w:pPr>
            <w:r>
              <w:rPr>
                <w:rFonts w:asciiTheme="minorEastAsia" w:eastAsiaTheme="minorEastAsia" w:hAnsiTheme="minorEastAsia"/>
                <w:color w:val="000000" w:themeColor="text1"/>
              </w:rPr>
              <w:t>自基金合同生效起至今</w:t>
            </w:r>
          </w:p>
        </w:tc>
        <w:tc>
          <w:tcPr>
            <w:tcW w:w="1329" w:type="dxa"/>
            <w:vAlign w:val="center"/>
          </w:tcPr>
          <w:p w:rsidR="00FC1011" w:rsidRDefault="00F55F5D">
            <w:pPr>
              <w:jc w:val="center"/>
            </w:pPr>
            <w:r>
              <w:rPr>
                <w:rFonts w:asciiTheme="minorEastAsia" w:eastAsiaTheme="minorEastAsia" w:hAnsiTheme="minorEastAsia"/>
                <w:color w:val="000000" w:themeColor="text1"/>
              </w:rPr>
              <w:t>1.3099%</w:t>
            </w:r>
          </w:p>
        </w:tc>
        <w:tc>
          <w:tcPr>
            <w:tcW w:w="1329" w:type="dxa"/>
            <w:vAlign w:val="center"/>
          </w:tcPr>
          <w:p w:rsidR="00FC1011" w:rsidRDefault="00F55F5D">
            <w:pPr>
              <w:jc w:val="center"/>
            </w:pPr>
            <w:r>
              <w:rPr>
                <w:rFonts w:asciiTheme="minorEastAsia" w:eastAsiaTheme="minorEastAsia" w:hAnsiTheme="minorEastAsia"/>
                <w:color w:val="000000" w:themeColor="text1"/>
              </w:rPr>
              <w:t>0.0015%</w:t>
            </w:r>
          </w:p>
        </w:tc>
        <w:tc>
          <w:tcPr>
            <w:tcW w:w="1329" w:type="dxa"/>
            <w:vAlign w:val="center"/>
          </w:tcPr>
          <w:p w:rsidR="00FC1011" w:rsidRDefault="00F55F5D">
            <w:pPr>
              <w:jc w:val="center"/>
            </w:pPr>
            <w:r>
              <w:rPr>
                <w:rFonts w:asciiTheme="minorEastAsia" w:eastAsiaTheme="minorEastAsia" w:hAnsiTheme="minorEastAsia"/>
                <w:color w:val="000000" w:themeColor="text1"/>
              </w:rPr>
              <w:t>0.9099%</w:t>
            </w:r>
          </w:p>
        </w:tc>
        <w:tc>
          <w:tcPr>
            <w:tcW w:w="1329" w:type="dxa"/>
            <w:vAlign w:val="center"/>
          </w:tcPr>
          <w:p w:rsidR="00FC1011" w:rsidRDefault="00F55F5D">
            <w:pPr>
              <w:jc w:val="center"/>
            </w:pPr>
            <w:r>
              <w:rPr>
                <w:rFonts w:asciiTheme="minorEastAsia" w:eastAsiaTheme="minorEastAsia" w:hAnsiTheme="minorEastAsia"/>
                <w:color w:val="000000" w:themeColor="text1"/>
              </w:rPr>
              <w:t>0.0000%</w:t>
            </w:r>
          </w:p>
        </w:tc>
        <w:tc>
          <w:tcPr>
            <w:tcW w:w="1329" w:type="dxa"/>
            <w:vAlign w:val="center"/>
          </w:tcPr>
          <w:p w:rsidR="00FC1011" w:rsidRDefault="00F55F5D">
            <w:pPr>
              <w:jc w:val="center"/>
            </w:pPr>
            <w:r>
              <w:rPr>
                <w:rFonts w:asciiTheme="minorEastAsia" w:eastAsiaTheme="minorEastAsia" w:hAnsiTheme="minorEastAsia"/>
                <w:color w:val="000000" w:themeColor="text1"/>
              </w:rPr>
              <w:t>0.4000%</w:t>
            </w:r>
          </w:p>
        </w:tc>
        <w:tc>
          <w:tcPr>
            <w:tcW w:w="1329" w:type="dxa"/>
            <w:vAlign w:val="center"/>
          </w:tcPr>
          <w:p w:rsidR="00FC1011" w:rsidRDefault="00F55F5D">
            <w:pPr>
              <w:jc w:val="center"/>
            </w:pPr>
            <w:r>
              <w:rPr>
                <w:rFonts w:asciiTheme="minorEastAsia" w:eastAsiaTheme="minorEastAsia" w:hAnsiTheme="minorEastAsia"/>
                <w:color w:val="000000" w:themeColor="text1"/>
              </w:rPr>
              <w:t>0.0015%</w:t>
            </w:r>
          </w:p>
        </w:tc>
      </w:tr>
    </w:tbl>
    <w:p w:rsidR="00DA315C" w:rsidRDefault="00CC2E83" w:rsidP="00614961">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注：本基金收益分配按日结转份额。</w:t>
      </w:r>
    </w:p>
    <w:p w:rsidR="00DA315C" w:rsidRDefault="00CC2E83" w:rsidP="004600C4">
      <w:pPr>
        <w:spacing w:beforeLines="50" w:before="12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3.2.2</w:t>
      </w:r>
      <w:r>
        <w:rPr>
          <w:rFonts w:asciiTheme="minorEastAsia" w:eastAsiaTheme="minorEastAsia" w:hAnsiTheme="minorEastAsia" w:cs="Arial" w:hint="eastAsia"/>
          <w:b/>
          <w:color w:val="000000" w:themeColor="text1"/>
          <w:kern w:val="0"/>
          <w:sz w:val="24"/>
        </w:rPr>
        <w:t xml:space="preserve"> </w:t>
      </w:r>
      <w:r>
        <w:rPr>
          <w:rStyle w:val="af3"/>
          <w:rFonts w:hint="eastAsia"/>
          <w:color w:val="000000" w:themeColor="text1"/>
          <w:sz w:val="24"/>
          <w:shd w:val="clear" w:color="auto" w:fill="FFFFFF"/>
        </w:rPr>
        <w:t>自基金合同生效以来</w:t>
      </w:r>
      <w:r>
        <w:rPr>
          <w:rFonts w:asciiTheme="minorEastAsia" w:eastAsiaTheme="minorEastAsia" w:hAnsiTheme="minorEastAsia" w:cs="Arial" w:hint="eastAsia"/>
          <w:b/>
          <w:color w:val="000000" w:themeColor="text1"/>
          <w:kern w:val="0"/>
          <w:sz w:val="24"/>
        </w:rPr>
        <w:t>基金累计净值收益率变动及其与同期业绩比较基准收益率变动的比较</w:t>
      </w:r>
    </w:p>
    <w:p w:rsidR="00DA315C" w:rsidRDefault="00CC2E83">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摩根天添盈货币市场基金</w:t>
      </w:r>
    </w:p>
    <w:p w:rsidR="00DA315C" w:rsidRDefault="00CC2E83">
      <w:pPr>
        <w:pStyle w:val="a5"/>
        <w:snapToGrid w:val="0"/>
        <w:spacing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份额累计净值收益率与业绩比较基准收益率历史走势对比图</w:t>
      </w:r>
    </w:p>
    <w:p w:rsidR="00DA315C" w:rsidRDefault="00CC2E83">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kern w:val="0"/>
          <w:sz w:val="24"/>
        </w:rPr>
        <w:t>(</w:t>
      </w:r>
      <w:r>
        <w:rPr>
          <w:rFonts w:asciiTheme="minorEastAsia" w:eastAsiaTheme="minorEastAsia" w:hAnsiTheme="minorEastAsia"/>
          <w:color w:val="000000" w:themeColor="text1"/>
          <w:kern w:val="0"/>
          <w:sz w:val="24"/>
        </w:rPr>
        <w:t>2014年11月25日</w:t>
      </w:r>
      <w:r>
        <w:rPr>
          <w:rFonts w:asciiTheme="minorEastAsia" w:eastAsiaTheme="minorEastAsia" w:hAnsiTheme="minorEastAsia" w:hint="eastAsia"/>
          <w:color w:val="000000" w:themeColor="text1"/>
          <w:kern w:val="0"/>
          <w:sz w:val="24"/>
        </w:rPr>
        <w:t>至2023年6月30日)</w:t>
      </w:r>
    </w:p>
    <w:p w:rsidR="00DA315C" w:rsidRPr="00EB02DE" w:rsidRDefault="00CC2E83" w:rsidP="004600C4">
      <w:pPr>
        <w:snapToGrid w:val="0"/>
        <w:spacing w:beforeLines="50" w:before="120" w:line="360" w:lineRule="auto"/>
        <w:ind w:left="471"/>
        <w:rPr>
          <w:rFonts w:asciiTheme="minorEastAsia" w:eastAsiaTheme="minorEastAsia" w:hAnsiTheme="minorEastAsia"/>
          <w:b/>
          <w:color w:val="000000" w:themeColor="text1"/>
          <w:sz w:val="24"/>
        </w:rPr>
      </w:pPr>
      <w:r w:rsidRPr="00EB02DE">
        <w:rPr>
          <w:rFonts w:asciiTheme="minorEastAsia" w:eastAsiaTheme="minorEastAsia" w:hAnsiTheme="minorEastAsia" w:hint="eastAsia"/>
          <w:b/>
          <w:color w:val="000000" w:themeColor="text1"/>
          <w:kern w:val="0"/>
          <w:sz w:val="24"/>
        </w:rPr>
        <w:t>1、</w:t>
      </w:r>
      <w:r w:rsidRPr="00EB02DE">
        <w:rPr>
          <w:rFonts w:asciiTheme="minorEastAsia" w:eastAsiaTheme="minorEastAsia" w:hAnsiTheme="minorEastAsia"/>
          <w:b/>
          <w:color w:val="000000" w:themeColor="text1"/>
          <w:kern w:val="0"/>
          <w:sz w:val="24"/>
        </w:rPr>
        <w:t>摩根天添盈货币A类</w:t>
      </w:r>
      <w:r w:rsidR="00EB02DE" w:rsidRPr="00EB02DE">
        <w:rPr>
          <w:rFonts w:asciiTheme="minorEastAsia" w:eastAsiaTheme="minorEastAsia" w:hAnsiTheme="minorEastAsia" w:hint="eastAsia"/>
          <w:b/>
          <w:color w:val="000000" w:themeColor="text1"/>
          <w:kern w:val="0"/>
          <w:sz w:val="24"/>
        </w:rPr>
        <w:t>：</w:t>
      </w:r>
    </w:p>
    <w:p w:rsidR="00DA315C" w:rsidRDefault="00CC2E83">
      <w:pPr>
        <w:tabs>
          <w:tab w:val="left" w:pos="0"/>
        </w:tabs>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noProof/>
          <w:color w:val="000000" w:themeColor="text1"/>
          <w:sz w:val="24"/>
        </w:rPr>
        <w:drawing>
          <wp:inline distT="0" distB="0" distL="0" distR="0" wp14:anchorId="750829A0" wp14:editId="5531CF11">
            <wp:extent cx="5772150" cy="3381375"/>
            <wp:effectExtent l="0" t="0" r="0" b="9525"/>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72150" cy="3381375"/>
                    </a:xfrm>
                    <a:prstGeom prst="rect">
                      <a:avLst/>
                    </a:prstGeom>
                    <a:noFill/>
                    <a:ln>
                      <a:noFill/>
                    </a:ln>
                  </pic:spPr>
                </pic:pic>
              </a:graphicData>
            </a:graphic>
          </wp:inline>
        </w:drawing>
      </w:r>
    </w:p>
    <w:p w:rsidR="00FC1011" w:rsidRDefault="00F55F5D">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注：1.本基金合同生效日为2014年11月25日，图示的时间段为合同生效日至本报告期末。</w:t>
      </w:r>
    </w:p>
    <w:p w:rsidR="00FC1011" w:rsidRDefault="00F55F5D">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2.本基金建仓期为本基金合同生效日起 6 个月, 建仓期结束时资产配置比例符合本基金基金合同的规定。</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3.自2018年6月22日起，本基金B类基金份额为零且停止计算B类基金份额每万份收益。</w:t>
      </w:r>
    </w:p>
    <w:p w:rsidR="00DA315C" w:rsidRPr="004600C4" w:rsidRDefault="00CC2E83" w:rsidP="004600C4">
      <w:pPr>
        <w:snapToGrid w:val="0"/>
        <w:spacing w:beforeLines="50" w:before="120" w:line="360" w:lineRule="auto"/>
        <w:ind w:left="471"/>
        <w:rPr>
          <w:rFonts w:asciiTheme="minorEastAsia" w:eastAsiaTheme="minorEastAsia" w:hAnsiTheme="minorEastAsia"/>
          <w:b/>
          <w:color w:val="000000" w:themeColor="text1"/>
          <w:kern w:val="0"/>
          <w:sz w:val="24"/>
        </w:rPr>
      </w:pPr>
      <w:r w:rsidRPr="00EB02DE">
        <w:rPr>
          <w:rFonts w:asciiTheme="minorEastAsia" w:eastAsiaTheme="minorEastAsia" w:hAnsiTheme="minorEastAsia" w:hint="eastAsia"/>
          <w:b/>
          <w:color w:val="000000" w:themeColor="text1"/>
          <w:kern w:val="0"/>
          <w:sz w:val="24"/>
        </w:rPr>
        <w:lastRenderedPageBreak/>
        <w:t>2、</w:t>
      </w:r>
      <w:r w:rsidR="00050540">
        <w:rPr>
          <w:rFonts w:asciiTheme="minorEastAsia" w:eastAsiaTheme="minorEastAsia" w:hAnsiTheme="minorEastAsia" w:hint="eastAsia"/>
          <w:b/>
          <w:color w:val="000000" w:themeColor="text1"/>
          <w:kern w:val="0"/>
          <w:sz w:val="24"/>
        </w:rPr>
        <w:t>摩根天添盈货币B类</w:t>
      </w:r>
      <w:r w:rsidR="00EB02DE" w:rsidRPr="00EB02DE">
        <w:rPr>
          <w:rFonts w:asciiTheme="minorEastAsia" w:eastAsiaTheme="minorEastAsia" w:hAnsiTheme="minorEastAsia" w:hint="eastAsia"/>
          <w:b/>
          <w:color w:val="000000" w:themeColor="text1"/>
          <w:kern w:val="0"/>
          <w:sz w:val="24"/>
        </w:rPr>
        <w:t>：</w:t>
      </w:r>
    </w:p>
    <w:p w:rsidR="00DA315C" w:rsidRDefault="00CC2E83">
      <w:pPr>
        <w:snapToGrid w:val="0"/>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noProof/>
          <w:color w:val="000000" w:themeColor="text1"/>
          <w:sz w:val="24"/>
        </w:rPr>
        <w:drawing>
          <wp:inline distT="0" distB="0" distL="0" distR="0" wp14:anchorId="72E1A766" wp14:editId="55DFE74B">
            <wp:extent cx="5772150" cy="3381375"/>
            <wp:effectExtent l="0" t="0" r="0" b="9525"/>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72150" cy="3381375"/>
                    </a:xfrm>
                    <a:prstGeom prst="rect">
                      <a:avLst/>
                    </a:prstGeom>
                    <a:noFill/>
                    <a:ln>
                      <a:noFill/>
                    </a:ln>
                  </pic:spPr>
                </pic:pic>
              </a:graphicData>
            </a:graphic>
          </wp:inline>
        </w:drawing>
      </w:r>
    </w:p>
    <w:p w:rsidR="00DA315C" w:rsidRDefault="00050540">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注：自2018年6月22日起，本基金B类基金份额为零且停止计算B类基金份额每万份收益。</w:t>
      </w:r>
    </w:p>
    <w:p w:rsidR="00DA315C" w:rsidRPr="004600C4" w:rsidRDefault="00CC2E83" w:rsidP="004600C4">
      <w:pPr>
        <w:snapToGrid w:val="0"/>
        <w:spacing w:beforeLines="50" w:before="120" w:line="360" w:lineRule="auto"/>
        <w:ind w:left="471"/>
        <w:rPr>
          <w:rFonts w:asciiTheme="minorEastAsia" w:eastAsiaTheme="minorEastAsia" w:hAnsiTheme="minorEastAsia"/>
          <w:b/>
          <w:color w:val="000000" w:themeColor="text1"/>
          <w:kern w:val="0"/>
          <w:sz w:val="24"/>
        </w:rPr>
      </w:pPr>
      <w:r w:rsidRPr="00EB02DE">
        <w:rPr>
          <w:rFonts w:asciiTheme="minorEastAsia" w:eastAsiaTheme="minorEastAsia" w:hAnsiTheme="minorEastAsia" w:hint="eastAsia"/>
          <w:b/>
          <w:color w:val="000000" w:themeColor="text1"/>
          <w:kern w:val="0"/>
          <w:sz w:val="24"/>
        </w:rPr>
        <w:t>3、</w:t>
      </w:r>
      <w:r w:rsidR="00050540">
        <w:rPr>
          <w:rFonts w:asciiTheme="minorEastAsia" w:eastAsiaTheme="minorEastAsia" w:hAnsiTheme="minorEastAsia" w:hint="eastAsia"/>
          <w:b/>
          <w:color w:val="000000" w:themeColor="text1"/>
          <w:kern w:val="0"/>
          <w:sz w:val="24"/>
        </w:rPr>
        <w:t>摩根天添盈货币E类</w:t>
      </w:r>
      <w:r w:rsidR="00EB02DE" w:rsidRPr="00EB02DE">
        <w:rPr>
          <w:rFonts w:asciiTheme="minorEastAsia" w:eastAsiaTheme="minorEastAsia" w:hAnsiTheme="minorEastAsia" w:hint="eastAsia"/>
          <w:b/>
          <w:color w:val="000000" w:themeColor="text1"/>
          <w:kern w:val="0"/>
          <w:sz w:val="24"/>
        </w:rPr>
        <w:t>：</w:t>
      </w:r>
    </w:p>
    <w:p w:rsidR="00DA315C" w:rsidRDefault="00CC2E83">
      <w:pPr>
        <w:autoSpaceDE w:val="0"/>
        <w:autoSpaceDN w:val="0"/>
        <w:adjustRightInd w:val="0"/>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noProof/>
          <w:color w:val="000000" w:themeColor="text1"/>
          <w:sz w:val="24"/>
        </w:rPr>
        <w:drawing>
          <wp:inline distT="0" distB="0" distL="0" distR="0" wp14:anchorId="09B9102D" wp14:editId="1BAE3F5A">
            <wp:extent cx="5772150" cy="3381375"/>
            <wp:effectExtent l="0" t="0" r="0" b="9525"/>
            <wp:docPr id="6" name="图片 6" descr="D:\浏览器下载\走势图柱状图\走势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浏览器下载\走势图柱状图\走势图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772150" cy="3381375"/>
                    </a:xfrm>
                    <a:prstGeom prst="rect">
                      <a:avLst/>
                    </a:prstGeom>
                    <a:noFill/>
                    <a:ln>
                      <a:noFill/>
                    </a:ln>
                  </pic:spPr>
                </pic:pic>
              </a:graphicData>
            </a:graphic>
          </wp:inline>
        </w:drawing>
      </w:r>
    </w:p>
    <w:p w:rsidR="00FC1011" w:rsidRDefault="00F55F5D">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注：1.本基金合同生效日为2014年11月25日，图示的时间段为合同生效日至本报告期末。</w:t>
      </w:r>
    </w:p>
    <w:p w:rsidR="00FC1011" w:rsidRDefault="00F55F5D">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2.本基金建仓期为本基金合同生效日起 6 个月, 建仓期结束时资产配置比例符合本基金基金合同的规定。</w:t>
      </w:r>
    </w:p>
    <w:p w:rsidR="00DA315C" w:rsidRDefault="00050540">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3.自2018年6月22日起，本基金B类基金份额为零且停止计算B类基金份额每万份收益。</w:t>
      </w:r>
    </w:p>
    <w:p w:rsidR="00DA315C" w:rsidRPr="004600C4" w:rsidRDefault="00CC2E83" w:rsidP="004600C4">
      <w:pPr>
        <w:snapToGrid w:val="0"/>
        <w:spacing w:beforeLines="50" w:before="120" w:line="360" w:lineRule="auto"/>
        <w:ind w:left="471"/>
        <w:rPr>
          <w:rFonts w:asciiTheme="minorEastAsia" w:eastAsiaTheme="minorEastAsia" w:hAnsiTheme="minorEastAsia"/>
          <w:b/>
          <w:color w:val="000000" w:themeColor="text1"/>
          <w:kern w:val="0"/>
          <w:sz w:val="24"/>
        </w:rPr>
      </w:pPr>
      <w:r w:rsidRPr="00EB02DE">
        <w:rPr>
          <w:rFonts w:asciiTheme="minorEastAsia" w:eastAsiaTheme="minorEastAsia" w:hAnsiTheme="minorEastAsia" w:hint="eastAsia"/>
          <w:b/>
          <w:color w:val="000000" w:themeColor="text1"/>
          <w:kern w:val="0"/>
          <w:sz w:val="24"/>
        </w:rPr>
        <w:t>4、</w:t>
      </w:r>
      <w:r w:rsidR="00050540">
        <w:rPr>
          <w:rFonts w:asciiTheme="minorEastAsia" w:eastAsiaTheme="minorEastAsia" w:hAnsiTheme="minorEastAsia" w:hint="eastAsia"/>
          <w:b/>
          <w:color w:val="000000" w:themeColor="text1"/>
          <w:kern w:val="0"/>
          <w:sz w:val="24"/>
        </w:rPr>
        <w:t>摩根天添盈货币C类</w:t>
      </w:r>
      <w:r w:rsidR="00EB02DE" w:rsidRPr="00EB02DE">
        <w:rPr>
          <w:rFonts w:asciiTheme="minorEastAsia" w:eastAsiaTheme="minorEastAsia" w:hAnsiTheme="minorEastAsia" w:hint="eastAsia"/>
          <w:b/>
          <w:color w:val="000000" w:themeColor="text1"/>
          <w:kern w:val="0"/>
          <w:sz w:val="24"/>
        </w:rPr>
        <w:t>：</w:t>
      </w:r>
    </w:p>
    <w:p w:rsidR="00DA315C" w:rsidRDefault="00CC2E83">
      <w:pPr>
        <w:autoSpaceDE w:val="0"/>
        <w:autoSpaceDN w:val="0"/>
        <w:adjustRightInd w:val="0"/>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b/>
          <w:noProof/>
          <w:color w:val="000000" w:themeColor="text1"/>
        </w:rPr>
        <w:drawing>
          <wp:inline distT="0" distB="0" distL="0" distR="0" wp14:anchorId="06C13199" wp14:editId="3C985C27">
            <wp:extent cx="5600700" cy="3279775"/>
            <wp:effectExtent l="0" t="0" r="0" b="0"/>
            <wp:docPr id="4" name="图片 4" descr="D:\浏览器下载\走势图柱状图\走势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浏览器下载\走势图柱状图\走势图4.jp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600700" cy="3279775"/>
                    </a:xfrm>
                    <a:prstGeom prst="rect">
                      <a:avLst/>
                    </a:prstGeom>
                  </pic:spPr>
                </pic:pic>
              </a:graphicData>
            </a:graphic>
          </wp:inline>
        </w:drawing>
      </w:r>
    </w:p>
    <w:p w:rsidR="00FC1011" w:rsidRDefault="00F55F5D">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注：1.本基金自 2022年10月27日起增加C类份额，相关数据按实际存续期计算。</w:t>
      </w:r>
    </w:p>
    <w:p w:rsidR="00FC1011" w:rsidRDefault="00F55F5D">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2.本基金建仓期为本基金合同生效日起 6 个月, 建仓期结束时资产配置比例符合本基金基金合同的规定。</w:t>
      </w:r>
    </w:p>
    <w:p w:rsidR="00DA315C" w:rsidRDefault="00050540">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3.自2018年6月22日起，本基金B类基金份额为零且停止计算B类基金份额每万份收益。</w:t>
      </w:r>
    </w:p>
    <w:p w:rsidR="00DA315C" w:rsidRDefault="00CC2E83" w:rsidP="00EF5D52">
      <w:pPr>
        <w:pStyle w:val="1"/>
        <w:spacing w:beforeLines="200" w:before="480" w:afterLines="100" w:after="240"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color w:val="000000" w:themeColor="text1"/>
          <w:kern w:val="0"/>
          <w:sz w:val="24"/>
          <w:szCs w:val="24"/>
        </w:rPr>
        <w:t xml:space="preserve">4  </w:t>
      </w:r>
      <w:r>
        <w:rPr>
          <w:rFonts w:asciiTheme="minorEastAsia" w:eastAsiaTheme="minorEastAsia" w:hAnsiTheme="minorEastAsia" w:cs="Arial" w:hint="eastAsia"/>
          <w:color w:val="000000" w:themeColor="text1"/>
          <w:kern w:val="0"/>
          <w:sz w:val="24"/>
          <w:szCs w:val="24"/>
        </w:rPr>
        <w:t>管理人报告</w:t>
      </w:r>
    </w:p>
    <w:p w:rsidR="00DA315C" w:rsidRDefault="00CC2E83" w:rsidP="00FC77AA">
      <w:pPr>
        <w:autoSpaceDE w:val="0"/>
        <w:autoSpaceDN w:val="0"/>
        <w:adjustRightInd w:val="0"/>
        <w:spacing w:beforeLines="50" w:before="120" w:line="360" w:lineRule="auto"/>
        <w:jc w:val="left"/>
        <w:rPr>
          <w:rFonts w:asciiTheme="minorEastAsia" w:eastAsiaTheme="minorEastAsia" w:hAnsiTheme="minorEastAsia"/>
          <w:b/>
          <w:bCs/>
          <w:color w:val="000000" w:themeColor="text1"/>
          <w:sz w:val="24"/>
        </w:rPr>
      </w:pPr>
      <w:r>
        <w:rPr>
          <w:rFonts w:asciiTheme="minorEastAsia" w:eastAsiaTheme="minorEastAsia" w:hAnsiTheme="minorEastAsia" w:cs="Arial"/>
          <w:b/>
          <w:color w:val="000000" w:themeColor="text1"/>
          <w:kern w:val="0"/>
          <w:sz w:val="24"/>
        </w:rPr>
        <w:t xml:space="preserve">4.1 </w:t>
      </w:r>
      <w:r>
        <w:rPr>
          <w:rFonts w:asciiTheme="minorEastAsia" w:eastAsiaTheme="minorEastAsia" w:hAnsiTheme="minorEastAsia" w:cs="Arial" w:hint="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883"/>
        <w:gridCol w:w="993"/>
        <w:gridCol w:w="1134"/>
        <w:gridCol w:w="992"/>
        <w:gridCol w:w="2977"/>
      </w:tblGrid>
      <w:tr w:rsidR="00DA315C">
        <w:trPr>
          <w:cantSplit/>
        </w:trPr>
        <w:tc>
          <w:tcPr>
            <w:tcW w:w="952" w:type="dxa"/>
            <w:vMerge w:val="restart"/>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lastRenderedPageBreak/>
              <w:t>姓名</w:t>
            </w:r>
          </w:p>
        </w:tc>
        <w:tc>
          <w:tcPr>
            <w:tcW w:w="1883" w:type="dxa"/>
            <w:vMerge w:val="restart"/>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职务</w:t>
            </w:r>
          </w:p>
        </w:tc>
        <w:tc>
          <w:tcPr>
            <w:tcW w:w="2127" w:type="dxa"/>
            <w:gridSpan w:val="2"/>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任本基金的基金经理期限</w:t>
            </w:r>
          </w:p>
        </w:tc>
        <w:tc>
          <w:tcPr>
            <w:tcW w:w="992" w:type="dxa"/>
            <w:vMerge w:val="restart"/>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证券从业年限</w:t>
            </w:r>
          </w:p>
        </w:tc>
        <w:tc>
          <w:tcPr>
            <w:tcW w:w="2977" w:type="dxa"/>
            <w:vMerge w:val="restart"/>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说明</w:t>
            </w:r>
          </w:p>
        </w:tc>
      </w:tr>
      <w:tr w:rsidR="00DA315C">
        <w:trPr>
          <w:cantSplit/>
        </w:trPr>
        <w:tc>
          <w:tcPr>
            <w:tcW w:w="952" w:type="dxa"/>
            <w:vMerge/>
            <w:vAlign w:val="center"/>
          </w:tcPr>
          <w:p w:rsidR="00DA315C" w:rsidRDefault="00DA315C">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p>
        </w:tc>
        <w:tc>
          <w:tcPr>
            <w:tcW w:w="1883" w:type="dxa"/>
            <w:vMerge/>
          </w:tcPr>
          <w:p w:rsidR="00DA315C" w:rsidRDefault="00DA315C">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p>
        </w:tc>
        <w:tc>
          <w:tcPr>
            <w:tcW w:w="993"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任职日期</w:t>
            </w:r>
          </w:p>
        </w:tc>
        <w:tc>
          <w:tcPr>
            <w:tcW w:w="1134"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离任日期</w:t>
            </w:r>
          </w:p>
        </w:tc>
        <w:tc>
          <w:tcPr>
            <w:tcW w:w="992" w:type="dxa"/>
            <w:vMerge/>
            <w:vAlign w:val="center"/>
          </w:tcPr>
          <w:p w:rsidR="00DA315C" w:rsidRDefault="00DA315C">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p>
        </w:tc>
        <w:tc>
          <w:tcPr>
            <w:tcW w:w="2977" w:type="dxa"/>
            <w:vMerge/>
            <w:vAlign w:val="center"/>
          </w:tcPr>
          <w:p w:rsidR="00DA315C" w:rsidRDefault="00DA315C">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p>
        </w:tc>
      </w:tr>
      <w:tr w:rsidR="00FC1011">
        <w:tc>
          <w:tcPr>
            <w:tcW w:w="952" w:type="dxa"/>
            <w:vAlign w:val="center"/>
          </w:tcPr>
          <w:p w:rsidR="00FC1011" w:rsidRDefault="00F55F5D">
            <w:pPr>
              <w:jc w:val="center"/>
            </w:pPr>
            <w:r>
              <w:rPr>
                <w:rFonts w:asciiTheme="minorEastAsia" w:eastAsiaTheme="minorEastAsia" w:hAnsiTheme="minorEastAsia"/>
                <w:color w:val="000000" w:themeColor="text1"/>
                <w:sz w:val="24"/>
              </w:rPr>
              <w:t>鞠婷</w:t>
            </w:r>
          </w:p>
        </w:tc>
        <w:tc>
          <w:tcPr>
            <w:tcW w:w="1883" w:type="dxa"/>
            <w:vAlign w:val="center"/>
          </w:tcPr>
          <w:p w:rsidR="00FC1011" w:rsidRDefault="00F55F5D">
            <w:pPr>
              <w:jc w:val="center"/>
            </w:pPr>
            <w:r>
              <w:rPr>
                <w:rFonts w:asciiTheme="minorEastAsia" w:eastAsiaTheme="minorEastAsia" w:hAnsiTheme="minorEastAsia"/>
                <w:color w:val="000000" w:themeColor="text1"/>
                <w:sz w:val="24"/>
              </w:rPr>
              <w:t>本基金基金经理</w:t>
            </w:r>
          </w:p>
        </w:tc>
        <w:tc>
          <w:tcPr>
            <w:tcW w:w="993" w:type="dxa"/>
            <w:vAlign w:val="center"/>
          </w:tcPr>
          <w:p w:rsidR="00FC1011" w:rsidRDefault="00F55F5D">
            <w:pPr>
              <w:jc w:val="center"/>
            </w:pPr>
            <w:r>
              <w:rPr>
                <w:rFonts w:asciiTheme="minorEastAsia" w:eastAsiaTheme="minorEastAsia" w:hAnsiTheme="minorEastAsia"/>
                <w:color w:val="000000" w:themeColor="text1"/>
                <w:sz w:val="24"/>
              </w:rPr>
              <w:t>2016-05-27</w:t>
            </w:r>
          </w:p>
        </w:tc>
        <w:tc>
          <w:tcPr>
            <w:tcW w:w="1134" w:type="dxa"/>
            <w:vAlign w:val="center"/>
          </w:tcPr>
          <w:p w:rsidR="00FC1011" w:rsidRDefault="00F55F5D">
            <w:pPr>
              <w:jc w:val="center"/>
            </w:pPr>
            <w:r>
              <w:rPr>
                <w:rFonts w:asciiTheme="minorEastAsia" w:eastAsiaTheme="minorEastAsia" w:hAnsiTheme="minorEastAsia"/>
                <w:color w:val="000000" w:themeColor="text1"/>
                <w:sz w:val="24"/>
              </w:rPr>
              <w:t>-</w:t>
            </w:r>
          </w:p>
        </w:tc>
        <w:tc>
          <w:tcPr>
            <w:tcW w:w="992" w:type="dxa"/>
            <w:vAlign w:val="center"/>
          </w:tcPr>
          <w:p w:rsidR="00FC1011" w:rsidRDefault="00F55F5D">
            <w:pPr>
              <w:jc w:val="center"/>
            </w:pPr>
            <w:r>
              <w:rPr>
                <w:rFonts w:asciiTheme="minorEastAsia" w:eastAsiaTheme="minorEastAsia" w:hAnsiTheme="minorEastAsia"/>
                <w:color w:val="000000" w:themeColor="text1"/>
                <w:sz w:val="24"/>
              </w:rPr>
              <w:t>17年</w:t>
            </w:r>
          </w:p>
        </w:tc>
        <w:tc>
          <w:tcPr>
            <w:tcW w:w="2977" w:type="dxa"/>
            <w:vAlign w:val="center"/>
          </w:tcPr>
          <w:p w:rsidR="00FC1011" w:rsidRDefault="00F55F5D">
            <w:r>
              <w:rPr>
                <w:rFonts w:asciiTheme="minorEastAsia" w:eastAsiaTheme="minorEastAsia" w:hAnsiTheme="minorEastAsia"/>
                <w:color w:val="000000" w:themeColor="text1"/>
                <w:sz w:val="24"/>
              </w:rPr>
              <w:t>鞠婷女士曾任中国建设银行第一支行助理经济师，瑞穗银行总行总经理助理。2014年10月起加入摩根基金管理（中国）有限公司（原上投摩根基金管理有限公司），历任基金经理助理、基金经理，高级基金经理，现任货币市场投资部副总监兼资深基金经理。</w:t>
            </w:r>
          </w:p>
        </w:tc>
      </w:tr>
      <w:tr w:rsidR="00FC1011">
        <w:tc>
          <w:tcPr>
            <w:tcW w:w="952" w:type="dxa"/>
            <w:vAlign w:val="center"/>
          </w:tcPr>
          <w:p w:rsidR="00FC1011" w:rsidRDefault="00F55F5D">
            <w:pPr>
              <w:jc w:val="center"/>
            </w:pPr>
            <w:r>
              <w:rPr>
                <w:rFonts w:asciiTheme="minorEastAsia" w:eastAsiaTheme="minorEastAsia" w:hAnsiTheme="minorEastAsia"/>
                <w:color w:val="000000" w:themeColor="text1"/>
                <w:sz w:val="24"/>
              </w:rPr>
              <w:t>邱林晶</w:t>
            </w:r>
          </w:p>
        </w:tc>
        <w:tc>
          <w:tcPr>
            <w:tcW w:w="1883" w:type="dxa"/>
            <w:vAlign w:val="center"/>
          </w:tcPr>
          <w:p w:rsidR="00FC1011" w:rsidRDefault="00F55F5D">
            <w:pPr>
              <w:jc w:val="center"/>
            </w:pPr>
            <w:r>
              <w:rPr>
                <w:rFonts w:asciiTheme="minorEastAsia" w:eastAsiaTheme="minorEastAsia" w:hAnsiTheme="minorEastAsia"/>
                <w:color w:val="000000" w:themeColor="text1"/>
                <w:sz w:val="24"/>
              </w:rPr>
              <w:t>本基金基金经理</w:t>
            </w:r>
          </w:p>
        </w:tc>
        <w:tc>
          <w:tcPr>
            <w:tcW w:w="993" w:type="dxa"/>
            <w:vAlign w:val="center"/>
          </w:tcPr>
          <w:p w:rsidR="00FC1011" w:rsidRDefault="00F55F5D">
            <w:pPr>
              <w:jc w:val="center"/>
            </w:pPr>
            <w:r>
              <w:rPr>
                <w:rFonts w:asciiTheme="minorEastAsia" w:eastAsiaTheme="minorEastAsia" w:hAnsiTheme="minorEastAsia"/>
                <w:color w:val="000000" w:themeColor="text1"/>
                <w:sz w:val="24"/>
              </w:rPr>
              <w:t>2023-04-07</w:t>
            </w:r>
          </w:p>
        </w:tc>
        <w:tc>
          <w:tcPr>
            <w:tcW w:w="1134" w:type="dxa"/>
            <w:vAlign w:val="center"/>
          </w:tcPr>
          <w:p w:rsidR="00FC1011" w:rsidRDefault="00F55F5D">
            <w:pPr>
              <w:jc w:val="center"/>
            </w:pPr>
            <w:r>
              <w:rPr>
                <w:rFonts w:asciiTheme="minorEastAsia" w:eastAsiaTheme="minorEastAsia" w:hAnsiTheme="minorEastAsia"/>
                <w:color w:val="000000" w:themeColor="text1"/>
                <w:sz w:val="24"/>
              </w:rPr>
              <w:t>-</w:t>
            </w:r>
          </w:p>
        </w:tc>
        <w:tc>
          <w:tcPr>
            <w:tcW w:w="992" w:type="dxa"/>
            <w:vAlign w:val="center"/>
          </w:tcPr>
          <w:p w:rsidR="00FC1011" w:rsidRDefault="00F55F5D">
            <w:pPr>
              <w:jc w:val="center"/>
            </w:pPr>
            <w:r>
              <w:rPr>
                <w:rFonts w:asciiTheme="minorEastAsia" w:eastAsiaTheme="minorEastAsia" w:hAnsiTheme="minorEastAsia"/>
                <w:color w:val="000000" w:themeColor="text1"/>
                <w:sz w:val="24"/>
              </w:rPr>
              <w:t>9年</w:t>
            </w:r>
          </w:p>
        </w:tc>
        <w:tc>
          <w:tcPr>
            <w:tcW w:w="2977" w:type="dxa"/>
            <w:vAlign w:val="center"/>
          </w:tcPr>
          <w:p w:rsidR="00FC1011" w:rsidRDefault="00F55F5D">
            <w:r>
              <w:rPr>
                <w:rFonts w:asciiTheme="minorEastAsia" w:eastAsiaTheme="minorEastAsia" w:hAnsiTheme="minorEastAsia"/>
                <w:color w:val="000000" w:themeColor="text1"/>
                <w:sz w:val="24"/>
              </w:rPr>
              <w:t>邱林晶女士曾任国泰基金管理有限公司风险管理部分析师，平安资产管理有限责任公司固收交易员，中银理财有限责任公司集中交易室高级经理、活期理财产品部投资经理；自2022年5月加入摩根基金管理（中国）有限公司（原上投摩根基金管理有限公司），历任货币市场投资部基金经理助理，现任基金经理。</w:t>
            </w:r>
          </w:p>
        </w:tc>
      </w:tr>
    </w:tbl>
    <w:p w:rsidR="00FC1011" w:rsidRDefault="00F55F5D">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注：1.任职日期和离任日期均指根据公司决定确定的聘任日期和解聘日期。</w:t>
      </w:r>
    </w:p>
    <w:p w:rsidR="00DA315C" w:rsidRDefault="00CC2E83" w:rsidP="00FB6FB2">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2.证券从业的含义遵从行业协会《证券业从业人员资格管理办法》的相关规定。</w:t>
      </w:r>
    </w:p>
    <w:p w:rsidR="00DA315C" w:rsidRDefault="00CC2E83" w:rsidP="007753E9">
      <w:pPr>
        <w:autoSpaceDE w:val="0"/>
        <w:autoSpaceDN w:val="0"/>
        <w:adjustRightInd w:val="0"/>
        <w:spacing w:beforeLines="100" w:before="240"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4.2 </w:t>
      </w:r>
      <w:r>
        <w:rPr>
          <w:rFonts w:asciiTheme="minorEastAsia" w:eastAsiaTheme="minorEastAsia" w:hAnsiTheme="minorEastAsia" w:cs="Arial" w:hint="eastAsia"/>
          <w:b/>
          <w:color w:val="000000" w:themeColor="text1"/>
          <w:kern w:val="0"/>
          <w:sz w:val="24"/>
        </w:rPr>
        <w:t>报告期内本基金运作遵规守信情况说明</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DA315C" w:rsidRDefault="00CC2E83" w:rsidP="007753E9">
      <w:pPr>
        <w:autoSpaceDE w:val="0"/>
        <w:autoSpaceDN w:val="0"/>
        <w:adjustRightInd w:val="0"/>
        <w:spacing w:beforeLines="100" w:before="240"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4.3 </w:t>
      </w:r>
      <w:r>
        <w:rPr>
          <w:rFonts w:asciiTheme="minorEastAsia" w:eastAsiaTheme="minorEastAsia" w:hAnsiTheme="minorEastAsia" w:cs="Arial" w:hint="eastAsia"/>
          <w:b/>
          <w:color w:val="000000" w:themeColor="text1"/>
          <w:kern w:val="0"/>
          <w:sz w:val="24"/>
        </w:rPr>
        <w:t>公平交易专项说明</w:t>
      </w:r>
    </w:p>
    <w:p w:rsidR="00DA315C" w:rsidRDefault="00CC2E83" w:rsidP="007753E9">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lastRenderedPageBreak/>
        <w:t>4.3.1 公平交易制度的执行情况</w:t>
      </w:r>
    </w:p>
    <w:p w:rsidR="00FC1011" w:rsidRDefault="00F55F5D">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FC1011" w:rsidRDefault="00F55F5D">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报告期内，通过对不同投资组合之间的收益率差异比较、对同向交易和反向交易的交易时机和交易价差监控分析，未发现整体公平交易执行出现异常的情况。</w:t>
      </w:r>
    </w:p>
    <w:p w:rsidR="00DA315C" w:rsidRDefault="00CC2E83" w:rsidP="007753E9">
      <w:pPr>
        <w:spacing w:beforeLines="100" w:before="240"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4.3.2 异常交易行为的专项说明</w:t>
      </w:r>
    </w:p>
    <w:p w:rsidR="00FC1011" w:rsidRDefault="00F55F5D">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报告期内，通过对交易价格、交易时间、交易方向等的分析，未发现有可能导致不公平交易和利益输送的异常交易行为。</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所有投资组合参与的交易所公开竞价同日反向交易成交较少的单边交易量超过该证券当日成交量的5%的情形：无。</w:t>
      </w:r>
    </w:p>
    <w:p w:rsidR="00DA315C" w:rsidRPr="00FC77AA" w:rsidRDefault="00CC2E83" w:rsidP="007753E9">
      <w:pPr>
        <w:autoSpaceDE w:val="0"/>
        <w:autoSpaceDN w:val="0"/>
        <w:adjustRightInd w:val="0"/>
        <w:spacing w:beforeLines="100" w:before="240" w:line="360" w:lineRule="auto"/>
        <w:jc w:val="left"/>
        <w:rPr>
          <w:rFonts w:asciiTheme="minorEastAsia" w:eastAsiaTheme="minorEastAsia" w:hAnsiTheme="minorEastAsia" w:cs="Arial"/>
          <w:b/>
          <w:color w:val="000000" w:themeColor="text1"/>
          <w:kern w:val="0"/>
          <w:sz w:val="24"/>
        </w:rPr>
      </w:pPr>
      <w:r w:rsidRPr="00FC77AA">
        <w:rPr>
          <w:rFonts w:asciiTheme="minorEastAsia" w:eastAsiaTheme="minorEastAsia" w:hAnsiTheme="minorEastAsia" w:cs="Arial"/>
          <w:b/>
          <w:color w:val="000000" w:themeColor="text1"/>
          <w:kern w:val="0"/>
          <w:sz w:val="24"/>
        </w:rPr>
        <w:t>4.4</w:t>
      </w:r>
      <w:r w:rsidRPr="00FC77AA">
        <w:rPr>
          <w:rFonts w:asciiTheme="minorEastAsia" w:eastAsiaTheme="minorEastAsia" w:hAnsiTheme="minorEastAsia" w:cs="Arial" w:hint="eastAsia"/>
          <w:b/>
          <w:color w:val="000000" w:themeColor="text1"/>
          <w:kern w:val="0"/>
          <w:sz w:val="24"/>
        </w:rPr>
        <w:t xml:space="preserve"> 报告期内基金的投资策略和运作分析</w:t>
      </w:r>
    </w:p>
    <w:p w:rsidR="00FC1011" w:rsidRDefault="00F55F5D">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2023年二季度，市场需求稳步恢复，但内生动力还不强，需求驱动仍不足。1-5月，全国规模以上工业企业利润同比下降18.8%，降幅持续收窄；全国固定资产投资同比增加4.0%，基础设施投资保持较高增速；5月社会消费品零售总额增长12.7%，市场销售延续恢复性增长；6月PMI指数为49.0%，较上月小幅回升，制造业水平总体有所改善；5月CPI当月同比上涨0.2%，PPI当月同比下降4.6%。 </w:t>
      </w:r>
    </w:p>
    <w:p w:rsidR="00FC1011" w:rsidRDefault="00F55F5D">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二季度，央行坚持稳健的货币政策精准有力，发挥存款利率市场化调整机制重要作用，为实体经济提供更有力支持。具体来看，6月多家国有大行和股份行下调存款利率，随后央行接连下调公开市场操作（OMO）、中期借贷便利（MLF）和贷款市场报价（LPR）</w:t>
      </w:r>
      <w:r>
        <w:rPr>
          <w:rFonts w:asciiTheme="minorEastAsia" w:eastAsiaTheme="minorEastAsia" w:hAnsiTheme="minorEastAsia"/>
          <w:color w:val="000000" w:themeColor="text1"/>
          <w:sz w:val="24"/>
        </w:rPr>
        <w:lastRenderedPageBreak/>
        <w:t xml:space="preserve">利率10bp，推动企业融资和居民信贷成本稳中有降。受降息影响，二季度债市短端整体下行，1年期同业存单收益率下行至2.3%-2.4%区间，1年期国开债收益率下行至2.1%附近。 </w:t>
      </w:r>
    </w:p>
    <w:p w:rsidR="00FC1011" w:rsidRDefault="00F55F5D">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本基金在二季度继续以流动性安全性为主要目标，在市场收益率处于下行过程中适度拉长组合久期，保持流动性较好资产配置比例，同时密切关注客户现金流动向，在季末关键时点做好流动性前瞻性管理，预备充足流动性满足客户的赎回要求，力求平衡基金收益率和安全性，把握组合整体风险。 </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展望未来，预计政策仍将围绕经济恢复继续发力，为推动经济实现质的有效提升和量的合理增长服务。消费有望保持温和修复，基建投资将继续较快增长，高技术产业投资对投资增长带来支撑，房地产市场有望逐步探底恢复。货币政策大概率仍将以稳健为主，保持流动性合理充裕，保持社会融资规模增速同名义经济增速基本匹配。本基金在未来仍会谨记货币基金现金管理工具的原则，时刻关注国内外市场各种动向，坚决防范各类信用风险，灵活调整资产配置，遵守各项监管要求，同时始终把基金安全性、流动性以及投资人利益放在优先位置，力争为投资人提供安全稳健的长期回报。</w:t>
      </w:r>
    </w:p>
    <w:p w:rsidR="00DA315C" w:rsidRPr="00FC77AA" w:rsidRDefault="00CC2E83" w:rsidP="007753E9">
      <w:pPr>
        <w:autoSpaceDE w:val="0"/>
        <w:autoSpaceDN w:val="0"/>
        <w:adjustRightInd w:val="0"/>
        <w:spacing w:beforeLines="100" w:before="240" w:line="360" w:lineRule="auto"/>
        <w:jc w:val="left"/>
        <w:rPr>
          <w:rFonts w:asciiTheme="minorEastAsia" w:eastAsiaTheme="minorEastAsia" w:hAnsiTheme="minorEastAsia" w:cs="Arial"/>
          <w:b/>
          <w:color w:val="000000" w:themeColor="text1"/>
          <w:kern w:val="0"/>
          <w:sz w:val="24"/>
        </w:rPr>
      </w:pPr>
      <w:r w:rsidRPr="00FC77AA">
        <w:rPr>
          <w:rFonts w:asciiTheme="minorEastAsia" w:eastAsiaTheme="minorEastAsia" w:hAnsiTheme="minorEastAsia" w:cs="Arial" w:hint="eastAsia"/>
          <w:b/>
          <w:color w:val="000000" w:themeColor="text1"/>
          <w:kern w:val="0"/>
          <w:sz w:val="24"/>
        </w:rPr>
        <w:t>4.5 报告期内基金的业绩表现</w:t>
      </w:r>
    </w:p>
    <w:p w:rsidR="00FC1011" w:rsidRDefault="00F55F5D">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本报告期摩根天添盈A份额净值增长率为:0.4389%，同期业绩比较基准收益率为:0.3366%</w:t>
      </w:r>
    </w:p>
    <w:p w:rsidR="00FC1011" w:rsidRDefault="00F55F5D">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自2018年6月22日起，本基金B类基金份额为零且停止计算B类基金份额每万份收益。</w:t>
      </w:r>
    </w:p>
    <w:p w:rsidR="00FC1011" w:rsidRDefault="00F55F5D">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摩根天添盈C份额净值增长率为:0.4985%，同期业绩比较基准收益率为:0.3366%</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摩根天添盈E份额净值增长率为:0.4990%，同期业绩比较基准收益率为:0.3366%。</w:t>
      </w:r>
    </w:p>
    <w:p w:rsidR="00DA315C" w:rsidRPr="00FC77AA" w:rsidRDefault="00CC2E83" w:rsidP="007753E9">
      <w:pPr>
        <w:autoSpaceDE w:val="0"/>
        <w:autoSpaceDN w:val="0"/>
        <w:adjustRightInd w:val="0"/>
        <w:spacing w:beforeLines="100" w:before="240" w:line="360" w:lineRule="auto"/>
        <w:jc w:val="left"/>
        <w:rPr>
          <w:rFonts w:asciiTheme="minorEastAsia" w:eastAsiaTheme="minorEastAsia" w:hAnsiTheme="minorEastAsia" w:cs="Arial"/>
          <w:b/>
          <w:color w:val="000000" w:themeColor="text1"/>
          <w:kern w:val="0"/>
          <w:sz w:val="24"/>
        </w:rPr>
      </w:pPr>
      <w:r w:rsidRPr="00FC77AA">
        <w:rPr>
          <w:rFonts w:asciiTheme="minorEastAsia" w:eastAsiaTheme="minorEastAsia" w:hAnsiTheme="minorEastAsia" w:cs="Arial"/>
          <w:b/>
          <w:color w:val="000000" w:themeColor="text1"/>
          <w:kern w:val="0"/>
          <w:sz w:val="24"/>
        </w:rPr>
        <w:t>4</w:t>
      </w:r>
      <w:r w:rsidRPr="00FC77AA">
        <w:rPr>
          <w:rFonts w:asciiTheme="minorEastAsia" w:eastAsiaTheme="minorEastAsia" w:hAnsiTheme="minorEastAsia" w:cs="Arial" w:hint="eastAsia"/>
          <w:b/>
          <w:color w:val="000000" w:themeColor="text1"/>
          <w:kern w:val="0"/>
          <w:sz w:val="24"/>
        </w:rPr>
        <w:t>.6 报告期内基金持有人数或基金资产净值预警说明</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无。</w:t>
      </w:r>
    </w:p>
    <w:p w:rsidR="00DA315C" w:rsidRDefault="00CC2E83" w:rsidP="00EF5D52">
      <w:pPr>
        <w:pStyle w:val="1"/>
        <w:spacing w:beforeLines="200" w:before="480" w:afterLines="100" w:after="240"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color w:val="000000" w:themeColor="text1"/>
          <w:kern w:val="0"/>
          <w:sz w:val="24"/>
          <w:szCs w:val="24"/>
        </w:rPr>
        <w:t xml:space="preserve">5  </w:t>
      </w:r>
      <w:r>
        <w:rPr>
          <w:rFonts w:asciiTheme="minorEastAsia" w:eastAsiaTheme="minorEastAsia" w:hAnsiTheme="minorEastAsia" w:cs="Arial" w:hint="eastAsia"/>
          <w:color w:val="000000" w:themeColor="text1"/>
          <w:kern w:val="0"/>
          <w:sz w:val="24"/>
          <w:szCs w:val="24"/>
        </w:rPr>
        <w:t>投资组合报告</w:t>
      </w:r>
    </w:p>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5.1 </w:t>
      </w:r>
      <w:r>
        <w:rPr>
          <w:rFonts w:asciiTheme="minorEastAsia" w:eastAsiaTheme="minorEastAsia" w:hAnsiTheme="minorEastAsia" w:cs="Arial" w:hint="eastAsia"/>
          <w:b/>
          <w:color w:val="000000" w:themeColor="text1"/>
          <w:kern w:val="0"/>
          <w:sz w:val="24"/>
        </w:rPr>
        <w:t>报告期末基金资产组合情况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357"/>
        <w:gridCol w:w="3119"/>
        <w:gridCol w:w="1843"/>
      </w:tblGrid>
      <w:tr w:rsidR="00DA315C">
        <w:tc>
          <w:tcPr>
            <w:tcW w:w="720"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序号</w:t>
            </w:r>
          </w:p>
        </w:tc>
        <w:tc>
          <w:tcPr>
            <w:tcW w:w="3357"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项目</w:t>
            </w:r>
          </w:p>
        </w:tc>
        <w:tc>
          <w:tcPr>
            <w:tcW w:w="3119"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金额(元)</w:t>
            </w:r>
          </w:p>
        </w:tc>
        <w:tc>
          <w:tcPr>
            <w:tcW w:w="1843"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占基金总资产</w:t>
            </w:r>
            <w:r>
              <w:rPr>
                <w:rFonts w:asciiTheme="minorEastAsia" w:eastAsiaTheme="minorEastAsia" w:hAnsiTheme="minorEastAsia" w:hint="eastAsia"/>
                <w:color w:val="000000" w:themeColor="text1"/>
                <w:sz w:val="24"/>
              </w:rPr>
              <w:lastRenderedPageBreak/>
              <w:t>的比例(</w:t>
            </w:r>
            <w:r>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w:t>
            </w:r>
          </w:p>
        </w:tc>
      </w:tr>
      <w:tr w:rsidR="00DA315C">
        <w:tc>
          <w:tcPr>
            <w:tcW w:w="720"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1</w:t>
            </w:r>
          </w:p>
        </w:tc>
        <w:tc>
          <w:tcPr>
            <w:tcW w:w="3357" w:type="dxa"/>
            <w:vAlign w:val="center"/>
          </w:tcPr>
          <w:p w:rsidR="00DA315C" w:rsidRDefault="00CC2E83">
            <w:pPr>
              <w:spacing w:before="29"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固定收益投资</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3,505,352,534.90</w:t>
            </w:r>
          </w:p>
        </w:tc>
        <w:tc>
          <w:tcPr>
            <w:tcW w:w="1843"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42.14</w:t>
            </w:r>
          </w:p>
        </w:tc>
      </w:tr>
      <w:tr w:rsidR="00DA315C">
        <w:tc>
          <w:tcPr>
            <w:tcW w:w="720" w:type="dxa"/>
            <w:vAlign w:val="center"/>
          </w:tcPr>
          <w:p w:rsidR="00DA315C" w:rsidRDefault="00DA315C">
            <w:pPr>
              <w:spacing w:before="29" w:line="360" w:lineRule="auto"/>
              <w:ind w:left="17"/>
              <w:jc w:val="center"/>
              <w:rPr>
                <w:rFonts w:asciiTheme="minorEastAsia" w:eastAsiaTheme="minorEastAsia" w:hAnsiTheme="minorEastAsia"/>
                <w:color w:val="000000" w:themeColor="text1"/>
                <w:sz w:val="24"/>
              </w:rPr>
            </w:pPr>
          </w:p>
        </w:tc>
        <w:tc>
          <w:tcPr>
            <w:tcW w:w="3357" w:type="dxa"/>
            <w:vAlign w:val="center"/>
          </w:tcPr>
          <w:p w:rsidR="00DA315C" w:rsidRDefault="00CC2E83">
            <w:pPr>
              <w:spacing w:before="29"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其中：债券</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3,505,352,534.90</w:t>
            </w:r>
          </w:p>
        </w:tc>
        <w:tc>
          <w:tcPr>
            <w:tcW w:w="1843"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42.14</w:t>
            </w:r>
          </w:p>
        </w:tc>
      </w:tr>
      <w:tr w:rsidR="00DA315C">
        <w:tc>
          <w:tcPr>
            <w:tcW w:w="720" w:type="dxa"/>
            <w:vAlign w:val="center"/>
          </w:tcPr>
          <w:p w:rsidR="00DA315C" w:rsidRDefault="00DA315C">
            <w:pPr>
              <w:spacing w:before="29" w:line="360" w:lineRule="auto"/>
              <w:ind w:left="17"/>
              <w:jc w:val="center"/>
              <w:rPr>
                <w:rFonts w:asciiTheme="minorEastAsia" w:eastAsiaTheme="minorEastAsia" w:hAnsiTheme="minorEastAsia"/>
                <w:color w:val="000000" w:themeColor="text1"/>
                <w:sz w:val="24"/>
              </w:rPr>
            </w:pPr>
          </w:p>
        </w:tc>
        <w:tc>
          <w:tcPr>
            <w:tcW w:w="3357" w:type="dxa"/>
            <w:vAlign w:val="center"/>
          </w:tcPr>
          <w:p w:rsidR="00DA315C" w:rsidRDefault="00CC2E83">
            <w:pPr>
              <w:autoSpaceDE w:val="0"/>
              <w:autoSpaceDN w:val="0"/>
              <w:adjustRightInd w:val="0"/>
              <w:spacing w:before="29" w:line="360" w:lineRule="auto"/>
              <w:ind w:firstLineChars="300" w:firstLine="720"/>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资产支持证券</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43"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r>
      <w:tr w:rsidR="00DA315C">
        <w:tc>
          <w:tcPr>
            <w:tcW w:w="720"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p>
        </w:tc>
        <w:tc>
          <w:tcPr>
            <w:tcW w:w="3357" w:type="dxa"/>
            <w:vAlign w:val="center"/>
          </w:tcPr>
          <w:p w:rsidR="00DA315C" w:rsidRDefault="00CC2E83">
            <w:pPr>
              <w:spacing w:before="29"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买入返售金融资产</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852,032,338.89</w:t>
            </w:r>
          </w:p>
        </w:tc>
        <w:tc>
          <w:tcPr>
            <w:tcW w:w="1843"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10.24</w:t>
            </w:r>
          </w:p>
        </w:tc>
      </w:tr>
      <w:tr w:rsidR="00DA315C">
        <w:tc>
          <w:tcPr>
            <w:tcW w:w="720" w:type="dxa"/>
            <w:vAlign w:val="center"/>
          </w:tcPr>
          <w:p w:rsidR="00DA315C" w:rsidRDefault="00DA315C">
            <w:pPr>
              <w:spacing w:before="29" w:line="360" w:lineRule="auto"/>
              <w:ind w:left="17"/>
              <w:jc w:val="center"/>
              <w:rPr>
                <w:rFonts w:asciiTheme="minorEastAsia" w:eastAsiaTheme="minorEastAsia" w:hAnsiTheme="minorEastAsia"/>
                <w:color w:val="000000" w:themeColor="text1"/>
                <w:sz w:val="24"/>
              </w:rPr>
            </w:pPr>
          </w:p>
        </w:tc>
        <w:tc>
          <w:tcPr>
            <w:tcW w:w="3357" w:type="dxa"/>
            <w:vAlign w:val="center"/>
          </w:tcPr>
          <w:p w:rsidR="00DA315C" w:rsidRDefault="00CC2E83">
            <w:pPr>
              <w:spacing w:before="29"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其中：买断式回购的买入返售金融资产</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43"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r>
      <w:tr w:rsidR="00DA315C">
        <w:tc>
          <w:tcPr>
            <w:tcW w:w="720"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p>
        </w:tc>
        <w:tc>
          <w:tcPr>
            <w:tcW w:w="3357" w:type="dxa"/>
            <w:vAlign w:val="center"/>
          </w:tcPr>
          <w:p w:rsidR="00DA315C" w:rsidRDefault="00CC2E83">
            <w:pPr>
              <w:spacing w:before="29"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银行存款和结算备付金合计</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3,910,427,160.24</w:t>
            </w:r>
          </w:p>
        </w:tc>
        <w:tc>
          <w:tcPr>
            <w:tcW w:w="1843"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47.01</w:t>
            </w:r>
          </w:p>
        </w:tc>
      </w:tr>
      <w:tr w:rsidR="00DA315C">
        <w:tc>
          <w:tcPr>
            <w:tcW w:w="720"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p>
        </w:tc>
        <w:tc>
          <w:tcPr>
            <w:tcW w:w="3357" w:type="dxa"/>
            <w:vAlign w:val="center"/>
          </w:tcPr>
          <w:p w:rsidR="00DA315C" w:rsidRDefault="00CC2E83">
            <w:pPr>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其他资产</w:t>
            </w:r>
          </w:p>
        </w:tc>
        <w:tc>
          <w:tcPr>
            <w:tcW w:w="3119" w:type="dxa"/>
            <w:vAlign w:val="center"/>
          </w:tcPr>
          <w:p w:rsidR="00DA315C" w:rsidRDefault="00CC2E83">
            <w:pPr>
              <w:spacing w:line="360" w:lineRule="auto"/>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50,456,303.23</w:t>
            </w:r>
          </w:p>
        </w:tc>
        <w:tc>
          <w:tcPr>
            <w:tcW w:w="1843" w:type="dxa"/>
            <w:vAlign w:val="center"/>
          </w:tcPr>
          <w:p w:rsidR="00DA315C" w:rsidRDefault="00CC2E83">
            <w:pPr>
              <w:spacing w:line="360" w:lineRule="auto"/>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0.61</w:t>
            </w:r>
          </w:p>
        </w:tc>
      </w:tr>
      <w:tr w:rsidR="00DA315C">
        <w:tc>
          <w:tcPr>
            <w:tcW w:w="720" w:type="dxa"/>
            <w:vAlign w:val="center"/>
          </w:tcPr>
          <w:p w:rsidR="00DA315C" w:rsidRDefault="00CC2E83">
            <w:pPr>
              <w:spacing w:before="29" w:line="360" w:lineRule="auto"/>
              <w:ind w:left="17"/>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5</w:t>
            </w:r>
          </w:p>
        </w:tc>
        <w:tc>
          <w:tcPr>
            <w:tcW w:w="3357" w:type="dxa"/>
            <w:vAlign w:val="center"/>
          </w:tcPr>
          <w:p w:rsidR="00DA315C" w:rsidRDefault="00CC2E83">
            <w:pPr>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合计</w:t>
            </w:r>
          </w:p>
        </w:tc>
        <w:tc>
          <w:tcPr>
            <w:tcW w:w="3119" w:type="dxa"/>
            <w:vAlign w:val="center"/>
          </w:tcPr>
          <w:p w:rsidR="00DA315C" w:rsidRDefault="00CC2E83">
            <w:pPr>
              <w:spacing w:line="360" w:lineRule="auto"/>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8,318,268,337.26</w:t>
            </w:r>
          </w:p>
        </w:tc>
        <w:tc>
          <w:tcPr>
            <w:tcW w:w="1843" w:type="dxa"/>
            <w:vAlign w:val="center"/>
          </w:tcPr>
          <w:p w:rsidR="00DA315C" w:rsidRDefault="00CC2E83">
            <w:pPr>
              <w:spacing w:line="360" w:lineRule="auto"/>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100.00</w:t>
            </w:r>
          </w:p>
        </w:tc>
      </w:tr>
    </w:tbl>
    <w:p w:rsidR="00FC1011" w:rsidRDefault="00F55F5D">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注：1. 银行存款和结算备付金合计其中银行存款3,897,292,432.24元。</w:t>
      </w:r>
    </w:p>
    <w:p w:rsidR="00DA315C" w:rsidRDefault="00CC2E83" w:rsidP="00FB6FB2">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 买入返售金融资产其中买入返售金融资产（交易所）为591,974,599.03元。</w:t>
      </w:r>
    </w:p>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5.2 </w:t>
      </w:r>
      <w:r>
        <w:rPr>
          <w:rFonts w:asciiTheme="minorEastAsia" w:eastAsiaTheme="minorEastAsia" w:hAnsiTheme="minorEastAsia" w:cs="Arial" w:hint="eastAsia"/>
          <w:b/>
          <w:color w:val="000000" w:themeColor="text1"/>
          <w:kern w:val="0"/>
          <w:sz w:val="24"/>
        </w:rPr>
        <w:t>报告期债券回购融资情况</w:t>
      </w:r>
    </w:p>
    <w:tbl>
      <w:tblPr>
        <w:tblW w:w="0" w:type="auto"/>
        <w:tblInd w:w="108" w:type="dxa"/>
        <w:tblLayout w:type="fixed"/>
        <w:tblLook w:val="04A0" w:firstRow="1" w:lastRow="0" w:firstColumn="1" w:lastColumn="0" w:noHBand="0" w:noVBand="1"/>
      </w:tblPr>
      <w:tblGrid>
        <w:gridCol w:w="861"/>
        <w:gridCol w:w="3108"/>
        <w:gridCol w:w="2977"/>
        <w:gridCol w:w="2126"/>
      </w:tblGrid>
      <w:tr w:rsidR="00DA315C">
        <w:tc>
          <w:tcPr>
            <w:tcW w:w="861"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序号</w:t>
            </w:r>
          </w:p>
        </w:tc>
        <w:tc>
          <w:tcPr>
            <w:tcW w:w="3108"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项目</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占基金资产净值</w:t>
            </w:r>
            <w:r w:rsidR="004417A1">
              <w:rPr>
                <w:rFonts w:asciiTheme="minorEastAsia" w:eastAsiaTheme="minorEastAsia" w:hAnsiTheme="minorEastAsia" w:cs="Arial" w:hint="eastAsia"/>
                <w:color w:val="000000" w:themeColor="text1"/>
                <w:kern w:val="0"/>
                <w:sz w:val="24"/>
              </w:rPr>
              <w:t>的</w:t>
            </w:r>
            <w:r>
              <w:rPr>
                <w:rFonts w:asciiTheme="minorEastAsia" w:eastAsiaTheme="minorEastAsia" w:hAnsiTheme="minorEastAsia" w:cs="Arial" w:hint="eastAsia"/>
                <w:color w:val="000000" w:themeColor="text1"/>
                <w:kern w:val="0"/>
                <w:sz w:val="24"/>
              </w:rPr>
              <w:t>比例（％）</w:t>
            </w:r>
          </w:p>
        </w:tc>
      </w:tr>
      <w:tr w:rsidR="00DA315C">
        <w:tc>
          <w:tcPr>
            <w:tcW w:w="861" w:type="dxa"/>
            <w:tcBorders>
              <w:top w:val="single" w:sz="8" w:space="0" w:color="000000"/>
              <w:left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1</w:t>
            </w:r>
          </w:p>
        </w:tc>
        <w:tc>
          <w:tcPr>
            <w:tcW w:w="3108" w:type="dxa"/>
            <w:tcBorders>
              <w:top w:val="single" w:sz="8" w:space="0" w:color="000000"/>
              <w:left w:val="single" w:sz="8" w:space="0" w:color="000000"/>
              <w:bottom w:val="single" w:sz="8" w:space="0" w:color="000000"/>
              <w:right w:val="single" w:sz="8" w:space="0" w:color="000000"/>
            </w:tcBorders>
          </w:tcPr>
          <w:p w:rsidR="00DA315C" w:rsidRDefault="00CC2E83">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报告期内债券回购融资余额</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DA315C" w:rsidRDefault="00074329">
            <w:pPr>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0</w:t>
            </w:r>
            <w:r>
              <w:rPr>
                <w:rFonts w:asciiTheme="minorEastAsia" w:eastAsiaTheme="minorEastAsia" w:hAnsiTheme="minorEastAsia"/>
                <w:color w:val="000000" w:themeColor="text1"/>
                <w:sz w:val="24"/>
              </w:rPr>
              <w:t>.15</w:t>
            </w:r>
            <w:r w:rsidR="00F55F5D">
              <w:rPr>
                <w:rFonts w:asciiTheme="minorEastAsia" w:eastAsiaTheme="minorEastAsia" w:hAnsiTheme="minorEastAsia"/>
                <w:color w:val="000000" w:themeColor="text1"/>
                <w:sz w:val="24"/>
              </w:rPr>
              <w:t>%</w:t>
            </w:r>
          </w:p>
        </w:tc>
      </w:tr>
      <w:tr w:rsidR="00DA315C">
        <w:trPr>
          <w:trHeight w:val="712"/>
        </w:trPr>
        <w:tc>
          <w:tcPr>
            <w:tcW w:w="861" w:type="dxa"/>
            <w:tcBorders>
              <w:left w:val="single" w:sz="8" w:space="0" w:color="000000"/>
              <w:bottom w:val="single" w:sz="8" w:space="0" w:color="000000"/>
              <w:right w:val="single" w:sz="8" w:space="0" w:color="000000"/>
            </w:tcBorders>
            <w:vAlign w:val="center"/>
          </w:tcPr>
          <w:p w:rsidR="00DA315C" w:rsidRDefault="00DA315C">
            <w:pPr>
              <w:spacing w:line="360" w:lineRule="auto"/>
              <w:jc w:val="center"/>
              <w:rPr>
                <w:rFonts w:asciiTheme="minorEastAsia" w:eastAsiaTheme="minorEastAsia" w:hAnsiTheme="minorEastAsia"/>
                <w:color w:val="000000" w:themeColor="text1"/>
                <w:sz w:val="24"/>
              </w:rPr>
            </w:pPr>
          </w:p>
        </w:tc>
        <w:tc>
          <w:tcPr>
            <w:tcW w:w="3108" w:type="dxa"/>
            <w:tcBorders>
              <w:top w:val="single" w:sz="8" w:space="0" w:color="000000"/>
              <w:left w:val="single" w:sz="8" w:space="0" w:color="000000"/>
              <w:bottom w:val="single" w:sz="8" w:space="0" w:color="000000"/>
              <w:right w:val="single" w:sz="8" w:space="0" w:color="000000"/>
            </w:tcBorders>
          </w:tcPr>
          <w:p w:rsidR="00DA315C" w:rsidRDefault="00CC2E83">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其中：买断式回购融资</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p>
        </w:tc>
      </w:tr>
      <w:tr w:rsidR="00DA315C">
        <w:tc>
          <w:tcPr>
            <w:tcW w:w="861" w:type="dxa"/>
            <w:tcBorders>
              <w:left w:val="single" w:sz="8" w:space="0" w:color="000000"/>
              <w:bottom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cs="Arial" w:hint="eastAsia"/>
                <w:color w:val="000000" w:themeColor="text1"/>
                <w:kern w:val="0"/>
                <w:sz w:val="24"/>
              </w:rPr>
              <w:t>序号</w:t>
            </w:r>
          </w:p>
        </w:tc>
        <w:tc>
          <w:tcPr>
            <w:tcW w:w="3108"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项目</w:t>
            </w:r>
          </w:p>
        </w:tc>
        <w:tc>
          <w:tcPr>
            <w:tcW w:w="2977"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金额</w:t>
            </w:r>
          </w:p>
        </w:tc>
        <w:tc>
          <w:tcPr>
            <w:tcW w:w="2126"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cs="Arial" w:hint="eastAsia"/>
                <w:color w:val="000000" w:themeColor="text1"/>
                <w:kern w:val="0"/>
                <w:sz w:val="24"/>
              </w:rPr>
              <w:t>占基金资产净值比例（％）</w:t>
            </w:r>
          </w:p>
        </w:tc>
      </w:tr>
      <w:tr w:rsidR="00DA315C">
        <w:tc>
          <w:tcPr>
            <w:tcW w:w="861" w:type="dxa"/>
            <w:vMerge w:val="restart"/>
            <w:tcBorders>
              <w:top w:val="single" w:sz="8" w:space="0" w:color="000000"/>
              <w:left w:val="single" w:sz="8" w:space="0" w:color="000000"/>
              <w:right w:val="single" w:sz="8" w:space="0" w:color="000000"/>
            </w:tcBorders>
            <w:vAlign w:val="center"/>
          </w:tcPr>
          <w:p w:rsidR="00DA315C" w:rsidRDefault="00CC2E83">
            <w:pPr>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w:t>
            </w:r>
          </w:p>
        </w:tc>
        <w:tc>
          <w:tcPr>
            <w:tcW w:w="3108" w:type="dxa"/>
            <w:tcBorders>
              <w:top w:val="single" w:sz="8" w:space="0" w:color="000000"/>
              <w:left w:val="single" w:sz="8" w:space="0" w:color="000000"/>
              <w:bottom w:val="single" w:sz="8" w:space="0" w:color="000000"/>
              <w:right w:val="single" w:sz="8" w:space="0" w:color="000000"/>
            </w:tcBorders>
          </w:tcPr>
          <w:p w:rsidR="00DA315C" w:rsidRDefault="00CC2E83">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报告期末债券回购融资余额</w:t>
            </w:r>
          </w:p>
        </w:tc>
        <w:tc>
          <w:tcPr>
            <w:tcW w:w="2977"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righ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righ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w:t>
            </w:r>
          </w:p>
        </w:tc>
      </w:tr>
      <w:tr w:rsidR="00DA315C">
        <w:tc>
          <w:tcPr>
            <w:tcW w:w="861" w:type="dxa"/>
            <w:vMerge/>
            <w:tcBorders>
              <w:left w:val="single" w:sz="8" w:space="0" w:color="000000"/>
              <w:bottom w:val="single" w:sz="8" w:space="0" w:color="000000"/>
              <w:right w:val="single" w:sz="8" w:space="0" w:color="000000"/>
            </w:tcBorders>
            <w:vAlign w:val="center"/>
          </w:tcPr>
          <w:p w:rsidR="00DA315C" w:rsidRDefault="00DA315C">
            <w:pPr>
              <w:spacing w:line="360" w:lineRule="auto"/>
              <w:rPr>
                <w:rFonts w:asciiTheme="minorEastAsia" w:eastAsiaTheme="minorEastAsia" w:hAnsiTheme="minorEastAsia"/>
                <w:color w:val="000000" w:themeColor="text1"/>
                <w:sz w:val="24"/>
              </w:rPr>
            </w:pPr>
          </w:p>
        </w:tc>
        <w:tc>
          <w:tcPr>
            <w:tcW w:w="3108" w:type="dxa"/>
            <w:tcBorders>
              <w:top w:val="single" w:sz="8" w:space="0" w:color="000000"/>
              <w:left w:val="single" w:sz="8" w:space="0" w:color="000000"/>
              <w:bottom w:val="single" w:sz="8" w:space="0" w:color="000000"/>
              <w:right w:val="single" w:sz="8" w:space="0" w:color="000000"/>
            </w:tcBorders>
          </w:tcPr>
          <w:p w:rsidR="00DA315C" w:rsidRDefault="00CC2E83">
            <w:pPr>
              <w:spacing w:line="360" w:lineRule="auto"/>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其中：买断式回购融资</w:t>
            </w:r>
          </w:p>
        </w:tc>
        <w:tc>
          <w:tcPr>
            <w:tcW w:w="2977"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righ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jc w:val="righ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w:t>
            </w:r>
          </w:p>
        </w:tc>
      </w:tr>
    </w:tbl>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债券正回购的资金余额超过基金资产净值的</w:t>
      </w:r>
      <w:r>
        <w:rPr>
          <w:rFonts w:asciiTheme="minorEastAsia" w:eastAsiaTheme="minorEastAsia" w:hAnsiTheme="minorEastAsia" w:cs="Arial"/>
          <w:b/>
          <w:color w:val="000000" w:themeColor="text1"/>
          <w:kern w:val="0"/>
          <w:sz w:val="24"/>
        </w:rPr>
        <w:t>20</w:t>
      </w:r>
      <w:r>
        <w:rPr>
          <w:rFonts w:asciiTheme="minorEastAsia" w:eastAsiaTheme="minorEastAsia" w:hAnsiTheme="minorEastAsia" w:cs="Arial" w:hint="eastAsia"/>
          <w:b/>
          <w:color w:val="000000" w:themeColor="text1"/>
          <w:kern w:val="0"/>
          <w:sz w:val="24"/>
        </w:rPr>
        <w:t>％的说明</w:t>
      </w:r>
    </w:p>
    <w:p w:rsidR="00DA315C" w:rsidRDefault="00CC2E83" w:rsidP="00FB6FB2">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在本报告期内本货币市场基金债券正回购的资金余额未超过资产净值的20%。</w:t>
      </w:r>
    </w:p>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5.3 </w:t>
      </w:r>
      <w:r>
        <w:rPr>
          <w:rFonts w:asciiTheme="minorEastAsia" w:eastAsiaTheme="minorEastAsia" w:hAnsiTheme="minorEastAsia" w:cs="Arial" w:hint="eastAsia"/>
          <w:b/>
          <w:color w:val="000000" w:themeColor="text1"/>
          <w:kern w:val="0"/>
          <w:sz w:val="24"/>
        </w:rPr>
        <w:t>基金投资组合平均剩余期限</w:t>
      </w:r>
    </w:p>
    <w:p w:rsidR="00DA315C" w:rsidRDefault="00CC2E83" w:rsidP="0017387C">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5.3.1 </w:t>
      </w:r>
      <w:r>
        <w:rPr>
          <w:rFonts w:asciiTheme="minorEastAsia" w:eastAsiaTheme="minorEastAsia" w:hAnsiTheme="minorEastAsia" w:cs="Arial" w:hint="eastAsia"/>
          <w:b/>
          <w:color w:val="000000" w:themeColor="text1"/>
          <w:kern w:val="0"/>
          <w:sz w:val="24"/>
        </w:rPr>
        <w:t>投资组合平均剩余期限基本情况</w:t>
      </w:r>
    </w:p>
    <w:tbl>
      <w:tblPr>
        <w:tblW w:w="0" w:type="auto"/>
        <w:tblInd w:w="108" w:type="dxa"/>
        <w:tblLayout w:type="fixed"/>
        <w:tblLook w:val="04A0" w:firstRow="1" w:lastRow="0" w:firstColumn="1" w:lastColumn="0" w:noHBand="0" w:noVBand="1"/>
      </w:tblPr>
      <w:tblGrid>
        <w:gridCol w:w="4056"/>
        <w:gridCol w:w="5016"/>
      </w:tblGrid>
      <w:tr w:rsidR="00DA315C">
        <w:tc>
          <w:tcPr>
            <w:tcW w:w="4056"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lastRenderedPageBreak/>
              <w:t>项目</w:t>
            </w:r>
          </w:p>
        </w:tc>
        <w:tc>
          <w:tcPr>
            <w:tcW w:w="5016"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天数</w:t>
            </w:r>
          </w:p>
        </w:tc>
      </w:tr>
      <w:tr w:rsidR="00DA315C">
        <w:tc>
          <w:tcPr>
            <w:tcW w:w="4056"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报告期末投资组合平均剩余期限</w:t>
            </w:r>
          </w:p>
        </w:tc>
        <w:tc>
          <w:tcPr>
            <w:tcW w:w="5016"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ind w:right="120"/>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108</w:t>
            </w:r>
          </w:p>
        </w:tc>
      </w:tr>
      <w:tr w:rsidR="00DA315C">
        <w:tc>
          <w:tcPr>
            <w:tcW w:w="4056"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报告期内投资组合平均剩余期限最高值</w:t>
            </w:r>
          </w:p>
        </w:tc>
        <w:tc>
          <w:tcPr>
            <w:tcW w:w="5016"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ind w:right="120"/>
              <w:jc w:val="righ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116</w:t>
            </w:r>
          </w:p>
        </w:tc>
      </w:tr>
      <w:tr w:rsidR="00DA315C">
        <w:tc>
          <w:tcPr>
            <w:tcW w:w="4056"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报告期内投资组合平均剩余期限最低值</w:t>
            </w:r>
          </w:p>
        </w:tc>
        <w:tc>
          <w:tcPr>
            <w:tcW w:w="5016" w:type="dxa"/>
            <w:tcBorders>
              <w:top w:val="single" w:sz="8" w:space="0" w:color="000000"/>
              <w:left w:val="single" w:sz="8" w:space="0" w:color="000000"/>
              <w:bottom w:val="single" w:sz="8" w:space="0" w:color="000000"/>
              <w:right w:val="single" w:sz="8" w:space="0" w:color="000000"/>
            </w:tcBorders>
            <w:vAlign w:val="center"/>
          </w:tcPr>
          <w:p w:rsidR="00DA315C" w:rsidRDefault="00CC2E83">
            <w:pPr>
              <w:spacing w:line="360" w:lineRule="auto"/>
              <w:ind w:right="120"/>
              <w:jc w:val="right"/>
              <w:rPr>
                <w:rFonts w:asciiTheme="minorEastAsia" w:eastAsiaTheme="minorEastAsia" w:hAnsiTheme="minorEastAsia" w:cs="宋体"/>
                <w:color w:val="000000" w:themeColor="text1"/>
                <w:sz w:val="24"/>
              </w:rPr>
            </w:pPr>
            <w:r>
              <w:rPr>
                <w:rFonts w:asciiTheme="minorEastAsia" w:eastAsiaTheme="minorEastAsia" w:hAnsiTheme="minorEastAsia" w:hint="eastAsia"/>
                <w:color w:val="000000" w:themeColor="text1"/>
                <w:sz w:val="24"/>
              </w:rPr>
              <w:t>82</w:t>
            </w:r>
          </w:p>
        </w:tc>
      </w:tr>
    </w:tbl>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报告期内投资组合平均剩余期限超过</w:t>
      </w:r>
      <w:r>
        <w:rPr>
          <w:rFonts w:asciiTheme="minorEastAsia" w:eastAsiaTheme="minorEastAsia" w:hAnsiTheme="minorEastAsia" w:cs="Arial"/>
          <w:b/>
          <w:color w:val="000000" w:themeColor="text1"/>
          <w:kern w:val="0"/>
          <w:sz w:val="24"/>
        </w:rPr>
        <w:t>1</w:t>
      </w:r>
      <w:r>
        <w:rPr>
          <w:rFonts w:asciiTheme="minorEastAsia" w:eastAsiaTheme="minorEastAsia" w:hAnsiTheme="minorEastAsia" w:cs="Arial" w:hint="eastAsia"/>
          <w:b/>
          <w:color w:val="000000" w:themeColor="text1"/>
          <w:kern w:val="0"/>
          <w:sz w:val="24"/>
        </w:rPr>
        <w:t>20天情况说明</w:t>
      </w:r>
    </w:p>
    <w:p w:rsidR="00DA315C" w:rsidRDefault="00CC2E83" w:rsidP="00FB6FB2">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根据基金合同约定，本基金投资组合的平均剩余期限不超过120天。在本报告期内本基金未出现投资组合平均剩余期限超过120天的情况。</w:t>
      </w:r>
    </w:p>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5.3.2  </w:t>
      </w:r>
      <w:r>
        <w:rPr>
          <w:rFonts w:asciiTheme="minorEastAsia" w:eastAsiaTheme="minorEastAsia" w:hAnsiTheme="minorEastAsia" w:cs="Arial" w:hint="eastAsia"/>
          <w:b/>
          <w:color w:val="000000" w:themeColor="text1"/>
          <w:kern w:val="0"/>
          <w:sz w:val="24"/>
        </w:rPr>
        <w:t>报告期末投资组合平均剩余期限分布比例</w:t>
      </w:r>
    </w:p>
    <w:tbl>
      <w:tblPr>
        <w:tblW w:w="0" w:type="auto"/>
        <w:tblInd w:w="108" w:type="dxa"/>
        <w:tblLayout w:type="fixed"/>
        <w:tblLook w:val="04A0" w:firstRow="1" w:lastRow="0" w:firstColumn="1" w:lastColumn="0" w:noHBand="0" w:noVBand="1"/>
      </w:tblPr>
      <w:tblGrid>
        <w:gridCol w:w="851"/>
        <w:gridCol w:w="3351"/>
        <w:gridCol w:w="2529"/>
        <w:gridCol w:w="2431"/>
      </w:tblGrid>
      <w:tr w:rsidR="00DA315C">
        <w:tc>
          <w:tcPr>
            <w:tcW w:w="8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序号</w:t>
            </w:r>
          </w:p>
        </w:tc>
        <w:tc>
          <w:tcPr>
            <w:tcW w:w="33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平均剩余期限</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各期限资产占基金资产净值的比例（</w:t>
            </w:r>
            <w:r>
              <w:rPr>
                <w:rFonts w:asciiTheme="minorEastAsia" w:eastAsiaTheme="minorEastAsia" w:hAnsiTheme="minorEastAsia" w:cs="Arial"/>
                <w:color w:val="000000" w:themeColor="text1"/>
                <w:kern w:val="0"/>
                <w:sz w:val="24"/>
              </w:rPr>
              <w:t>%</w:t>
            </w:r>
            <w:r>
              <w:rPr>
                <w:rFonts w:asciiTheme="minorEastAsia" w:eastAsiaTheme="minorEastAsia" w:hAnsiTheme="minorEastAsia" w:cs="Arial" w:hint="eastAsia"/>
                <w:color w:val="000000" w:themeColor="text1"/>
                <w:kern w:val="0"/>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各期限负债占基金资产净值的比例（％）</w:t>
            </w:r>
          </w:p>
        </w:tc>
      </w:tr>
      <w:tr w:rsidR="00DA315C">
        <w:tc>
          <w:tcPr>
            <w:tcW w:w="8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hint="eastAsia"/>
                <w:color w:val="000000" w:themeColor="text1"/>
                <w:sz w:val="24"/>
              </w:rPr>
              <w:t>1</w:t>
            </w:r>
          </w:p>
        </w:tc>
        <w:tc>
          <w:tcPr>
            <w:tcW w:w="33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30天以内</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22.33</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0.36</w:t>
            </w:r>
          </w:p>
        </w:tc>
      </w:tr>
      <w:tr w:rsidR="00DA315C">
        <w:tc>
          <w:tcPr>
            <w:tcW w:w="851" w:type="dxa"/>
            <w:tcBorders>
              <w:top w:val="single" w:sz="8" w:space="0" w:color="000000"/>
              <w:left w:val="single" w:sz="8" w:space="0" w:color="000000"/>
              <w:bottom w:val="single" w:sz="8" w:space="0" w:color="000000"/>
              <w:right w:val="single" w:sz="8" w:space="0" w:color="000000"/>
            </w:tcBorders>
            <w:vAlign w:val="center"/>
          </w:tcPr>
          <w:p w:rsidR="00DA315C" w:rsidRDefault="00DA315C">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hint="eastAsia"/>
                <w:color w:val="000000" w:themeColor="text1"/>
                <w:sz w:val="24"/>
              </w:rPr>
              <w:t>其中：剩余存续期超过</w:t>
            </w:r>
            <w:r>
              <w:rPr>
                <w:rFonts w:asciiTheme="minorEastAsia" w:eastAsiaTheme="minorEastAsia" w:hAnsiTheme="minorEastAsia"/>
                <w:color w:val="000000" w:themeColor="text1"/>
                <w:sz w:val="24"/>
              </w:rPr>
              <w:t>397</w:t>
            </w:r>
            <w:r>
              <w:rPr>
                <w:rFonts w:asciiTheme="minorEastAsia" w:eastAsiaTheme="minorEastAsia" w:hAnsiTheme="minorEastAsia" w:hint="eastAsia"/>
                <w:color w:val="000000" w:themeColor="text1"/>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r>
      <w:tr w:rsidR="00DA315C">
        <w:tc>
          <w:tcPr>
            <w:tcW w:w="8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p>
        </w:tc>
        <w:tc>
          <w:tcPr>
            <w:tcW w:w="33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30天（含）—60天</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12.23</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r>
      <w:tr w:rsidR="00DA315C">
        <w:tc>
          <w:tcPr>
            <w:tcW w:w="851" w:type="dxa"/>
            <w:tcBorders>
              <w:top w:val="single" w:sz="8" w:space="0" w:color="000000"/>
              <w:left w:val="single" w:sz="8" w:space="0" w:color="000000"/>
              <w:bottom w:val="single" w:sz="8" w:space="0" w:color="000000"/>
              <w:right w:val="single" w:sz="8" w:space="0" w:color="000000"/>
            </w:tcBorders>
            <w:vAlign w:val="center"/>
          </w:tcPr>
          <w:p w:rsidR="00DA315C" w:rsidRDefault="00DA315C">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hint="eastAsia"/>
                <w:color w:val="000000" w:themeColor="text1"/>
                <w:sz w:val="24"/>
              </w:rPr>
              <w:t>其中：剩余存续期超过</w:t>
            </w:r>
            <w:r>
              <w:rPr>
                <w:rFonts w:asciiTheme="minorEastAsia" w:eastAsiaTheme="minorEastAsia" w:hAnsiTheme="minorEastAsia"/>
                <w:color w:val="000000" w:themeColor="text1"/>
                <w:sz w:val="24"/>
              </w:rPr>
              <w:t>397</w:t>
            </w:r>
            <w:r>
              <w:rPr>
                <w:rFonts w:asciiTheme="minorEastAsia" w:eastAsiaTheme="minorEastAsia" w:hAnsiTheme="minorEastAsia" w:hint="eastAsia"/>
                <w:color w:val="000000" w:themeColor="text1"/>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r>
      <w:tr w:rsidR="00DA315C">
        <w:tc>
          <w:tcPr>
            <w:tcW w:w="8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p>
        </w:tc>
        <w:tc>
          <w:tcPr>
            <w:tcW w:w="33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60天（含）—90天</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14.55</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r>
      <w:tr w:rsidR="00DA315C">
        <w:tc>
          <w:tcPr>
            <w:tcW w:w="851" w:type="dxa"/>
            <w:tcBorders>
              <w:top w:val="single" w:sz="8" w:space="0" w:color="000000"/>
              <w:left w:val="single" w:sz="8" w:space="0" w:color="000000"/>
              <w:bottom w:val="single" w:sz="8" w:space="0" w:color="000000"/>
              <w:right w:val="single" w:sz="8" w:space="0" w:color="000000"/>
            </w:tcBorders>
            <w:vAlign w:val="center"/>
          </w:tcPr>
          <w:p w:rsidR="00DA315C" w:rsidRDefault="00DA315C">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其中：剩余存续期超过</w:t>
            </w:r>
            <w:r>
              <w:rPr>
                <w:rFonts w:asciiTheme="minorEastAsia" w:eastAsiaTheme="minorEastAsia" w:hAnsiTheme="minorEastAsia"/>
                <w:color w:val="000000" w:themeColor="text1"/>
                <w:sz w:val="24"/>
              </w:rPr>
              <w:t>397</w:t>
            </w:r>
            <w:r>
              <w:rPr>
                <w:rFonts w:asciiTheme="minorEastAsia" w:eastAsiaTheme="minorEastAsia" w:hAnsiTheme="minorEastAsia" w:hint="eastAsia"/>
                <w:color w:val="000000" w:themeColor="text1"/>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r>
      <w:tr w:rsidR="00DA315C">
        <w:tc>
          <w:tcPr>
            <w:tcW w:w="8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p>
        </w:tc>
        <w:tc>
          <w:tcPr>
            <w:tcW w:w="33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90天（含）—1</w:t>
            </w:r>
            <w:r>
              <w:rPr>
                <w:rFonts w:asciiTheme="minorEastAsia" w:eastAsiaTheme="minorEastAsia" w:hAnsiTheme="minorEastAsia" w:hint="eastAsia"/>
                <w:color w:val="000000" w:themeColor="text1"/>
                <w:sz w:val="24"/>
              </w:rPr>
              <w:t>2</w:t>
            </w:r>
            <w:r>
              <w:rPr>
                <w:rFonts w:asciiTheme="minorEastAsia" w:eastAsiaTheme="minorEastAsia" w:hAnsiTheme="minorEastAsia"/>
                <w:color w:val="000000" w:themeColor="text1"/>
                <w:sz w:val="24"/>
              </w:rPr>
              <w:t>0天</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13.25</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r>
      <w:tr w:rsidR="00DA315C">
        <w:tc>
          <w:tcPr>
            <w:tcW w:w="851" w:type="dxa"/>
            <w:tcBorders>
              <w:top w:val="single" w:sz="8" w:space="0" w:color="000000"/>
              <w:left w:val="single" w:sz="8" w:space="0" w:color="000000"/>
              <w:bottom w:val="single" w:sz="8" w:space="0" w:color="000000"/>
              <w:right w:val="single" w:sz="8" w:space="0" w:color="000000"/>
            </w:tcBorders>
            <w:vAlign w:val="center"/>
          </w:tcPr>
          <w:p w:rsidR="00DA315C" w:rsidRDefault="00DA315C">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其中：剩余存续期超过</w:t>
            </w:r>
            <w:r>
              <w:rPr>
                <w:rFonts w:asciiTheme="minorEastAsia" w:eastAsiaTheme="minorEastAsia" w:hAnsiTheme="minorEastAsia"/>
                <w:color w:val="000000" w:themeColor="text1"/>
                <w:sz w:val="24"/>
              </w:rPr>
              <w:t>397</w:t>
            </w:r>
            <w:r>
              <w:rPr>
                <w:rFonts w:asciiTheme="minorEastAsia" w:eastAsiaTheme="minorEastAsia" w:hAnsiTheme="minorEastAsia" w:hint="eastAsia"/>
                <w:color w:val="000000" w:themeColor="text1"/>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r>
      <w:tr w:rsidR="00DA315C">
        <w:tc>
          <w:tcPr>
            <w:tcW w:w="8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w:t>
            </w:r>
          </w:p>
        </w:tc>
        <w:tc>
          <w:tcPr>
            <w:tcW w:w="33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20</w:t>
            </w:r>
            <w:r>
              <w:rPr>
                <w:rFonts w:asciiTheme="minorEastAsia" w:eastAsiaTheme="minorEastAsia" w:hAnsiTheme="minorEastAsia"/>
                <w:color w:val="000000" w:themeColor="text1"/>
                <w:sz w:val="24"/>
              </w:rPr>
              <w:t>天（含）—397天（含）</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37.27</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r>
      <w:tr w:rsidR="00DA315C">
        <w:tc>
          <w:tcPr>
            <w:tcW w:w="851" w:type="dxa"/>
            <w:tcBorders>
              <w:top w:val="single" w:sz="8" w:space="0" w:color="000000"/>
              <w:left w:val="single" w:sz="8" w:space="0" w:color="000000"/>
              <w:bottom w:val="single" w:sz="8" w:space="0" w:color="000000"/>
              <w:right w:val="single" w:sz="8" w:space="0" w:color="000000"/>
            </w:tcBorders>
            <w:vAlign w:val="center"/>
          </w:tcPr>
          <w:p w:rsidR="00DA315C" w:rsidRDefault="00DA315C">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335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其中：剩余存续期超过</w:t>
            </w:r>
            <w:r>
              <w:rPr>
                <w:rFonts w:asciiTheme="minorEastAsia" w:eastAsiaTheme="minorEastAsia" w:hAnsiTheme="minorEastAsia"/>
                <w:color w:val="000000" w:themeColor="text1"/>
                <w:sz w:val="24"/>
              </w:rPr>
              <w:t>397</w:t>
            </w:r>
            <w:r>
              <w:rPr>
                <w:rFonts w:asciiTheme="minorEastAsia" w:eastAsiaTheme="minorEastAsia" w:hAnsiTheme="minorEastAsia" w:hint="eastAsia"/>
                <w:color w:val="000000" w:themeColor="text1"/>
                <w:sz w:val="24"/>
              </w:rPr>
              <w:t>天的浮动利率债</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w:t>
            </w:r>
          </w:p>
        </w:tc>
      </w:tr>
      <w:tr w:rsidR="00DA315C">
        <w:tc>
          <w:tcPr>
            <w:tcW w:w="4202" w:type="dxa"/>
            <w:gridSpan w:val="2"/>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合计</w:t>
            </w:r>
          </w:p>
        </w:tc>
        <w:tc>
          <w:tcPr>
            <w:tcW w:w="2529"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99.63</w:t>
            </w:r>
          </w:p>
        </w:tc>
        <w:tc>
          <w:tcPr>
            <w:tcW w:w="2431"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olor w:val="000000" w:themeColor="text1"/>
                <w:sz w:val="24"/>
              </w:rPr>
              <w:t>0.36</w:t>
            </w:r>
          </w:p>
        </w:tc>
      </w:tr>
    </w:tbl>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5.4</w:t>
      </w:r>
      <w:r>
        <w:rPr>
          <w:rFonts w:asciiTheme="minorEastAsia" w:eastAsiaTheme="minorEastAsia" w:hAnsiTheme="minorEastAsia" w:cs="Arial"/>
          <w:b/>
          <w:color w:val="000000" w:themeColor="text1"/>
          <w:kern w:val="0"/>
          <w:sz w:val="24"/>
        </w:rPr>
        <w:t xml:space="preserve"> </w:t>
      </w:r>
      <w:r w:rsidRPr="0017387C">
        <w:rPr>
          <w:rFonts w:asciiTheme="minorEastAsia" w:eastAsiaTheme="minorEastAsia" w:hAnsiTheme="minorEastAsia" w:cs="Arial" w:hint="eastAsia"/>
          <w:b/>
          <w:color w:val="000000" w:themeColor="text1"/>
          <w:kern w:val="0"/>
          <w:sz w:val="24"/>
        </w:rPr>
        <w:t>报告期内投资组合平均剩余存续期超过240天情况说明</w:t>
      </w:r>
    </w:p>
    <w:p w:rsidR="00DA315C" w:rsidRPr="00FB6FB2" w:rsidRDefault="00CC2E83" w:rsidP="00FB6FB2">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在本报告期内本基金未出现投资组合平均剩余存续期超过240天的情况。</w:t>
      </w:r>
    </w:p>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5.5 </w:t>
      </w:r>
      <w:r>
        <w:rPr>
          <w:rFonts w:asciiTheme="minorEastAsia" w:eastAsiaTheme="minorEastAsia" w:hAnsiTheme="minorEastAsia" w:cs="Arial" w:hint="eastAsia"/>
          <w:b/>
          <w:color w:val="000000" w:themeColor="text1"/>
          <w:kern w:val="0"/>
          <w:sz w:val="24"/>
        </w:rPr>
        <w:t>报告期末按债券品种分类的债券投资组合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3119"/>
        <w:gridCol w:w="1984"/>
      </w:tblGrid>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序号</w:t>
            </w:r>
          </w:p>
        </w:tc>
        <w:tc>
          <w:tcPr>
            <w:tcW w:w="3260"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债券品种</w:t>
            </w:r>
          </w:p>
        </w:tc>
        <w:tc>
          <w:tcPr>
            <w:tcW w:w="3119"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宋体" w:hAnsi="宋体" w:hint="eastAsia"/>
                <w:color w:val="000000" w:themeColor="text1"/>
                <w:sz w:val="24"/>
              </w:rPr>
              <w:t>摊余成本（元）</w:t>
            </w:r>
          </w:p>
        </w:tc>
        <w:tc>
          <w:tcPr>
            <w:tcW w:w="1984"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占基金资产净值比例(％)</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1</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国家债券</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央行票据</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金融债券</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488,180,574.37</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5.89</w:t>
            </w:r>
          </w:p>
        </w:tc>
      </w:tr>
      <w:tr w:rsidR="00DA315C">
        <w:tc>
          <w:tcPr>
            <w:tcW w:w="817" w:type="dxa"/>
            <w:vAlign w:val="center"/>
          </w:tcPr>
          <w:p w:rsidR="00DA315C" w:rsidRDefault="00DA315C">
            <w:pPr>
              <w:spacing w:before="29" w:line="360" w:lineRule="auto"/>
              <w:ind w:left="17"/>
              <w:jc w:val="center"/>
              <w:rPr>
                <w:rFonts w:asciiTheme="minorEastAsia" w:eastAsiaTheme="minorEastAsia" w:hAnsiTheme="minorEastAsia" w:cs="宋体"/>
                <w:color w:val="000000" w:themeColor="text1"/>
                <w:sz w:val="24"/>
              </w:rPr>
            </w:pP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其中：政策性金融债</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488,180,574.37</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5.89</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4</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企业债券</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5</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企业短期融资券</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844,628,446.61</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10.20</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6</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中期票据</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7</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同业存单</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2,172,543,513.92</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26.23</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8</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其他</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9</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合计</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3,505,352,534.90</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42.32</w:t>
            </w:r>
          </w:p>
        </w:tc>
      </w:tr>
      <w:tr w:rsidR="00DA315C">
        <w:tc>
          <w:tcPr>
            <w:tcW w:w="817" w:type="dxa"/>
            <w:vAlign w:val="center"/>
          </w:tcPr>
          <w:p w:rsidR="00DA315C" w:rsidRDefault="00CC2E83">
            <w:pPr>
              <w:spacing w:before="29" w:line="360" w:lineRule="auto"/>
              <w:ind w:left="17"/>
              <w:jc w:val="center"/>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10</w:t>
            </w:r>
          </w:p>
        </w:tc>
        <w:tc>
          <w:tcPr>
            <w:tcW w:w="3260" w:type="dxa"/>
            <w:vAlign w:val="center"/>
          </w:tcPr>
          <w:p w:rsidR="00DA315C" w:rsidRDefault="00CC2E83">
            <w:pPr>
              <w:spacing w:before="29" w:line="360" w:lineRule="auto"/>
              <w:ind w:left="17"/>
              <w:jc w:val="lef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剩余存续期超过397天的浮动利率债券</w:t>
            </w:r>
          </w:p>
        </w:tc>
        <w:tc>
          <w:tcPr>
            <w:tcW w:w="3119"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c>
          <w:tcPr>
            <w:tcW w:w="1984" w:type="dxa"/>
            <w:vAlign w:val="center"/>
          </w:tcPr>
          <w:p w:rsidR="00DA315C" w:rsidRDefault="00CC2E83">
            <w:pPr>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w:t>
            </w:r>
          </w:p>
        </w:tc>
      </w:tr>
    </w:tbl>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5.6 </w:t>
      </w:r>
      <w:r>
        <w:rPr>
          <w:rFonts w:asciiTheme="minorEastAsia" w:eastAsiaTheme="minorEastAsia" w:hAnsiTheme="minorEastAsia" w:cs="Arial" w:hint="eastAsia"/>
          <w:b/>
          <w:color w:val="000000" w:themeColor="text1"/>
          <w:kern w:val="0"/>
          <w:sz w:val="24"/>
        </w:rPr>
        <w:t>报告期末按摊余成本占基金资产净值比例大小排名的前十名债券投资明细</w:t>
      </w:r>
    </w:p>
    <w:tbl>
      <w:tblPr>
        <w:tblStyle w:val="af2"/>
        <w:tblW w:w="0" w:type="auto"/>
        <w:tblInd w:w="15" w:type="dxa"/>
        <w:tblLook w:val="04A0" w:firstRow="1" w:lastRow="0" w:firstColumn="1" w:lastColumn="0" w:noHBand="0" w:noVBand="1"/>
      </w:tblPr>
      <w:tblGrid>
        <w:gridCol w:w="1201"/>
        <w:gridCol w:w="1467"/>
        <w:gridCol w:w="1711"/>
        <w:gridCol w:w="1656"/>
        <w:gridCol w:w="1896"/>
        <w:gridCol w:w="1356"/>
      </w:tblGrid>
      <w:tr w:rsidR="00DA315C">
        <w:tc>
          <w:tcPr>
            <w:tcW w:w="1547"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序号</w:t>
            </w:r>
          </w:p>
        </w:tc>
        <w:tc>
          <w:tcPr>
            <w:tcW w:w="1548"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债券代码</w:t>
            </w:r>
          </w:p>
        </w:tc>
        <w:tc>
          <w:tcPr>
            <w:tcW w:w="1548"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债券名称</w:t>
            </w:r>
          </w:p>
        </w:tc>
        <w:tc>
          <w:tcPr>
            <w:tcW w:w="1548"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债券数量</w:t>
            </w:r>
          </w:p>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color w:val="000000" w:themeColor="text1"/>
                <w:kern w:val="0"/>
                <w:sz w:val="24"/>
              </w:rPr>
              <w:t>(</w:t>
            </w:r>
            <w:r>
              <w:rPr>
                <w:rFonts w:asciiTheme="minorEastAsia" w:eastAsiaTheme="minorEastAsia" w:hAnsiTheme="minorEastAsia" w:cs="Arial" w:hint="eastAsia"/>
                <w:color w:val="000000" w:themeColor="text1"/>
                <w:kern w:val="0"/>
                <w:sz w:val="24"/>
              </w:rPr>
              <w:t>张</w:t>
            </w:r>
            <w:r>
              <w:rPr>
                <w:rFonts w:asciiTheme="minorEastAsia" w:eastAsiaTheme="minorEastAsia" w:hAnsiTheme="minorEastAsia" w:cs="Arial"/>
                <w:color w:val="000000" w:themeColor="text1"/>
                <w:kern w:val="0"/>
                <w:sz w:val="24"/>
              </w:rPr>
              <w:t>)</w:t>
            </w:r>
          </w:p>
        </w:tc>
        <w:tc>
          <w:tcPr>
            <w:tcW w:w="1548"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摊余成本（元）</w:t>
            </w:r>
          </w:p>
        </w:tc>
        <w:tc>
          <w:tcPr>
            <w:tcW w:w="1548"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占基金资产净值比例（％）</w:t>
            </w:r>
          </w:p>
        </w:tc>
      </w:tr>
      <w:tr w:rsidR="00FC1011">
        <w:tc>
          <w:tcPr>
            <w:tcW w:w="0" w:type="auto"/>
            <w:vAlign w:val="center"/>
          </w:tcPr>
          <w:p w:rsidR="00FC1011" w:rsidRDefault="00F55F5D">
            <w:pPr>
              <w:jc w:val="center"/>
            </w:pPr>
            <w:r>
              <w:rPr>
                <w:rFonts w:asciiTheme="minorEastAsia" w:eastAsiaTheme="minorEastAsia" w:hAnsiTheme="minorEastAsia"/>
                <w:color w:val="000000" w:themeColor="text1"/>
                <w:sz w:val="24"/>
              </w:rPr>
              <w:t>1</w:t>
            </w:r>
          </w:p>
        </w:tc>
        <w:tc>
          <w:tcPr>
            <w:tcW w:w="0" w:type="auto"/>
            <w:vAlign w:val="center"/>
          </w:tcPr>
          <w:p w:rsidR="00FC1011" w:rsidRDefault="00F55F5D">
            <w:pPr>
              <w:jc w:val="center"/>
            </w:pPr>
            <w:r>
              <w:rPr>
                <w:rFonts w:asciiTheme="minorEastAsia" w:eastAsiaTheme="minorEastAsia" w:hAnsiTheme="minorEastAsia"/>
                <w:color w:val="000000" w:themeColor="text1"/>
                <w:sz w:val="24"/>
              </w:rPr>
              <w:t>180211</w:t>
            </w:r>
          </w:p>
        </w:tc>
        <w:tc>
          <w:tcPr>
            <w:tcW w:w="0" w:type="auto"/>
            <w:vAlign w:val="center"/>
          </w:tcPr>
          <w:p w:rsidR="00FC1011" w:rsidRDefault="00F55F5D">
            <w:pPr>
              <w:jc w:val="center"/>
            </w:pPr>
            <w:r>
              <w:rPr>
                <w:rFonts w:asciiTheme="minorEastAsia" w:eastAsiaTheme="minorEastAsia" w:hAnsiTheme="minorEastAsia"/>
                <w:color w:val="000000" w:themeColor="text1"/>
                <w:sz w:val="24"/>
              </w:rPr>
              <w:t>18国开11</w:t>
            </w:r>
          </w:p>
        </w:tc>
        <w:tc>
          <w:tcPr>
            <w:tcW w:w="0" w:type="auto"/>
            <w:vAlign w:val="center"/>
          </w:tcPr>
          <w:p w:rsidR="00FC1011" w:rsidRDefault="00F55F5D">
            <w:pPr>
              <w:jc w:val="right"/>
            </w:pPr>
            <w:r>
              <w:rPr>
                <w:rFonts w:asciiTheme="minorEastAsia" w:eastAsiaTheme="minorEastAsia" w:hAnsiTheme="minorEastAsia"/>
                <w:color w:val="000000" w:themeColor="text1"/>
                <w:sz w:val="24"/>
              </w:rPr>
              <w:t>1,000,000.00</w:t>
            </w:r>
          </w:p>
        </w:tc>
        <w:tc>
          <w:tcPr>
            <w:tcW w:w="0" w:type="auto"/>
            <w:vAlign w:val="center"/>
          </w:tcPr>
          <w:p w:rsidR="00FC1011" w:rsidRDefault="00F55F5D">
            <w:pPr>
              <w:jc w:val="right"/>
            </w:pPr>
            <w:r>
              <w:rPr>
                <w:rFonts w:asciiTheme="minorEastAsia" w:eastAsiaTheme="minorEastAsia" w:hAnsiTheme="minorEastAsia"/>
                <w:color w:val="000000" w:themeColor="text1"/>
                <w:sz w:val="24"/>
              </w:rPr>
              <w:t>103,489,854.15</w:t>
            </w:r>
          </w:p>
        </w:tc>
        <w:tc>
          <w:tcPr>
            <w:tcW w:w="0" w:type="auto"/>
            <w:vAlign w:val="center"/>
          </w:tcPr>
          <w:p w:rsidR="00FC1011" w:rsidRDefault="00F55F5D">
            <w:pPr>
              <w:jc w:val="right"/>
            </w:pPr>
            <w:r>
              <w:rPr>
                <w:rFonts w:asciiTheme="minorEastAsia" w:eastAsiaTheme="minorEastAsia" w:hAnsiTheme="minorEastAsia"/>
                <w:color w:val="000000" w:themeColor="text1"/>
                <w:sz w:val="24"/>
              </w:rPr>
              <w:t>1.25</w:t>
            </w:r>
          </w:p>
        </w:tc>
      </w:tr>
      <w:tr w:rsidR="00FC1011">
        <w:tc>
          <w:tcPr>
            <w:tcW w:w="0" w:type="auto"/>
            <w:vAlign w:val="center"/>
          </w:tcPr>
          <w:p w:rsidR="00FC1011" w:rsidRDefault="00F55F5D">
            <w:pPr>
              <w:jc w:val="center"/>
            </w:pPr>
            <w:r>
              <w:rPr>
                <w:rFonts w:asciiTheme="minorEastAsia" w:eastAsiaTheme="minorEastAsia" w:hAnsiTheme="minorEastAsia"/>
                <w:color w:val="000000" w:themeColor="text1"/>
                <w:sz w:val="24"/>
              </w:rPr>
              <w:lastRenderedPageBreak/>
              <w:t>2</w:t>
            </w:r>
          </w:p>
        </w:tc>
        <w:tc>
          <w:tcPr>
            <w:tcW w:w="0" w:type="auto"/>
            <w:vAlign w:val="center"/>
          </w:tcPr>
          <w:p w:rsidR="00FC1011" w:rsidRDefault="00F55F5D">
            <w:pPr>
              <w:jc w:val="center"/>
            </w:pPr>
            <w:r>
              <w:rPr>
                <w:rFonts w:asciiTheme="minorEastAsia" w:eastAsiaTheme="minorEastAsia" w:hAnsiTheme="minorEastAsia"/>
                <w:color w:val="000000" w:themeColor="text1"/>
                <w:sz w:val="24"/>
              </w:rPr>
              <w:t>170404</w:t>
            </w:r>
          </w:p>
        </w:tc>
        <w:tc>
          <w:tcPr>
            <w:tcW w:w="0" w:type="auto"/>
            <w:vAlign w:val="center"/>
          </w:tcPr>
          <w:p w:rsidR="00FC1011" w:rsidRDefault="00F55F5D">
            <w:pPr>
              <w:jc w:val="center"/>
            </w:pPr>
            <w:r>
              <w:rPr>
                <w:rFonts w:asciiTheme="minorEastAsia" w:eastAsiaTheme="minorEastAsia" w:hAnsiTheme="minorEastAsia"/>
                <w:color w:val="000000" w:themeColor="text1"/>
                <w:sz w:val="24"/>
              </w:rPr>
              <w:t>17农发04</w:t>
            </w:r>
          </w:p>
        </w:tc>
        <w:tc>
          <w:tcPr>
            <w:tcW w:w="0" w:type="auto"/>
            <w:vAlign w:val="center"/>
          </w:tcPr>
          <w:p w:rsidR="00FC1011" w:rsidRDefault="00F55F5D">
            <w:pPr>
              <w:jc w:val="right"/>
            </w:pPr>
            <w:r>
              <w:rPr>
                <w:rFonts w:asciiTheme="minorEastAsia" w:eastAsiaTheme="minorEastAsia" w:hAnsiTheme="minorEastAsia"/>
                <w:color w:val="000000" w:themeColor="text1"/>
                <w:sz w:val="24"/>
              </w:rPr>
              <w:t>1,000,000.00</w:t>
            </w:r>
          </w:p>
        </w:tc>
        <w:tc>
          <w:tcPr>
            <w:tcW w:w="0" w:type="auto"/>
            <w:vAlign w:val="center"/>
          </w:tcPr>
          <w:p w:rsidR="00FC1011" w:rsidRDefault="00F55F5D">
            <w:pPr>
              <w:jc w:val="right"/>
            </w:pPr>
            <w:r>
              <w:rPr>
                <w:rFonts w:asciiTheme="minorEastAsia" w:eastAsiaTheme="minorEastAsia" w:hAnsiTheme="minorEastAsia"/>
                <w:color w:val="000000" w:themeColor="text1"/>
                <w:sz w:val="24"/>
              </w:rPr>
              <w:t>102,543,805.35</w:t>
            </w:r>
          </w:p>
        </w:tc>
        <w:tc>
          <w:tcPr>
            <w:tcW w:w="0" w:type="auto"/>
            <w:vAlign w:val="center"/>
          </w:tcPr>
          <w:p w:rsidR="00FC1011" w:rsidRDefault="00F55F5D">
            <w:pPr>
              <w:jc w:val="right"/>
            </w:pPr>
            <w:r>
              <w:rPr>
                <w:rFonts w:asciiTheme="minorEastAsia" w:eastAsiaTheme="minorEastAsia" w:hAnsiTheme="minorEastAsia"/>
                <w:color w:val="000000" w:themeColor="text1"/>
                <w:sz w:val="24"/>
              </w:rPr>
              <w:t>1.24</w:t>
            </w:r>
          </w:p>
        </w:tc>
      </w:tr>
      <w:tr w:rsidR="00FC1011">
        <w:tc>
          <w:tcPr>
            <w:tcW w:w="0" w:type="auto"/>
            <w:vAlign w:val="center"/>
          </w:tcPr>
          <w:p w:rsidR="00FC1011" w:rsidRDefault="00F55F5D">
            <w:pPr>
              <w:jc w:val="center"/>
            </w:pPr>
            <w:r>
              <w:rPr>
                <w:rFonts w:asciiTheme="minorEastAsia" w:eastAsiaTheme="minorEastAsia" w:hAnsiTheme="minorEastAsia"/>
                <w:color w:val="000000" w:themeColor="text1"/>
                <w:sz w:val="24"/>
              </w:rPr>
              <w:t>3</w:t>
            </w:r>
          </w:p>
        </w:tc>
        <w:tc>
          <w:tcPr>
            <w:tcW w:w="0" w:type="auto"/>
            <w:vAlign w:val="center"/>
          </w:tcPr>
          <w:p w:rsidR="00FC1011" w:rsidRDefault="00F55F5D">
            <w:pPr>
              <w:jc w:val="center"/>
            </w:pPr>
            <w:r>
              <w:rPr>
                <w:rFonts w:asciiTheme="minorEastAsia" w:eastAsiaTheme="minorEastAsia" w:hAnsiTheme="minorEastAsia"/>
                <w:color w:val="000000" w:themeColor="text1"/>
                <w:sz w:val="24"/>
              </w:rPr>
              <w:t>112209128</w:t>
            </w:r>
          </w:p>
        </w:tc>
        <w:tc>
          <w:tcPr>
            <w:tcW w:w="0" w:type="auto"/>
            <w:vAlign w:val="center"/>
          </w:tcPr>
          <w:p w:rsidR="00FC1011" w:rsidRDefault="00F55F5D">
            <w:pPr>
              <w:jc w:val="center"/>
            </w:pPr>
            <w:r>
              <w:rPr>
                <w:rFonts w:asciiTheme="minorEastAsia" w:eastAsiaTheme="minorEastAsia" w:hAnsiTheme="minorEastAsia"/>
                <w:color w:val="000000" w:themeColor="text1"/>
                <w:sz w:val="24"/>
              </w:rPr>
              <w:t>22浦发银行CD128</w:t>
            </w:r>
          </w:p>
        </w:tc>
        <w:tc>
          <w:tcPr>
            <w:tcW w:w="0" w:type="auto"/>
            <w:vAlign w:val="center"/>
          </w:tcPr>
          <w:p w:rsidR="00FC1011" w:rsidRDefault="00F55F5D">
            <w:pPr>
              <w:jc w:val="right"/>
            </w:pPr>
            <w:r>
              <w:rPr>
                <w:rFonts w:asciiTheme="minorEastAsia" w:eastAsiaTheme="minorEastAsia" w:hAnsiTheme="minorEastAsia"/>
                <w:color w:val="000000" w:themeColor="text1"/>
                <w:sz w:val="24"/>
              </w:rPr>
              <w:t>1,000,000.00</w:t>
            </w:r>
          </w:p>
        </w:tc>
        <w:tc>
          <w:tcPr>
            <w:tcW w:w="0" w:type="auto"/>
            <w:vAlign w:val="center"/>
          </w:tcPr>
          <w:p w:rsidR="00FC1011" w:rsidRDefault="00F55F5D">
            <w:pPr>
              <w:jc w:val="right"/>
            </w:pPr>
            <w:r>
              <w:rPr>
                <w:rFonts w:asciiTheme="minorEastAsia" w:eastAsiaTheme="minorEastAsia" w:hAnsiTheme="minorEastAsia"/>
                <w:color w:val="000000" w:themeColor="text1"/>
                <w:sz w:val="24"/>
              </w:rPr>
              <w:t>99,946,310.08</w:t>
            </w:r>
          </w:p>
        </w:tc>
        <w:tc>
          <w:tcPr>
            <w:tcW w:w="0" w:type="auto"/>
            <w:vAlign w:val="center"/>
          </w:tcPr>
          <w:p w:rsidR="00FC1011" w:rsidRDefault="00F55F5D">
            <w:pPr>
              <w:jc w:val="right"/>
            </w:pPr>
            <w:r>
              <w:rPr>
                <w:rFonts w:asciiTheme="minorEastAsia" w:eastAsiaTheme="minorEastAsia" w:hAnsiTheme="minorEastAsia"/>
                <w:color w:val="000000" w:themeColor="text1"/>
                <w:sz w:val="24"/>
              </w:rPr>
              <w:t>1.21</w:t>
            </w:r>
          </w:p>
        </w:tc>
      </w:tr>
      <w:tr w:rsidR="00FC1011">
        <w:tc>
          <w:tcPr>
            <w:tcW w:w="0" w:type="auto"/>
            <w:vAlign w:val="center"/>
          </w:tcPr>
          <w:p w:rsidR="00FC1011" w:rsidRDefault="00F55F5D">
            <w:pPr>
              <w:jc w:val="center"/>
            </w:pPr>
            <w:r>
              <w:rPr>
                <w:rFonts w:asciiTheme="minorEastAsia" w:eastAsiaTheme="minorEastAsia" w:hAnsiTheme="minorEastAsia"/>
                <w:color w:val="000000" w:themeColor="text1"/>
                <w:sz w:val="24"/>
              </w:rPr>
              <w:t>4</w:t>
            </w:r>
          </w:p>
        </w:tc>
        <w:tc>
          <w:tcPr>
            <w:tcW w:w="0" w:type="auto"/>
            <w:vAlign w:val="center"/>
          </w:tcPr>
          <w:p w:rsidR="00FC1011" w:rsidRDefault="00F55F5D">
            <w:pPr>
              <w:jc w:val="center"/>
            </w:pPr>
            <w:r>
              <w:rPr>
                <w:rFonts w:asciiTheme="minorEastAsia" w:eastAsiaTheme="minorEastAsia" w:hAnsiTheme="minorEastAsia"/>
                <w:color w:val="000000" w:themeColor="text1"/>
                <w:sz w:val="24"/>
              </w:rPr>
              <w:t>112321146</w:t>
            </w:r>
          </w:p>
        </w:tc>
        <w:tc>
          <w:tcPr>
            <w:tcW w:w="0" w:type="auto"/>
            <w:vAlign w:val="center"/>
          </w:tcPr>
          <w:p w:rsidR="00FC1011" w:rsidRDefault="00F55F5D">
            <w:pPr>
              <w:jc w:val="center"/>
            </w:pPr>
            <w:r>
              <w:rPr>
                <w:rFonts w:asciiTheme="minorEastAsia" w:eastAsiaTheme="minorEastAsia" w:hAnsiTheme="minorEastAsia"/>
                <w:color w:val="000000" w:themeColor="text1"/>
                <w:sz w:val="24"/>
              </w:rPr>
              <w:t>23渤海银行CD146</w:t>
            </w:r>
          </w:p>
        </w:tc>
        <w:tc>
          <w:tcPr>
            <w:tcW w:w="0" w:type="auto"/>
            <w:vAlign w:val="center"/>
          </w:tcPr>
          <w:p w:rsidR="00FC1011" w:rsidRDefault="00F55F5D">
            <w:pPr>
              <w:jc w:val="right"/>
            </w:pPr>
            <w:r>
              <w:rPr>
                <w:rFonts w:asciiTheme="minorEastAsia" w:eastAsiaTheme="minorEastAsia" w:hAnsiTheme="minorEastAsia"/>
                <w:color w:val="000000" w:themeColor="text1"/>
                <w:sz w:val="24"/>
              </w:rPr>
              <w:t>1,000,000.00</w:t>
            </w:r>
          </w:p>
        </w:tc>
        <w:tc>
          <w:tcPr>
            <w:tcW w:w="0" w:type="auto"/>
            <w:vAlign w:val="center"/>
          </w:tcPr>
          <w:p w:rsidR="00FC1011" w:rsidRDefault="00F55F5D">
            <w:pPr>
              <w:jc w:val="right"/>
            </w:pPr>
            <w:r>
              <w:rPr>
                <w:rFonts w:asciiTheme="minorEastAsia" w:eastAsiaTheme="minorEastAsia" w:hAnsiTheme="minorEastAsia"/>
                <w:color w:val="000000" w:themeColor="text1"/>
                <w:sz w:val="24"/>
              </w:rPr>
              <w:t>99,906,325.79</w:t>
            </w:r>
          </w:p>
        </w:tc>
        <w:tc>
          <w:tcPr>
            <w:tcW w:w="0" w:type="auto"/>
            <w:vAlign w:val="center"/>
          </w:tcPr>
          <w:p w:rsidR="00FC1011" w:rsidRDefault="00F55F5D">
            <w:pPr>
              <w:jc w:val="right"/>
            </w:pPr>
            <w:r>
              <w:rPr>
                <w:rFonts w:asciiTheme="minorEastAsia" w:eastAsiaTheme="minorEastAsia" w:hAnsiTheme="minorEastAsia"/>
                <w:color w:val="000000" w:themeColor="text1"/>
                <w:sz w:val="24"/>
              </w:rPr>
              <w:t>1.21</w:t>
            </w:r>
          </w:p>
        </w:tc>
      </w:tr>
      <w:tr w:rsidR="00FC1011">
        <w:tc>
          <w:tcPr>
            <w:tcW w:w="0" w:type="auto"/>
            <w:vAlign w:val="center"/>
          </w:tcPr>
          <w:p w:rsidR="00FC1011" w:rsidRDefault="00F55F5D">
            <w:pPr>
              <w:jc w:val="center"/>
            </w:pPr>
            <w:r>
              <w:rPr>
                <w:rFonts w:asciiTheme="minorEastAsia" w:eastAsiaTheme="minorEastAsia" w:hAnsiTheme="minorEastAsia"/>
                <w:color w:val="000000" w:themeColor="text1"/>
                <w:sz w:val="24"/>
              </w:rPr>
              <w:t>5</w:t>
            </w:r>
          </w:p>
        </w:tc>
        <w:tc>
          <w:tcPr>
            <w:tcW w:w="0" w:type="auto"/>
            <w:vAlign w:val="center"/>
          </w:tcPr>
          <w:p w:rsidR="00FC1011" w:rsidRDefault="00F55F5D">
            <w:pPr>
              <w:jc w:val="center"/>
            </w:pPr>
            <w:r>
              <w:rPr>
                <w:rFonts w:asciiTheme="minorEastAsia" w:eastAsiaTheme="minorEastAsia" w:hAnsiTheme="minorEastAsia"/>
                <w:color w:val="000000" w:themeColor="text1"/>
                <w:sz w:val="24"/>
              </w:rPr>
              <w:t>112214106</w:t>
            </w:r>
          </w:p>
        </w:tc>
        <w:tc>
          <w:tcPr>
            <w:tcW w:w="0" w:type="auto"/>
            <w:vAlign w:val="center"/>
          </w:tcPr>
          <w:p w:rsidR="00FC1011" w:rsidRDefault="00F55F5D">
            <w:pPr>
              <w:jc w:val="center"/>
            </w:pPr>
            <w:r>
              <w:rPr>
                <w:rFonts w:asciiTheme="minorEastAsia" w:eastAsiaTheme="minorEastAsia" w:hAnsiTheme="minorEastAsia"/>
                <w:color w:val="000000" w:themeColor="text1"/>
                <w:sz w:val="24"/>
              </w:rPr>
              <w:t>22江苏银行CD106</w:t>
            </w:r>
          </w:p>
        </w:tc>
        <w:tc>
          <w:tcPr>
            <w:tcW w:w="0" w:type="auto"/>
            <w:vAlign w:val="center"/>
          </w:tcPr>
          <w:p w:rsidR="00FC1011" w:rsidRDefault="00F55F5D">
            <w:pPr>
              <w:jc w:val="right"/>
            </w:pPr>
            <w:r>
              <w:rPr>
                <w:rFonts w:asciiTheme="minorEastAsia" w:eastAsiaTheme="minorEastAsia" w:hAnsiTheme="minorEastAsia"/>
                <w:color w:val="000000" w:themeColor="text1"/>
                <w:sz w:val="24"/>
              </w:rPr>
              <w:t>1,000,000.00</w:t>
            </w:r>
          </w:p>
        </w:tc>
        <w:tc>
          <w:tcPr>
            <w:tcW w:w="0" w:type="auto"/>
            <w:vAlign w:val="center"/>
          </w:tcPr>
          <w:p w:rsidR="00FC1011" w:rsidRDefault="00F55F5D">
            <w:pPr>
              <w:jc w:val="right"/>
            </w:pPr>
            <w:r>
              <w:rPr>
                <w:rFonts w:asciiTheme="minorEastAsia" w:eastAsiaTheme="minorEastAsia" w:hAnsiTheme="minorEastAsia"/>
                <w:color w:val="000000" w:themeColor="text1"/>
                <w:sz w:val="24"/>
              </w:rPr>
              <w:t>99,884,334.08</w:t>
            </w:r>
          </w:p>
        </w:tc>
        <w:tc>
          <w:tcPr>
            <w:tcW w:w="0" w:type="auto"/>
            <w:vAlign w:val="center"/>
          </w:tcPr>
          <w:p w:rsidR="00FC1011" w:rsidRDefault="00F55F5D">
            <w:pPr>
              <w:jc w:val="right"/>
            </w:pPr>
            <w:r>
              <w:rPr>
                <w:rFonts w:asciiTheme="minorEastAsia" w:eastAsiaTheme="minorEastAsia" w:hAnsiTheme="minorEastAsia"/>
                <w:color w:val="000000" w:themeColor="text1"/>
                <w:sz w:val="24"/>
              </w:rPr>
              <w:t>1.21</w:t>
            </w:r>
          </w:p>
        </w:tc>
      </w:tr>
      <w:tr w:rsidR="00FC1011">
        <w:tc>
          <w:tcPr>
            <w:tcW w:w="0" w:type="auto"/>
            <w:vAlign w:val="center"/>
          </w:tcPr>
          <w:p w:rsidR="00FC1011" w:rsidRDefault="00F55F5D">
            <w:pPr>
              <w:jc w:val="center"/>
            </w:pPr>
            <w:r>
              <w:rPr>
                <w:rFonts w:asciiTheme="minorEastAsia" w:eastAsiaTheme="minorEastAsia" w:hAnsiTheme="minorEastAsia"/>
                <w:color w:val="000000" w:themeColor="text1"/>
                <w:sz w:val="24"/>
              </w:rPr>
              <w:t>6</w:t>
            </w:r>
          </w:p>
        </w:tc>
        <w:tc>
          <w:tcPr>
            <w:tcW w:w="0" w:type="auto"/>
            <w:vAlign w:val="center"/>
          </w:tcPr>
          <w:p w:rsidR="00FC1011" w:rsidRDefault="00F55F5D">
            <w:pPr>
              <w:jc w:val="center"/>
            </w:pPr>
            <w:r>
              <w:rPr>
                <w:rFonts w:asciiTheme="minorEastAsia" w:eastAsiaTheme="minorEastAsia" w:hAnsiTheme="minorEastAsia"/>
                <w:color w:val="000000" w:themeColor="text1"/>
                <w:sz w:val="24"/>
              </w:rPr>
              <w:t>112216136</w:t>
            </w:r>
          </w:p>
        </w:tc>
        <w:tc>
          <w:tcPr>
            <w:tcW w:w="0" w:type="auto"/>
            <w:vAlign w:val="center"/>
          </w:tcPr>
          <w:p w:rsidR="00FC1011" w:rsidRDefault="00F55F5D">
            <w:pPr>
              <w:jc w:val="center"/>
            </w:pPr>
            <w:r>
              <w:rPr>
                <w:rFonts w:asciiTheme="minorEastAsia" w:eastAsiaTheme="minorEastAsia" w:hAnsiTheme="minorEastAsia"/>
                <w:color w:val="000000" w:themeColor="text1"/>
                <w:sz w:val="24"/>
              </w:rPr>
              <w:t>22上海银行CD136</w:t>
            </w:r>
          </w:p>
        </w:tc>
        <w:tc>
          <w:tcPr>
            <w:tcW w:w="0" w:type="auto"/>
            <w:vAlign w:val="center"/>
          </w:tcPr>
          <w:p w:rsidR="00FC1011" w:rsidRDefault="00F55F5D">
            <w:pPr>
              <w:jc w:val="right"/>
            </w:pPr>
            <w:r>
              <w:rPr>
                <w:rFonts w:asciiTheme="minorEastAsia" w:eastAsiaTheme="minorEastAsia" w:hAnsiTheme="minorEastAsia"/>
                <w:color w:val="000000" w:themeColor="text1"/>
                <w:sz w:val="24"/>
              </w:rPr>
              <w:t>1,000,000.00</w:t>
            </w:r>
          </w:p>
        </w:tc>
        <w:tc>
          <w:tcPr>
            <w:tcW w:w="0" w:type="auto"/>
            <w:vAlign w:val="center"/>
          </w:tcPr>
          <w:p w:rsidR="00FC1011" w:rsidRDefault="00F55F5D">
            <w:pPr>
              <w:jc w:val="right"/>
            </w:pPr>
            <w:r>
              <w:rPr>
                <w:rFonts w:asciiTheme="minorEastAsia" w:eastAsiaTheme="minorEastAsia" w:hAnsiTheme="minorEastAsia"/>
                <w:color w:val="000000" w:themeColor="text1"/>
                <w:sz w:val="24"/>
              </w:rPr>
              <w:t>99,726,143.32</w:t>
            </w:r>
          </w:p>
        </w:tc>
        <w:tc>
          <w:tcPr>
            <w:tcW w:w="0" w:type="auto"/>
            <w:vAlign w:val="center"/>
          </w:tcPr>
          <w:p w:rsidR="00FC1011" w:rsidRDefault="00F55F5D">
            <w:pPr>
              <w:jc w:val="right"/>
            </w:pPr>
            <w:r>
              <w:rPr>
                <w:rFonts w:asciiTheme="minorEastAsia" w:eastAsiaTheme="minorEastAsia" w:hAnsiTheme="minorEastAsia"/>
                <w:color w:val="000000" w:themeColor="text1"/>
                <w:sz w:val="24"/>
              </w:rPr>
              <w:t>1.20</w:t>
            </w:r>
          </w:p>
        </w:tc>
      </w:tr>
      <w:tr w:rsidR="00FC1011">
        <w:tc>
          <w:tcPr>
            <w:tcW w:w="0" w:type="auto"/>
            <w:vAlign w:val="center"/>
          </w:tcPr>
          <w:p w:rsidR="00FC1011" w:rsidRDefault="00F55F5D">
            <w:pPr>
              <w:jc w:val="center"/>
            </w:pPr>
            <w:r>
              <w:rPr>
                <w:rFonts w:asciiTheme="minorEastAsia" w:eastAsiaTheme="minorEastAsia" w:hAnsiTheme="minorEastAsia"/>
                <w:color w:val="000000" w:themeColor="text1"/>
                <w:sz w:val="24"/>
              </w:rPr>
              <w:t>7</w:t>
            </w:r>
          </w:p>
        </w:tc>
        <w:tc>
          <w:tcPr>
            <w:tcW w:w="0" w:type="auto"/>
            <w:vAlign w:val="center"/>
          </w:tcPr>
          <w:p w:rsidR="00FC1011" w:rsidRDefault="00F55F5D">
            <w:pPr>
              <w:jc w:val="center"/>
            </w:pPr>
            <w:r>
              <w:rPr>
                <w:rFonts w:asciiTheme="minorEastAsia" w:eastAsiaTheme="minorEastAsia" w:hAnsiTheme="minorEastAsia"/>
                <w:color w:val="000000" w:themeColor="text1"/>
                <w:sz w:val="24"/>
              </w:rPr>
              <w:t>112212114</w:t>
            </w:r>
          </w:p>
        </w:tc>
        <w:tc>
          <w:tcPr>
            <w:tcW w:w="0" w:type="auto"/>
            <w:vAlign w:val="center"/>
          </w:tcPr>
          <w:p w:rsidR="00FC1011" w:rsidRDefault="00F55F5D">
            <w:pPr>
              <w:jc w:val="center"/>
            </w:pPr>
            <w:r>
              <w:rPr>
                <w:rFonts w:asciiTheme="minorEastAsia" w:eastAsiaTheme="minorEastAsia" w:hAnsiTheme="minorEastAsia"/>
                <w:color w:val="000000" w:themeColor="text1"/>
                <w:sz w:val="24"/>
              </w:rPr>
              <w:t>22北京银行CD114</w:t>
            </w:r>
          </w:p>
        </w:tc>
        <w:tc>
          <w:tcPr>
            <w:tcW w:w="0" w:type="auto"/>
            <w:vAlign w:val="center"/>
          </w:tcPr>
          <w:p w:rsidR="00FC1011" w:rsidRDefault="00F55F5D">
            <w:pPr>
              <w:jc w:val="right"/>
            </w:pPr>
            <w:r>
              <w:rPr>
                <w:rFonts w:asciiTheme="minorEastAsia" w:eastAsiaTheme="minorEastAsia" w:hAnsiTheme="minorEastAsia"/>
                <w:color w:val="000000" w:themeColor="text1"/>
                <w:sz w:val="24"/>
              </w:rPr>
              <w:t>1,000,000.00</w:t>
            </w:r>
          </w:p>
        </w:tc>
        <w:tc>
          <w:tcPr>
            <w:tcW w:w="0" w:type="auto"/>
            <w:vAlign w:val="center"/>
          </w:tcPr>
          <w:p w:rsidR="00FC1011" w:rsidRDefault="00F55F5D">
            <w:pPr>
              <w:jc w:val="right"/>
            </w:pPr>
            <w:r>
              <w:rPr>
                <w:rFonts w:asciiTheme="minorEastAsia" w:eastAsiaTheme="minorEastAsia" w:hAnsiTheme="minorEastAsia"/>
                <w:color w:val="000000" w:themeColor="text1"/>
                <w:sz w:val="24"/>
              </w:rPr>
              <w:t>99,723,076.74</w:t>
            </w:r>
          </w:p>
        </w:tc>
        <w:tc>
          <w:tcPr>
            <w:tcW w:w="0" w:type="auto"/>
            <w:vAlign w:val="center"/>
          </w:tcPr>
          <w:p w:rsidR="00FC1011" w:rsidRDefault="00F55F5D">
            <w:pPr>
              <w:jc w:val="right"/>
            </w:pPr>
            <w:r>
              <w:rPr>
                <w:rFonts w:asciiTheme="minorEastAsia" w:eastAsiaTheme="minorEastAsia" w:hAnsiTheme="minorEastAsia"/>
                <w:color w:val="000000" w:themeColor="text1"/>
                <w:sz w:val="24"/>
              </w:rPr>
              <w:t>1.20</w:t>
            </w:r>
          </w:p>
        </w:tc>
      </w:tr>
      <w:tr w:rsidR="00FC1011">
        <w:tc>
          <w:tcPr>
            <w:tcW w:w="0" w:type="auto"/>
            <w:vAlign w:val="center"/>
          </w:tcPr>
          <w:p w:rsidR="00FC1011" w:rsidRDefault="00F55F5D">
            <w:pPr>
              <w:jc w:val="center"/>
            </w:pPr>
            <w:r>
              <w:rPr>
                <w:rFonts w:asciiTheme="minorEastAsia" w:eastAsiaTheme="minorEastAsia" w:hAnsiTheme="minorEastAsia"/>
                <w:color w:val="000000" w:themeColor="text1"/>
                <w:sz w:val="24"/>
              </w:rPr>
              <w:t>8</w:t>
            </w:r>
          </w:p>
        </w:tc>
        <w:tc>
          <w:tcPr>
            <w:tcW w:w="0" w:type="auto"/>
            <w:vAlign w:val="center"/>
          </w:tcPr>
          <w:p w:rsidR="00FC1011" w:rsidRDefault="00F55F5D">
            <w:pPr>
              <w:jc w:val="center"/>
            </w:pPr>
            <w:r>
              <w:rPr>
                <w:rFonts w:asciiTheme="minorEastAsia" w:eastAsiaTheme="minorEastAsia" w:hAnsiTheme="minorEastAsia"/>
                <w:color w:val="000000" w:themeColor="text1"/>
                <w:sz w:val="24"/>
              </w:rPr>
              <w:t>112271738</w:t>
            </w:r>
          </w:p>
        </w:tc>
        <w:tc>
          <w:tcPr>
            <w:tcW w:w="0" w:type="auto"/>
            <w:vAlign w:val="center"/>
          </w:tcPr>
          <w:p w:rsidR="00FC1011" w:rsidRDefault="00F55F5D">
            <w:pPr>
              <w:jc w:val="center"/>
            </w:pPr>
            <w:r>
              <w:rPr>
                <w:rFonts w:asciiTheme="minorEastAsia" w:eastAsiaTheme="minorEastAsia" w:hAnsiTheme="minorEastAsia"/>
                <w:color w:val="000000" w:themeColor="text1"/>
                <w:sz w:val="24"/>
              </w:rPr>
              <w:t>22南京银行CD242</w:t>
            </w:r>
          </w:p>
        </w:tc>
        <w:tc>
          <w:tcPr>
            <w:tcW w:w="0" w:type="auto"/>
            <w:vAlign w:val="center"/>
          </w:tcPr>
          <w:p w:rsidR="00FC1011" w:rsidRDefault="00F55F5D">
            <w:pPr>
              <w:jc w:val="right"/>
            </w:pPr>
            <w:r>
              <w:rPr>
                <w:rFonts w:asciiTheme="minorEastAsia" w:eastAsiaTheme="minorEastAsia" w:hAnsiTheme="minorEastAsia"/>
                <w:color w:val="000000" w:themeColor="text1"/>
                <w:sz w:val="24"/>
              </w:rPr>
              <w:t>1,000,000.00</w:t>
            </w:r>
          </w:p>
        </w:tc>
        <w:tc>
          <w:tcPr>
            <w:tcW w:w="0" w:type="auto"/>
            <w:vAlign w:val="center"/>
          </w:tcPr>
          <w:p w:rsidR="00FC1011" w:rsidRDefault="00F55F5D">
            <w:pPr>
              <w:jc w:val="right"/>
            </w:pPr>
            <w:r>
              <w:rPr>
                <w:rFonts w:asciiTheme="minorEastAsia" w:eastAsiaTheme="minorEastAsia" w:hAnsiTheme="minorEastAsia"/>
                <w:color w:val="000000" w:themeColor="text1"/>
                <w:sz w:val="24"/>
              </w:rPr>
              <w:t>99,602,616.85</w:t>
            </w:r>
          </w:p>
        </w:tc>
        <w:tc>
          <w:tcPr>
            <w:tcW w:w="0" w:type="auto"/>
            <w:vAlign w:val="center"/>
          </w:tcPr>
          <w:p w:rsidR="00FC1011" w:rsidRDefault="00F55F5D">
            <w:pPr>
              <w:jc w:val="right"/>
            </w:pPr>
            <w:r>
              <w:rPr>
                <w:rFonts w:asciiTheme="minorEastAsia" w:eastAsiaTheme="minorEastAsia" w:hAnsiTheme="minorEastAsia"/>
                <w:color w:val="000000" w:themeColor="text1"/>
                <w:sz w:val="24"/>
              </w:rPr>
              <w:t>1.20</w:t>
            </w:r>
          </w:p>
        </w:tc>
      </w:tr>
      <w:tr w:rsidR="00FC1011">
        <w:tc>
          <w:tcPr>
            <w:tcW w:w="0" w:type="auto"/>
            <w:vAlign w:val="center"/>
          </w:tcPr>
          <w:p w:rsidR="00FC1011" w:rsidRDefault="00F55F5D">
            <w:pPr>
              <w:jc w:val="center"/>
            </w:pPr>
            <w:r>
              <w:rPr>
                <w:rFonts w:asciiTheme="minorEastAsia" w:eastAsiaTheme="minorEastAsia" w:hAnsiTheme="minorEastAsia"/>
                <w:color w:val="000000" w:themeColor="text1"/>
                <w:sz w:val="24"/>
              </w:rPr>
              <w:t>9</w:t>
            </w:r>
          </w:p>
        </w:tc>
        <w:tc>
          <w:tcPr>
            <w:tcW w:w="0" w:type="auto"/>
            <w:vAlign w:val="center"/>
          </w:tcPr>
          <w:p w:rsidR="00FC1011" w:rsidRDefault="00F55F5D">
            <w:pPr>
              <w:jc w:val="center"/>
            </w:pPr>
            <w:r>
              <w:rPr>
                <w:rFonts w:asciiTheme="minorEastAsia" w:eastAsiaTheme="minorEastAsia" w:hAnsiTheme="minorEastAsia"/>
                <w:color w:val="000000" w:themeColor="text1"/>
                <w:sz w:val="24"/>
              </w:rPr>
              <w:t>2304109</w:t>
            </w:r>
          </w:p>
        </w:tc>
        <w:tc>
          <w:tcPr>
            <w:tcW w:w="0" w:type="auto"/>
            <w:vAlign w:val="center"/>
          </w:tcPr>
          <w:p w:rsidR="00FC1011" w:rsidRDefault="00F55F5D">
            <w:pPr>
              <w:jc w:val="center"/>
            </w:pPr>
            <w:r>
              <w:rPr>
                <w:rFonts w:asciiTheme="minorEastAsia" w:eastAsiaTheme="minorEastAsia" w:hAnsiTheme="minorEastAsia"/>
                <w:color w:val="000000" w:themeColor="text1"/>
                <w:sz w:val="24"/>
              </w:rPr>
              <w:t>23农发贴现09</w:t>
            </w:r>
          </w:p>
        </w:tc>
        <w:tc>
          <w:tcPr>
            <w:tcW w:w="0" w:type="auto"/>
            <w:vAlign w:val="center"/>
          </w:tcPr>
          <w:p w:rsidR="00FC1011" w:rsidRDefault="00F55F5D">
            <w:pPr>
              <w:jc w:val="right"/>
            </w:pPr>
            <w:r>
              <w:rPr>
                <w:rFonts w:asciiTheme="minorEastAsia" w:eastAsiaTheme="minorEastAsia" w:hAnsiTheme="minorEastAsia"/>
                <w:color w:val="000000" w:themeColor="text1"/>
                <w:sz w:val="24"/>
              </w:rPr>
              <w:t>1,000,000.00</w:t>
            </w:r>
          </w:p>
        </w:tc>
        <w:tc>
          <w:tcPr>
            <w:tcW w:w="0" w:type="auto"/>
            <w:vAlign w:val="center"/>
          </w:tcPr>
          <w:p w:rsidR="00FC1011" w:rsidRDefault="00F55F5D">
            <w:pPr>
              <w:jc w:val="right"/>
            </w:pPr>
            <w:r>
              <w:rPr>
                <w:rFonts w:asciiTheme="minorEastAsia" w:eastAsiaTheme="minorEastAsia" w:hAnsiTheme="minorEastAsia"/>
                <w:color w:val="000000" w:themeColor="text1"/>
                <w:sz w:val="24"/>
              </w:rPr>
              <w:t>99,528,348.77</w:t>
            </w:r>
          </w:p>
        </w:tc>
        <w:tc>
          <w:tcPr>
            <w:tcW w:w="0" w:type="auto"/>
            <w:vAlign w:val="center"/>
          </w:tcPr>
          <w:p w:rsidR="00FC1011" w:rsidRDefault="00F55F5D">
            <w:pPr>
              <w:jc w:val="right"/>
            </w:pPr>
            <w:r>
              <w:rPr>
                <w:rFonts w:asciiTheme="minorEastAsia" w:eastAsiaTheme="minorEastAsia" w:hAnsiTheme="minorEastAsia"/>
                <w:color w:val="000000" w:themeColor="text1"/>
                <w:sz w:val="24"/>
              </w:rPr>
              <w:t>1.20</w:t>
            </w:r>
          </w:p>
        </w:tc>
      </w:tr>
      <w:tr w:rsidR="00FC1011">
        <w:tc>
          <w:tcPr>
            <w:tcW w:w="0" w:type="auto"/>
            <w:vAlign w:val="center"/>
          </w:tcPr>
          <w:p w:rsidR="00FC1011" w:rsidRDefault="00F55F5D">
            <w:pPr>
              <w:jc w:val="center"/>
            </w:pPr>
            <w:r>
              <w:rPr>
                <w:rFonts w:asciiTheme="minorEastAsia" w:eastAsiaTheme="minorEastAsia" w:hAnsiTheme="minorEastAsia"/>
                <w:color w:val="000000" w:themeColor="text1"/>
                <w:sz w:val="24"/>
              </w:rPr>
              <w:t>10</w:t>
            </w:r>
          </w:p>
        </w:tc>
        <w:tc>
          <w:tcPr>
            <w:tcW w:w="0" w:type="auto"/>
            <w:vAlign w:val="center"/>
          </w:tcPr>
          <w:p w:rsidR="00FC1011" w:rsidRDefault="00F55F5D">
            <w:pPr>
              <w:jc w:val="center"/>
            </w:pPr>
            <w:r>
              <w:rPr>
                <w:rFonts w:asciiTheme="minorEastAsia" w:eastAsiaTheme="minorEastAsia" w:hAnsiTheme="minorEastAsia"/>
                <w:color w:val="000000" w:themeColor="text1"/>
                <w:sz w:val="24"/>
              </w:rPr>
              <w:t>112209152</w:t>
            </w:r>
          </w:p>
        </w:tc>
        <w:tc>
          <w:tcPr>
            <w:tcW w:w="0" w:type="auto"/>
            <w:vAlign w:val="center"/>
          </w:tcPr>
          <w:p w:rsidR="00FC1011" w:rsidRDefault="00F55F5D">
            <w:pPr>
              <w:jc w:val="center"/>
            </w:pPr>
            <w:r>
              <w:rPr>
                <w:rFonts w:asciiTheme="minorEastAsia" w:eastAsiaTheme="minorEastAsia" w:hAnsiTheme="minorEastAsia"/>
                <w:color w:val="000000" w:themeColor="text1"/>
                <w:sz w:val="24"/>
              </w:rPr>
              <w:t>22浦发银行CD152</w:t>
            </w:r>
          </w:p>
        </w:tc>
        <w:tc>
          <w:tcPr>
            <w:tcW w:w="0" w:type="auto"/>
            <w:vAlign w:val="center"/>
          </w:tcPr>
          <w:p w:rsidR="00FC1011" w:rsidRDefault="00F55F5D">
            <w:pPr>
              <w:jc w:val="right"/>
            </w:pPr>
            <w:r>
              <w:rPr>
                <w:rFonts w:asciiTheme="minorEastAsia" w:eastAsiaTheme="minorEastAsia" w:hAnsiTheme="minorEastAsia"/>
                <w:color w:val="000000" w:themeColor="text1"/>
                <w:sz w:val="24"/>
              </w:rPr>
              <w:t>1,000,000.00</w:t>
            </w:r>
          </w:p>
        </w:tc>
        <w:tc>
          <w:tcPr>
            <w:tcW w:w="0" w:type="auto"/>
            <w:vAlign w:val="center"/>
          </w:tcPr>
          <w:p w:rsidR="00FC1011" w:rsidRDefault="00F55F5D">
            <w:pPr>
              <w:jc w:val="right"/>
            </w:pPr>
            <w:r>
              <w:rPr>
                <w:rFonts w:asciiTheme="minorEastAsia" w:eastAsiaTheme="minorEastAsia" w:hAnsiTheme="minorEastAsia"/>
                <w:color w:val="000000" w:themeColor="text1"/>
                <w:sz w:val="24"/>
              </w:rPr>
              <w:t>99,448,763.86</w:t>
            </w:r>
          </w:p>
        </w:tc>
        <w:tc>
          <w:tcPr>
            <w:tcW w:w="0" w:type="auto"/>
            <w:vAlign w:val="center"/>
          </w:tcPr>
          <w:p w:rsidR="00FC1011" w:rsidRDefault="00F55F5D">
            <w:pPr>
              <w:jc w:val="right"/>
            </w:pPr>
            <w:r>
              <w:rPr>
                <w:rFonts w:asciiTheme="minorEastAsia" w:eastAsiaTheme="minorEastAsia" w:hAnsiTheme="minorEastAsia"/>
                <w:color w:val="000000" w:themeColor="text1"/>
                <w:sz w:val="24"/>
              </w:rPr>
              <w:t>1.20</w:t>
            </w:r>
          </w:p>
        </w:tc>
      </w:tr>
    </w:tbl>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5.7 </w:t>
      </w:r>
      <w:r>
        <w:rPr>
          <w:rFonts w:asciiTheme="minorEastAsia" w:eastAsiaTheme="minorEastAsia" w:hAnsiTheme="minorEastAsia" w:cs="Arial" w:hint="eastAsia"/>
          <w:b/>
          <w:color w:val="000000" w:themeColor="text1"/>
          <w:kern w:val="0"/>
          <w:sz w:val="24"/>
        </w:rPr>
        <w:t>“影子定价”与“摊余成本法”确定的基金资产净值的偏离</w:t>
      </w:r>
    </w:p>
    <w:tbl>
      <w:tblPr>
        <w:tblW w:w="0" w:type="auto"/>
        <w:tblInd w:w="108" w:type="dxa"/>
        <w:tblLayout w:type="fixed"/>
        <w:tblLook w:val="04A0" w:firstRow="1" w:lastRow="0" w:firstColumn="1" w:lastColumn="0" w:noHBand="0" w:noVBand="1"/>
      </w:tblPr>
      <w:tblGrid>
        <w:gridCol w:w="5812"/>
        <w:gridCol w:w="3382"/>
      </w:tblGrid>
      <w:tr w:rsidR="00DA315C">
        <w:tc>
          <w:tcPr>
            <w:tcW w:w="5812"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项目</w:t>
            </w:r>
          </w:p>
        </w:tc>
        <w:tc>
          <w:tcPr>
            <w:tcW w:w="3382"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偏离情况</w:t>
            </w:r>
          </w:p>
        </w:tc>
      </w:tr>
      <w:tr w:rsidR="00DA315C">
        <w:tc>
          <w:tcPr>
            <w:tcW w:w="5812"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报告期内偏离度的绝对值在</w:t>
            </w:r>
            <w:r>
              <w:rPr>
                <w:rFonts w:asciiTheme="minorEastAsia" w:eastAsiaTheme="minorEastAsia" w:hAnsiTheme="minorEastAsia" w:cs="Arial"/>
                <w:color w:val="000000" w:themeColor="text1"/>
                <w:kern w:val="0"/>
                <w:sz w:val="24"/>
              </w:rPr>
              <w:t>0.25(</w:t>
            </w:r>
            <w:r>
              <w:rPr>
                <w:rFonts w:asciiTheme="minorEastAsia" w:eastAsiaTheme="minorEastAsia" w:hAnsiTheme="minorEastAsia" w:cs="Arial" w:hint="eastAsia"/>
                <w:color w:val="000000" w:themeColor="text1"/>
                <w:kern w:val="0"/>
                <w:sz w:val="24"/>
              </w:rPr>
              <w:t>含</w:t>
            </w:r>
            <w:r>
              <w:rPr>
                <w:rFonts w:asciiTheme="minorEastAsia" w:eastAsiaTheme="minorEastAsia" w:hAnsiTheme="minorEastAsia" w:cs="Arial"/>
                <w:color w:val="000000" w:themeColor="text1"/>
                <w:kern w:val="0"/>
                <w:sz w:val="24"/>
              </w:rPr>
              <w:t>)-0.5%</w:t>
            </w:r>
            <w:r>
              <w:rPr>
                <w:rFonts w:asciiTheme="minorEastAsia" w:eastAsiaTheme="minorEastAsia" w:hAnsiTheme="minorEastAsia" w:cs="Arial" w:hint="eastAsia"/>
                <w:color w:val="000000" w:themeColor="text1"/>
                <w:kern w:val="0"/>
                <w:sz w:val="24"/>
              </w:rPr>
              <w:t>间的次数</w:t>
            </w:r>
          </w:p>
        </w:tc>
        <w:tc>
          <w:tcPr>
            <w:tcW w:w="3382" w:type="dxa"/>
            <w:tcBorders>
              <w:top w:val="single" w:sz="8" w:space="0" w:color="000000"/>
              <w:left w:val="single" w:sz="8" w:space="0" w:color="000000"/>
              <w:bottom w:val="single" w:sz="8" w:space="0" w:color="000000"/>
              <w:right w:val="single" w:sz="8" w:space="0" w:color="000000"/>
            </w:tcBorders>
            <w:vAlign w:val="bottom"/>
          </w:tcPr>
          <w:p w:rsidR="00DA315C" w:rsidRDefault="00CC2E83">
            <w:pPr>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0</w:t>
            </w:r>
            <w:r>
              <w:rPr>
                <w:rFonts w:asciiTheme="minorEastAsia" w:eastAsiaTheme="minorEastAsia" w:hAnsiTheme="minorEastAsia" w:hint="eastAsia"/>
                <w:color w:val="000000" w:themeColor="text1"/>
                <w:sz w:val="24"/>
              </w:rPr>
              <w:t>次</w:t>
            </w:r>
          </w:p>
        </w:tc>
      </w:tr>
      <w:tr w:rsidR="00DA315C">
        <w:tc>
          <w:tcPr>
            <w:tcW w:w="5812"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报告期内偏离度的最高值</w:t>
            </w:r>
          </w:p>
        </w:tc>
        <w:tc>
          <w:tcPr>
            <w:tcW w:w="3382" w:type="dxa"/>
            <w:tcBorders>
              <w:top w:val="single" w:sz="8" w:space="0" w:color="000000"/>
              <w:left w:val="single" w:sz="8" w:space="0" w:color="000000"/>
              <w:bottom w:val="single" w:sz="8" w:space="0" w:color="000000"/>
              <w:right w:val="single" w:sz="8" w:space="0" w:color="000000"/>
            </w:tcBorders>
            <w:vAlign w:val="bottom"/>
          </w:tcPr>
          <w:p w:rsidR="00DA315C" w:rsidRDefault="00CC2E83">
            <w:pPr>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0.0521%</w:t>
            </w:r>
          </w:p>
        </w:tc>
      </w:tr>
      <w:tr w:rsidR="00DA315C">
        <w:tc>
          <w:tcPr>
            <w:tcW w:w="5812"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报告期内偏离度的最低值</w:t>
            </w:r>
          </w:p>
        </w:tc>
        <w:tc>
          <w:tcPr>
            <w:tcW w:w="3382" w:type="dxa"/>
            <w:tcBorders>
              <w:top w:val="single" w:sz="8" w:space="0" w:color="000000"/>
              <w:left w:val="single" w:sz="8" w:space="0" w:color="000000"/>
              <w:bottom w:val="single" w:sz="8" w:space="0" w:color="000000"/>
              <w:right w:val="single" w:sz="8" w:space="0" w:color="000000"/>
            </w:tcBorders>
            <w:vAlign w:val="bottom"/>
          </w:tcPr>
          <w:p w:rsidR="00DA315C" w:rsidRDefault="00CC2E83">
            <w:pPr>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0.0066%</w:t>
            </w:r>
          </w:p>
        </w:tc>
      </w:tr>
      <w:tr w:rsidR="00DA315C">
        <w:tc>
          <w:tcPr>
            <w:tcW w:w="5812" w:type="dxa"/>
            <w:tcBorders>
              <w:top w:val="single" w:sz="8" w:space="0" w:color="000000"/>
              <w:left w:val="single" w:sz="8" w:space="0" w:color="000000"/>
              <w:bottom w:val="single" w:sz="8" w:space="0" w:color="000000"/>
              <w:right w:val="single" w:sz="8" w:space="0" w:color="000000"/>
            </w:tcBorders>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报告期内每个工作日偏离度的绝对值的简单平均值</w:t>
            </w:r>
          </w:p>
        </w:tc>
        <w:tc>
          <w:tcPr>
            <w:tcW w:w="3382" w:type="dxa"/>
            <w:tcBorders>
              <w:top w:val="single" w:sz="8" w:space="0" w:color="000000"/>
              <w:left w:val="single" w:sz="8" w:space="0" w:color="000000"/>
              <w:bottom w:val="single" w:sz="8" w:space="0" w:color="000000"/>
              <w:right w:val="single" w:sz="8" w:space="0" w:color="000000"/>
            </w:tcBorders>
            <w:vAlign w:val="bottom"/>
          </w:tcPr>
          <w:p w:rsidR="00DA315C" w:rsidRDefault="00CC2E83">
            <w:pPr>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0.0275%</w:t>
            </w:r>
          </w:p>
        </w:tc>
      </w:tr>
    </w:tbl>
    <w:p w:rsidR="00DA315C" w:rsidRPr="0017387C" w:rsidRDefault="00CC2E83" w:rsidP="0017387C">
      <w:pPr>
        <w:spacing w:beforeLines="100" w:before="240" w:line="360" w:lineRule="auto"/>
        <w:rPr>
          <w:rFonts w:asciiTheme="minorEastAsia" w:eastAsiaTheme="minorEastAsia" w:hAnsiTheme="minorEastAsia" w:cs="Arial"/>
          <w:b/>
          <w:color w:val="000000" w:themeColor="text1"/>
          <w:kern w:val="0"/>
          <w:sz w:val="24"/>
        </w:rPr>
      </w:pPr>
      <w:r w:rsidRPr="0017387C">
        <w:rPr>
          <w:rFonts w:asciiTheme="minorEastAsia" w:eastAsiaTheme="minorEastAsia" w:hAnsiTheme="minorEastAsia" w:cs="Arial"/>
          <w:b/>
          <w:color w:val="000000" w:themeColor="text1"/>
          <w:kern w:val="0"/>
          <w:sz w:val="24"/>
        </w:rPr>
        <w:t>报告期内负偏离度的绝对值达到0.25%情况说明</w:t>
      </w:r>
    </w:p>
    <w:p w:rsidR="00DA315C" w:rsidRDefault="00CC2E83" w:rsidP="001B75F9">
      <w:pPr>
        <w:autoSpaceDE w:val="0"/>
        <w:autoSpaceDN w:val="0"/>
        <w:adjustRightInd w:val="0"/>
        <w:spacing w:beforeLines="50" w:before="120" w:line="360" w:lineRule="auto"/>
        <w:ind w:firstLineChars="200" w:firstLine="480"/>
        <w:jc w:val="left"/>
        <w:rPr>
          <w:color w:val="000000"/>
          <w:sz w:val="24"/>
        </w:rPr>
      </w:pPr>
      <w:r>
        <w:rPr>
          <w:color w:val="000000"/>
          <w:sz w:val="24"/>
        </w:rPr>
        <w:t>本报告期未发生负偏离度的绝对值达到</w:t>
      </w:r>
      <w:r>
        <w:rPr>
          <w:color w:val="000000"/>
          <w:sz w:val="24"/>
        </w:rPr>
        <w:t>0.25%</w:t>
      </w:r>
      <w:r>
        <w:rPr>
          <w:color w:val="000000"/>
          <w:sz w:val="24"/>
        </w:rPr>
        <w:t>的情况。</w:t>
      </w:r>
    </w:p>
    <w:p w:rsidR="00DA315C" w:rsidRPr="0017387C" w:rsidRDefault="00CC2E83" w:rsidP="0017387C">
      <w:pPr>
        <w:spacing w:beforeLines="100" w:before="240" w:line="360" w:lineRule="auto"/>
        <w:rPr>
          <w:rFonts w:asciiTheme="minorEastAsia" w:eastAsiaTheme="minorEastAsia" w:hAnsiTheme="minorEastAsia" w:cs="Arial"/>
          <w:b/>
          <w:color w:val="000000" w:themeColor="text1"/>
          <w:kern w:val="0"/>
          <w:sz w:val="24"/>
        </w:rPr>
      </w:pPr>
      <w:r w:rsidRPr="0017387C">
        <w:rPr>
          <w:rFonts w:asciiTheme="minorEastAsia" w:eastAsiaTheme="minorEastAsia" w:hAnsiTheme="minorEastAsia" w:cs="Arial"/>
          <w:b/>
          <w:color w:val="000000" w:themeColor="text1"/>
          <w:kern w:val="0"/>
          <w:sz w:val="24"/>
        </w:rPr>
        <w:t>报告期内正偏离度的绝对值达到0.5%情况说明</w:t>
      </w:r>
    </w:p>
    <w:p w:rsidR="00DA315C" w:rsidRDefault="00CC2E83" w:rsidP="001B75F9">
      <w:pPr>
        <w:autoSpaceDE w:val="0"/>
        <w:autoSpaceDN w:val="0"/>
        <w:adjustRightInd w:val="0"/>
        <w:spacing w:beforeLines="50" w:before="120" w:line="360" w:lineRule="auto"/>
        <w:ind w:firstLineChars="200" w:firstLine="480"/>
        <w:jc w:val="left"/>
        <w:rPr>
          <w:rFonts w:asciiTheme="minorEastAsia" w:eastAsiaTheme="minorEastAsia" w:hAnsiTheme="minorEastAsia" w:cs="Arial"/>
          <w:color w:val="000000" w:themeColor="text1"/>
          <w:kern w:val="0"/>
          <w:sz w:val="24"/>
        </w:rPr>
      </w:pPr>
      <w:r>
        <w:rPr>
          <w:color w:val="000000"/>
          <w:sz w:val="24"/>
        </w:rPr>
        <w:t>本报告期未发生正偏离度的绝对值达到</w:t>
      </w:r>
      <w:r>
        <w:rPr>
          <w:color w:val="000000"/>
          <w:sz w:val="24"/>
        </w:rPr>
        <w:t>0.5%</w:t>
      </w:r>
      <w:r>
        <w:rPr>
          <w:color w:val="000000"/>
          <w:sz w:val="24"/>
        </w:rPr>
        <w:t>的情况。</w:t>
      </w:r>
    </w:p>
    <w:p w:rsidR="00DA315C" w:rsidRDefault="00CC2E83" w:rsidP="0017387C">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5.8 </w:t>
      </w:r>
      <w:r>
        <w:rPr>
          <w:rFonts w:asciiTheme="minorEastAsia" w:eastAsiaTheme="minorEastAsia" w:hAnsiTheme="minorEastAsia" w:cs="Arial" w:hint="eastAsia"/>
          <w:b/>
          <w:color w:val="000000" w:themeColor="text1"/>
          <w:kern w:val="0"/>
          <w:sz w:val="24"/>
        </w:rPr>
        <w:t>报告期末按摊余成本占基金资产净值比例大小排名的前十名资产支持证券投资明细</w:t>
      </w:r>
    </w:p>
    <w:p w:rsidR="00DA315C" w:rsidRDefault="00CC2E83" w:rsidP="001B75F9">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本基金本报告期末未持有资产支持证券。</w:t>
      </w:r>
    </w:p>
    <w:p w:rsidR="00DA315C" w:rsidRDefault="00CC2E83" w:rsidP="000515FA">
      <w:pPr>
        <w:spacing w:beforeLines="100" w:before="240"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lastRenderedPageBreak/>
        <w:t>5</w:t>
      </w:r>
      <w:r>
        <w:rPr>
          <w:rFonts w:asciiTheme="minorEastAsia" w:eastAsiaTheme="minorEastAsia" w:hAnsiTheme="minorEastAsia" w:cs="Arial"/>
          <w:b/>
          <w:color w:val="000000" w:themeColor="text1"/>
          <w:kern w:val="0"/>
          <w:sz w:val="24"/>
        </w:rPr>
        <w:t>.</w:t>
      </w:r>
      <w:r>
        <w:rPr>
          <w:rFonts w:asciiTheme="minorEastAsia" w:eastAsiaTheme="minorEastAsia" w:hAnsiTheme="minorEastAsia" w:cs="Arial" w:hint="eastAsia"/>
          <w:b/>
          <w:color w:val="000000" w:themeColor="text1"/>
          <w:kern w:val="0"/>
          <w:sz w:val="24"/>
        </w:rPr>
        <w:t>9</w:t>
      </w:r>
      <w:r>
        <w:rPr>
          <w:rFonts w:asciiTheme="minorEastAsia" w:eastAsiaTheme="minorEastAsia" w:hAnsiTheme="minorEastAsia" w:cs="Arial"/>
          <w:b/>
          <w:color w:val="000000" w:themeColor="text1"/>
          <w:kern w:val="0"/>
          <w:sz w:val="24"/>
        </w:rPr>
        <w:t xml:space="preserve"> </w:t>
      </w:r>
      <w:r>
        <w:rPr>
          <w:rFonts w:asciiTheme="minorEastAsia" w:eastAsiaTheme="minorEastAsia" w:hAnsiTheme="minorEastAsia" w:cs="Arial" w:hint="eastAsia"/>
          <w:b/>
          <w:color w:val="000000" w:themeColor="text1"/>
          <w:kern w:val="0"/>
          <w:sz w:val="24"/>
        </w:rPr>
        <w:t>投资组合报告附注</w:t>
      </w:r>
    </w:p>
    <w:p w:rsidR="00DA315C" w:rsidRDefault="00CC2E83">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5</w:t>
      </w:r>
      <w:r>
        <w:rPr>
          <w:rFonts w:asciiTheme="minorEastAsia" w:eastAsiaTheme="minorEastAsia" w:hAnsiTheme="minorEastAsia"/>
          <w:b/>
          <w:color w:val="000000" w:themeColor="text1"/>
          <w:sz w:val="24"/>
        </w:rPr>
        <w:t>.</w:t>
      </w:r>
      <w:r>
        <w:rPr>
          <w:rFonts w:asciiTheme="minorEastAsia" w:eastAsiaTheme="minorEastAsia" w:hAnsiTheme="minorEastAsia" w:hint="eastAsia"/>
          <w:b/>
          <w:color w:val="000000" w:themeColor="text1"/>
          <w:sz w:val="24"/>
        </w:rPr>
        <w:t>9</w:t>
      </w:r>
      <w:r>
        <w:rPr>
          <w:rFonts w:asciiTheme="minorEastAsia" w:eastAsiaTheme="minorEastAsia" w:hAnsiTheme="minorEastAsia"/>
          <w:b/>
          <w:color w:val="000000" w:themeColor="text1"/>
          <w:sz w:val="24"/>
        </w:rPr>
        <w:t>.</w:t>
      </w:r>
      <w:r>
        <w:rPr>
          <w:rFonts w:asciiTheme="minorEastAsia" w:eastAsiaTheme="minorEastAsia" w:hAnsiTheme="minorEastAsia" w:hint="eastAsia"/>
          <w:b/>
          <w:color w:val="000000" w:themeColor="text1"/>
          <w:sz w:val="24"/>
        </w:rPr>
        <w:t>1</w:t>
      </w:r>
      <w:r>
        <w:rPr>
          <w:rFonts w:asciiTheme="minorEastAsia" w:eastAsiaTheme="minorEastAsia" w:hAnsiTheme="minorEastAsia"/>
          <w:b/>
          <w:color w:val="000000" w:themeColor="text1"/>
          <w:sz w:val="24"/>
        </w:rPr>
        <w:t xml:space="preserve"> </w:t>
      </w:r>
      <w:r>
        <w:rPr>
          <w:rFonts w:asciiTheme="minorEastAsia" w:eastAsiaTheme="minorEastAsia" w:hAnsiTheme="minorEastAsia" w:hint="eastAsia"/>
          <w:b/>
          <w:color w:val="000000" w:themeColor="text1"/>
          <w:sz w:val="24"/>
        </w:rPr>
        <w:t>基金计价方法说明</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基金估值采用摊余成本法，即估值对象以买入成本列示，按票面利率或商定利率并考虑其买入时的溢价与折价，在其剩余期限内按实际利率法摊销，每日计提收益。本基金不采用市场利率和上市交易的债券和票据的市价计算基金资产净值。</w:t>
      </w:r>
    </w:p>
    <w:p w:rsidR="00DA315C" w:rsidRDefault="00CC2E83" w:rsidP="00DE0807">
      <w:pPr>
        <w:widowControl/>
        <w:spacing w:line="360" w:lineRule="auto"/>
        <w:rPr>
          <w:rFonts w:asciiTheme="minorEastAsia" w:eastAsiaTheme="minorEastAsia" w:hAnsiTheme="minorEastAsia"/>
          <w:color w:val="000000" w:themeColor="text1"/>
          <w:sz w:val="24"/>
        </w:rPr>
      </w:pPr>
      <w:r>
        <w:rPr>
          <w:rFonts w:asciiTheme="minorEastAsia" w:eastAsiaTheme="minorEastAsia" w:hAnsiTheme="minorEastAsia"/>
          <w:b/>
          <w:color w:val="000000" w:themeColor="text1"/>
          <w:sz w:val="24"/>
        </w:rPr>
        <w:t xml:space="preserve">5.9.2 </w:t>
      </w:r>
      <w:r>
        <w:rPr>
          <w:rFonts w:asciiTheme="minorEastAsia" w:eastAsiaTheme="minorEastAsia" w:hAnsiTheme="minorEastAsia"/>
          <w:color w:val="000000" w:themeColor="text1"/>
          <w:sz w:val="24"/>
        </w:rPr>
        <w:t>本基金投资的前十名证券的发行主体本期没有出现被监管部门立案调查，或在报告编制日前一年内受到公开谴责、处罚的情形。</w:t>
      </w:r>
    </w:p>
    <w:p w:rsidR="00DA315C" w:rsidRPr="000515FA" w:rsidRDefault="00CC2E83" w:rsidP="000515FA">
      <w:pPr>
        <w:spacing w:beforeLines="100" w:before="240" w:line="360" w:lineRule="auto"/>
        <w:rPr>
          <w:rFonts w:asciiTheme="minorEastAsia" w:eastAsiaTheme="minorEastAsia" w:hAnsiTheme="minorEastAsia" w:cs="Arial"/>
          <w:b/>
          <w:color w:val="000000" w:themeColor="text1"/>
          <w:kern w:val="0"/>
          <w:sz w:val="24"/>
        </w:rPr>
      </w:pPr>
      <w:r w:rsidRPr="000515FA">
        <w:rPr>
          <w:rFonts w:asciiTheme="minorEastAsia" w:eastAsiaTheme="minorEastAsia" w:hAnsiTheme="minorEastAsia" w:cs="Arial" w:hint="eastAsia"/>
          <w:b/>
          <w:color w:val="000000" w:themeColor="text1"/>
          <w:kern w:val="0"/>
          <w:sz w:val="24"/>
        </w:rPr>
        <w:t>5</w:t>
      </w:r>
      <w:r w:rsidRPr="000515FA">
        <w:rPr>
          <w:rFonts w:asciiTheme="minorEastAsia" w:eastAsiaTheme="minorEastAsia" w:hAnsiTheme="minorEastAsia" w:cs="Arial"/>
          <w:b/>
          <w:color w:val="000000" w:themeColor="text1"/>
          <w:kern w:val="0"/>
          <w:sz w:val="24"/>
        </w:rPr>
        <w:t>.</w:t>
      </w:r>
      <w:r w:rsidRPr="000515FA">
        <w:rPr>
          <w:rFonts w:asciiTheme="minorEastAsia" w:eastAsiaTheme="minorEastAsia" w:hAnsiTheme="minorEastAsia" w:cs="Arial" w:hint="eastAsia"/>
          <w:b/>
          <w:color w:val="000000" w:themeColor="text1"/>
          <w:kern w:val="0"/>
          <w:sz w:val="24"/>
        </w:rPr>
        <w:t>9</w:t>
      </w:r>
      <w:r w:rsidRPr="000515FA">
        <w:rPr>
          <w:rFonts w:asciiTheme="minorEastAsia" w:eastAsiaTheme="minorEastAsia" w:hAnsiTheme="minorEastAsia" w:cs="Arial"/>
          <w:b/>
          <w:color w:val="000000" w:themeColor="text1"/>
          <w:kern w:val="0"/>
          <w:sz w:val="24"/>
        </w:rPr>
        <w:t>.</w:t>
      </w:r>
      <w:r w:rsidRPr="000515FA">
        <w:rPr>
          <w:rFonts w:asciiTheme="minorEastAsia" w:eastAsiaTheme="minorEastAsia" w:hAnsiTheme="minorEastAsia" w:cs="Arial" w:hint="eastAsia"/>
          <w:b/>
          <w:color w:val="000000" w:themeColor="text1"/>
          <w:kern w:val="0"/>
          <w:sz w:val="24"/>
        </w:rPr>
        <w:t>3</w:t>
      </w:r>
      <w:r w:rsidRPr="000515FA">
        <w:rPr>
          <w:rFonts w:asciiTheme="minorEastAsia" w:eastAsiaTheme="minorEastAsia" w:hAnsiTheme="minorEastAsia" w:cs="Arial"/>
          <w:b/>
          <w:color w:val="000000" w:themeColor="text1"/>
          <w:kern w:val="0"/>
          <w:sz w:val="24"/>
        </w:rPr>
        <w:t xml:space="preserve"> </w:t>
      </w:r>
      <w:r w:rsidRPr="000515FA">
        <w:rPr>
          <w:rFonts w:asciiTheme="minorEastAsia" w:eastAsiaTheme="minorEastAsia" w:hAnsiTheme="minorEastAsia" w:cs="Arial" w:hint="eastAsia"/>
          <w:b/>
          <w:color w:val="000000" w:themeColor="text1"/>
          <w:kern w:val="0"/>
          <w:sz w:val="24"/>
        </w:rPr>
        <w:t>其他资产构成</w:t>
      </w:r>
    </w:p>
    <w:tbl>
      <w:tblPr>
        <w:tblStyle w:val="af2"/>
        <w:tblW w:w="0" w:type="auto"/>
        <w:tblInd w:w="17" w:type="dxa"/>
        <w:tblLayout w:type="fixed"/>
        <w:tblLook w:val="04A0" w:firstRow="1" w:lastRow="0" w:firstColumn="1" w:lastColumn="0" w:noHBand="0" w:noVBand="1"/>
      </w:tblPr>
      <w:tblGrid>
        <w:gridCol w:w="942"/>
        <w:gridCol w:w="3535"/>
        <w:gridCol w:w="4808"/>
      </w:tblGrid>
      <w:tr w:rsidR="00DA315C">
        <w:tc>
          <w:tcPr>
            <w:tcW w:w="942" w:type="dxa"/>
            <w:vAlign w:val="center"/>
          </w:tcPr>
          <w:p w:rsidR="00DA315C" w:rsidRDefault="00CC2E83">
            <w:pPr>
              <w:autoSpaceDE w:val="0"/>
              <w:autoSpaceDN w:val="0"/>
              <w:adjustRightInd w:val="0"/>
              <w:spacing w:before="29" w:line="360" w:lineRule="auto"/>
              <w:ind w:left="17"/>
              <w:jc w:val="center"/>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序号</w:t>
            </w:r>
          </w:p>
        </w:tc>
        <w:tc>
          <w:tcPr>
            <w:tcW w:w="3535" w:type="dxa"/>
            <w:vAlign w:val="center"/>
          </w:tcPr>
          <w:p w:rsidR="00DA315C" w:rsidRDefault="00CC2E83">
            <w:pPr>
              <w:autoSpaceDE w:val="0"/>
              <w:autoSpaceDN w:val="0"/>
              <w:adjustRightInd w:val="0"/>
              <w:spacing w:before="29" w:line="360" w:lineRule="auto"/>
              <w:ind w:left="17"/>
              <w:jc w:val="center"/>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名称</w:t>
            </w:r>
          </w:p>
        </w:tc>
        <w:tc>
          <w:tcPr>
            <w:tcW w:w="4808" w:type="dxa"/>
            <w:vAlign w:val="center"/>
          </w:tcPr>
          <w:p w:rsidR="00DA315C" w:rsidRDefault="00CC2E83">
            <w:pPr>
              <w:autoSpaceDE w:val="0"/>
              <w:autoSpaceDN w:val="0"/>
              <w:adjustRightInd w:val="0"/>
              <w:spacing w:before="29" w:line="360" w:lineRule="auto"/>
              <w:ind w:left="17"/>
              <w:jc w:val="center"/>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金额(元)</w:t>
            </w:r>
          </w:p>
        </w:tc>
      </w:tr>
      <w:tr w:rsidR="00DA315C">
        <w:tc>
          <w:tcPr>
            <w:tcW w:w="942"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sz w:val="24"/>
              </w:rPr>
              <w:t>1</w:t>
            </w:r>
          </w:p>
        </w:tc>
        <w:tc>
          <w:tcPr>
            <w:tcW w:w="3535" w:type="dxa"/>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存出保证金</w:t>
            </w:r>
          </w:p>
        </w:tc>
        <w:tc>
          <w:tcPr>
            <w:tcW w:w="4808" w:type="dxa"/>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w:t>
            </w:r>
          </w:p>
        </w:tc>
      </w:tr>
      <w:tr w:rsidR="00DA315C">
        <w:tc>
          <w:tcPr>
            <w:tcW w:w="942"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2</w:t>
            </w:r>
          </w:p>
        </w:tc>
        <w:tc>
          <w:tcPr>
            <w:tcW w:w="3535" w:type="dxa"/>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应收证券清算款</w:t>
            </w:r>
          </w:p>
        </w:tc>
        <w:tc>
          <w:tcPr>
            <w:tcW w:w="4808" w:type="dxa"/>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29,131,619.51</w:t>
            </w:r>
          </w:p>
        </w:tc>
      </w:tr>
      <w:tr w:rsidR="00DA315C">
        <w:tc>
          <w:tcPr>
            <w:tcW w:w="942"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p>
        </w:tc>
        <w:tc>
          <w:tcPr>
            <w:tcW w:w="3535" w:type="dxa"/>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应收利息</w:t>
            </w:r>
          </w:p>
        </w:tc>
        <w:tc>
          <w:tcPr>
            <w:tcW w:w="4808" w:type="dxa"/>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w:t>
            </w:r>
          </w:p>
        </w:tc>
      </w:tr>
      <w:tr w:rsidR="00DA315C">
        <w:tc>
          <w:tcPr>
            <w:tcW w:w="942"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4</w:t>
            </w:r>
          </w:p>
        </w:tc>
        <w:tc>
          <w:tcPr>
            <w:tcW w:w="3535" w:type="dxa"/>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应收申购款</w:t>
            </w:r>
          </w:p>
        </w:tc>
        <w:tc>
          <w:tcPr>
            <w:tcW w:w="4808" w:type="dxa"/>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21,324,683.72</w:t>
            </w:r>
          </w:p>
        </w:tc>
      </w:tr>
      <w:tr w:rsidR="00DA315C">
        <w:tc>
          <w:tcPr>
            <w:tcW w:w="942"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w:t>
            </w:r>
          </w:p>
        </w:tc>
        <w:tc>
          <w:tcPr>
            <w:tcW w:w="3535" w:type="dxa"/>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其他应收款</w:t>
            </w:r>
          </w:p>
        </w:tc>
        <w:tc>
          <w:tcPr>
            <w:tcW w:w="4808" w:type="dxa"/>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w:t>
            </w:r>
          </w:p>
        </w:tc>
      </w:tr>
      <w:tr w:rsidR="00DA315C">
        <w:tc>
          <w:tcPr>
            <w:tcW w:w="942"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w:t>
            </w:r>
          </w:p>
        </w:tc>
        <w:tc>
          <w:tcPr>
            <w:tcW w:w="3535" w:type="dxa"/>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hint="eastAsia"/>
                <w:color w:val="000000" w:themeColor="text1"/>
                <w:kern w:val="0"/>
                <w:sz w:val="24"/>
              </w:rPr>
              <w:t>待摊费用</w:t>
            </w:r>
          </w:p>
        </w:tc>
        <w:tc>
          <w:tcPr>
            <w:tcW w:w="4808" w:type="dxa"/>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w:t>
            </w:r>
          </w:p>
        </w:tc>
      </w:tr>
      <w:tr w:rsidR="00DA315C">
        <w:tc>
          <w:tcPr>
            <w:tcW w:w="942"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7</w:t>
            </w:r>
          </w:p>
        </w:tc>
        <w:tc>
          <w:tcPr>
            <w:tcW w:w="3535" w:type="dxa"/>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其他</w:t>
            </w:r>
          </w:p>
        </w:tc>
        <w:tc>
          <w:tcPr>
            <w:tcW w:w="4808" w:type="dxa"/>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w:t>
            </w:r>
          </w:p>
        </w:tc>
      </w:tr>
      <w:tr w:rsidR="00DA315C">
        <w:tc>
          <w:tcPr>
            <w:tcW w:w="942" w:type="dxa"/>
            <w:vAlign w:val="center"/>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8</w:t>
            </w:r>
          </w:p>
        </w:tc>
        <w:tc>
          <w:tcPr>
            <w:tcW w:w="3535" w:type="dxa"/>
            <w:vAlign w:val="center"/>
          </w:tcPr>
          <w:p w:rsidR="00DA315C" w:rsidRDefault="00CC2E83">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合计</w:t>
            </w:r>
          </w:p>
        </w:tc>
        <w:tc>
          <w:tcPr>
            <w:tcW w:w="4808" w:type="dxa"/>
            <w:vAlign w:val="center"/>
          </w:tcPr>
          <w:p w:rsidR="00DA315C" w:rsidRDefault="00CC2E8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kern w:val="0"/>
                <w:sz w:val="24"/>
              </w:rPr>
              <w:t>50,456,303.23</w:t>
            </w:r>
          </w:p>
        </w:tc>
      </w:tr>
    </w:tbl>
    <w:p w:rsidR="00DA315C" w:rsidRPr="000515FA" w:rsidRDefault="00CC2E83" w:rsidP="000515FA">
      <w:pPr>
        <w:spacing w:beforeLines="100" w:before="240" w:line="360" w:lineRule="auto"/>
        <w:rPr>
          <w:rFonts w:asciiTheme="minorEastAsia" w:eastAsiaTheme="minorEastAsia" w:hAnsiTheme="minorEastAsia" w:cs="Arial"/>
          <w:b/>
          <w:color w:val="000000" w:themeColor="text1"/>
          <w:kern w:val="0"/>
          <w:sz w:val="24"/>
        </w:rPr>
      </w:pPr>
      <w:r w:rsidRPr="000515FA">
        <w:rPr>
          <w:rFonts w:asciiTheme="minorEastAsia" w:eastAsiaTheme="minorEastAsia" w:hAnsiTheme="minorEastAsia" w:cs="Arial" w:hint="eastAsia"/>
          <w:b/>
          <w:color w:val="000000" w:themeColor="text1"/>
          <w:kern w:val="0"/>
          <w:sz w:val="24"/>
        </w:rPr>
        <w:t>5</w:t>
      </w:r>
      <w:r w:rsidRPr="000515FA">
        <w:rPr>
          <w:rFonts w:asciiTheme="minorEastAsia" w:eastAsiaTheme="minorEastAsia" w:hAnsiTheme="minorEastAsia" w:cs="Arial"/>
          <w:b/>
          <w:color w:val="000000" w:themeColor="text1"/>
          <w:kern w:val="0"/>
          <w:sz w:val="24"/>
        </w:rPr>
        <w:t>.</w:t>
      </w:r>
      <w:r w:rsidRPr="000515FA">
        <w:rPr>
          <w:rFonts w:asciiTheme="minorEastAsia" w:eastAsiaTheme="minorEastAsia" w:hAnsiTheme="minorEastAsia" w:cs="Arial" w:hint="eastAsia"/>
          <w:b/>
          <w:color w:val="000000" w:themeColor="text1"/>
          <w:kern w:val="0"/>
          <w:sz w:val="24"/>
        </w:rPr>
        <w:t>9</w:t>
      </w:r>
      <w:r w:rsidRPr="000515FA">
        <w:rPr>
          <w:rFonts w:asciiTheme="minorEastAsia" w:eastAsiaTheme="minorEastAsia" w:hAnsiTheme="minorEastAsia" w:cs="Arial"/>
          <w:b/>
          <w:color w:val="000000" w:themeColor="text1"/>
          <w:kern w:val="0"/>
          <w:sz w:val="24"/>
        </w:rPr>
        <w:t>.</w:t>
      </w:r>
      <w:r w:rsidRPr="000515FA">
        <w:rPr>
          <w:rFonts w:asciiTheme="minorEastAsia" w:eastAsiaTheme="minorEastAsia" w:hAnsiTheme="minorEastAsia" w:cs="Arial" w:hint="eastAsia"/>
          <w:b/>
          <w:color w:val="000000" w:themeColor="text1"/>
          <w:kern w:val="0"/>
          <w:sz w:val="24"/>
        </w:rPr>
        <w:t>4</w:t>
      </w:r>
      <w:r w:rsidRPr="000515FA">
        <w:rPr>
          <w:rFonts w:asciiTheme="minorEastAsia" w:eastAsiaTheme="minorEastAsia" w:hAnsiTheme="minorEastAsia" w:cs="Arial"/>
          <w:b/>
          <w:color w:val="000000" w:themeColor="text1"/>
          <w:kern w:val="0"/>
          <w:sz w:val="24"/>
        </w:rPr>
        <w:t xml:space="preserve"> </w:t>
      </w:r>
      <w:r w:rsidRPr="000515FA">
        <w:rPr>
          <w:rFonts w:asciiTheme="minorEastAsia" w:eastAsiaTheme="minorEastAsia" w:hAnsiTheme="minorEastAsia" w:cs="Arial" w:hint="eastAsia"/>
          <w:b/>
          <w:color w:val="000000" w:themeColor="text1"/>
          <w:kern w:val="0"/>
          <w:sz w:val="24"/>
        </w:rPr>
        <w:t>投资组合报告附注的其他文字描述部分</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因四舍五入原因，投资组合报告中分项之和与合计可能存在尾差。</w:t>
      </w:r>
    </w:p>
    <w:p w:rsidR="00DA315C" w:rsidRDefault="00CC2E83" w:rsidP="00EF5D52">
      <w:pPr>
        <w:pStyle w:val="1"/>
        <w:spacing w:beforeLines="200" w:before="480" w:afterLines="100" w:after="240"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color w:val="000000" w:themeColor="text1"/>
          <w:kern w:val="0"/>
          <w:sz w:val="24"/>
          <w:szCs w:val="24"/>
        </w:rPr>
        <w:t xml:space="preserve">6  </w:t>
      </w:r>
      <w:r>
        <w:rPr>
          <w:rFonts w:asciiTheme="minorEastAsia" w:eastAsiaTheme="minorEastAsia" w:hAnsiTheme="minorEastAsia" w:cs="Arial" w:hint="eastAsia"/>
          <w:color w:val="000000" w:themeColor="text1"/>
          <w:kern w:val="0"/>
          <w:sz w:val="24"/>
          <w:szCs w:val="24"/>
        </w:rPr>
        <w:t>开放式基金份额变动</w:t>
      </w:r>
    </w:p>
    <w:p w:rsidR="00DA315C" w:rsidRDefault="00CC2E83">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Pr>
          <w:rFonts w:asciiTheme="minorEastAsia" w:eastAsiaTheme="minorEastAsia" w:hAnsiTheme="minorEastAsia" w:cs="Arial" w:hint="eastAsia"/>
          <w:color w:val="000000" w:themeColor="text1"/>
          <w:kern w:val="0"/>
          <w:sz w:val="24"/>
        </w:rPr>
        <w:t>单位：份</w:t>
      </w:r>
    </w:p>
    <w:tbl>
      <w:tblPr>
        <w:tblStyle w:val="af2"/>
        <w:tblW w:w="0" w:type="auto"/>
        <w:tblLayout w:type="fixed"/>
        <w:tblLook w:val="04A0" w:firstRow="1" w:lastRow="0" w:firstColumn="1" w:lastColumn="0" w:noHBand="0" w:noVBand="1"/>
      </w:tblPr>
      <w:tblGrid>
        <w:gridCol w:w="1860"/>
        <w:gridCol w:w="1860"/>
        <w:gridCol w:w="1860"/>
        <w:gridCol w:w="1861"/>
        <w:gridCol w:w="1861"/>
      </w:tblGrid>
      <w:tr w:rsidR="00DA315C">
        <w:tc>
          <w:tcPr>
            <w:tcW w:w="1860" w:type="dxa"/>
          </w:tcPr>
          <w:p w:rsidR="00DA315C" w:rsidRDefault="00CC2E83">
            <w:pPr>
              <w:autoSpaceDE w:val="0"/>
              <w:autoSpaceDN w:val="0"/>
              <w:adjustRightInd w:val="0"/>
              <w:spacing w:before="29" w:line="360" w:lineRule="auto"/>
              <w:ind w:left="15"/>
              <w:jc w:val="center"/>
              <w:rPr>
                <w:rFonts w:asciiTheme="minorEastAsia" w:eastAsiaTheme="minorEastAsia" w:hAnsiTheme="minorEastAsia" w:cs="宋体"/>
                <w:color w:val="000000" w:themeColor="text1"/>
                <w:kern w:val="0"/>
                <w:sz w:val="24"/>
              </w:rPr>
            </w:pPr>
            <w:r>
              <w:rPr>
                <w:rFonts w:asciiTheme="minorEastAsia" w:eastAsiaTheme="minorEastAsia" w:hAnsiTheme="minorEastAsia" w:hint="eastAsia"/>
                <w:color w:val="000000" w:themeColor="text1"/>
                <w:kern w:val="0"/>
                <w:sz w:val="24"/>
              </w:rPr>
              <w:t>项目</w:t>
            </w:r>
          </w:p>
        </w:tc>
        <w:tc>
          <w:tcPr>
            <w:tcW w:w="1860" w:type="dxa"/>
          </w:tcPr>
          <w:p w:rsidR="00DA315C" w:rsidRDefault="00CC2E83">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Pr>
                <w:rFonts w:asciiTheme="minorEastAsia" w:eastAsiaTheme="minorEastAsia" w:hAnsiTheme="minorEastAsia"/>
                <w:color w:val="000000" w:themeColor="text1"/>
                <w:sz w:val="24"/>
              </w:rPr>
              <w:t>摩根天添盈货币A类</w:t>
            </w:r>
          </w:p>
        </w:tc>
        <w:tc>
          <w:tcPr>
            <w:tcW w:w="1860" w:type="dxa"/>
          </w:tcPr>
          <w:p w:rsidR="00DA315C" w:rsidRDefault="00050540">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sz w:val="24"/>
              </w:rPr>
              <w:t>摩根天添盈货币B类</w:t>
            </w:r>
          </w:p>
        </w:tc>
        <w:tc>
          <w:tcPr>
            <w:tcW w:w="1861" w:type="dxa"/>
          </w:tcPr>
          <w:p w:rsidR="00DA315C" w:rsidRDefault="00050540">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sz w:val="24"/>
              </w:rPr>
              <w:t>摩根天添盈货币E类</w:t>
            </w:r>
          </w:p>
        </w:tc>
        <w:tc>
          <w:tcPr>
            <w:tcW w:w="1861" w:type="dxa"/>
          </w:tcPr>
          <w:p w:rsidR="00DA315C" w:rsidRDefault="00050540" w:rsidP="0047722E">
            <w:pPr>
              <w:autoSpaceDE w:val="0"/>
              <w:autoSpaceDN w:val="0"/>
              <w:adjustRightInd w:val="0"/>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摩根天添盈货币C类</w:t>
            </w:r>
          </w:p>
        </w:tc>
      </w:tr>
      <w:tr w:rsidR="00DA315C" w:rsidTr="0047722E">
        <w:tc>
          <w:tcPr>
            <w:tcW w:w="1860" w:type="dxa"/>
            <w:vAlign w:val="center"/>
          </w:tcPr>
          <w:p w:rsidR="00DA315C" w:rsidRDefault="00CC2E83">
            <w:pPr>
              <w:autoSpaceDE w:val="0"/>
              <w:autoSpaceDN w:val="0"/>
              <w:adjustRightInd w:val="0"/>
              <w:spacing w:before="29" w:line="360" w:lineRule="auto"/>
              <w:ind w:left="17"/>
              <w:jc w:val="left"/>
              <w:rPr>
                <w:rFonts w:asciiTheme="minorEastAsia" w:eastAsiaTheme="minorEastAsia" w:hAnsiTheme="minorEastAsia"/>
                <w:color w:val="000000" w:themeColor="text1"/>
                <w:kern w:val="0"/>
                <w:sz w:val="24"/>
              </w:rPr>
            </w:pPr>
            <w:r>
              <w:rPr>
                <w:rFonts w:asciiTheme="minorEastAsia" w:eastAsiaTheme="minorEastAsia" w:hAnsiTheme="minorEastAsia" w:cs="宋体" w:hint="eastAsia"/>
                <w:color w:val="000000" w:themeColor="text1"/>
                <w:kern w:val="0"/>
                <w:sz w:val="24"/>
              </w:rPr>
              <w:t>报告期期初基</w:t>
            </w:r>
            <w:r>
              <w:rPr>
                <w:rFonts w:asciiTheme="minorEastAsia" w:eastAsiaTheme="minorEastAsia" w:hAnsiTheme="minorEastAsia" w:cs="宋体" w:hint="eastAsia"/>
                <w:color w:val="000000" w:themeColor="text1"/>
                <w:kern w:val="0"/>
                <w:sz w:val="24"/>
              </w:rPr>
              <w:lastRenderedPageBreak/>
              <w:t>金份额总额</w:t>
            </w:r>
          </w:p>
        </w:tc>
        <w:tc>
          <w:tcPr>
            <w:tcW w:w="1860" w:type="dxa"/>
            <w:vAlign w:val="center"/>
          </w:tcPr>
          <w:p w:rsidR="00DA315C" w:rsidRDefault="00CC2E83">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lastRenderedPageBreak/>
              <w:t>5,207,522,898</w:t>
            </w:r>
            <w:r>
              <w:rPr>
                <w:rFonts w:asciiTheme="minorEastAsia" w:eastAsiaTheme="minorEastAsia" w:hAnsiTheme="minorEastAsia" w:cs="宋体" w:hint="eastAsia"/>
                <w:color w:val="000000" w:themeColor="text1"/>
                <w:sz w:val="24"/>
              </w:rPr>
              <w:lastRenderedPageBreak/>
              <w:t>.98</w:t>
            </w:r>
          </w:p>
        </w:tc>
        <w:tc>
          <w:tcPr>
            <w:tcW w:w="1860" w:type="dxa"/>
            <w:vAlign w:val="center"/>
          </w:tcPr>
          <w:p w:rsidR="00DA315C" w:rsidRDefault="00050540">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lastRenderedPageBreak/>
              <w:t>-</w:t>
            </w:r>
          </w:p>
        </w:tc>
        <w:tc>
          <w:tcPr>
            <w:tcW w:w="1861" w:type="dxa"/>
            <w:vAlign w:val="center"/>
          </w:tcPr>
          <w:p w:rsidR="00DA315C" w:rsidRDefault="00050540">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3,263,849,985</w:t>
            </w:r>
            <w:r>
              <w:rPr>
                <w:rFonts w:asciiTheme="minorEastAsia" w:eastAsiaTheme="minorEastAsia" w:hAnsiTheme="minorEastAsia" w:cs="宋体" w:hint="eastAsia"/>
                <w:color w:val="000000" w:themeColor="text1"/>
                <w:sz w:val="24"/>
              </w:rPr>
              <w:lastRenderedPageBreak/>
              <w:t>.84</w:t>
            </w:r>
          </w:p>
        </w:tc>
        <w:tc>
          <w:tcPr>
            <w:tcW w:w="1861" w:type="dxa"/>
            <w:vAlign w:val="center"/>
          </w:tcPr>
          <w:p w:rsidR="00DA315C" w:rsidRDefault="00050540" w:rsidP="0047722E">
            <w:pPr>
              <w:autoSpaceDE w:val="0"/>
              <w:autoSpaceDN w:val="0"/>
              <w:adjustRightInd w:val="0"/>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lastRenderedPageBreak/>
              <w:t>1,322,968.70</w:t>
            </w:r>
          </w:p>
        </w:tc>
      </w:tr>
      <w:tr w:rsidR="00DA315C" w:rsidTr="0047722E">
        <w:tc>
          <w:tcPr>
            <w:tcW w:w="1860" w:type="dxa"/>
          </w:tcPr>
          <w:p w:rsidR="00DA315C" w:rsidRDefault="00CC2E83">
            <w:pPr>
              <w:adjustRightInd w:val="0"/>
              <w:snapToGrid w:val="0"/>
              <w:spacing w:line="340" w:lineRule="exact"/>
              <w:rPr>
                <w:rFonts w:ascii="宋体" w:hAnsi="宋体"/>
                <w:color w:val="000000" w:themeColor="text1"/>
                <w:sz w:val="24"/>
              </w:rPr>
            </w:pPr>
            <w:r>
              <w:rPr>
                <w:rFonts w:asciiTheme="minorEastAsia" w:eastAsiaTheme="minorEastAsia" w:hAnsiTheme="minorEastAsia" w:cs="宋体"/>
                <w:color w:val="000000" w:themeColor="text1"/>
                <w:kern w:val="0"/>
                <w:sz w:val="24"/>
              </w:rPr>
              <w:t>报告期期间</w:t>
            </w:r>
            <w:r>
              <w:rPr>
                <w:rFonts w:ascii="宋体" w:hAnsi="宋体" w:hint="eastAsia"/>
                <w:color w:val="000000" w:themeColor="text1"/>
                <w:sz w:val="24"/>
              </w:rPr>
              <w:t>基金总申购份额</w:t>
            </w:r>
          </w:p>
        </w:tc>
        <w:tc>
          <w:tcPr>
            <w:tcW w:w="1860" w:type="dxa"/>
            <w:vAlign w:val="center"/>
          </w:tcPr>
          <w:p w:rsidR="00DA315C" w:rsidRDefault="00CC2E83">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286,869,818.32</w:t>
            </w:r>
          </w:p>
        </w:tc>
        <w:tc>
          <w:tcPr>
            <w:tcW w:w="1860" w:type="dxa"/>
            <w:vAlign w:val="center"/>
          </w:tcPr>
          <w:p w:rsidR="00DA315C" w:rsidRDefault="00050540">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61" w:type="dxa"/>
            <w:vAlign w:val="center"/>
          </w:tcPr>
          <w:p w:rsidR="00DA315C" w:rsidRDefault="00050540">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2,721,385,010.51</w:t>
            </w:r>
          </w:p>
        </w:tc>
        <w:tc>
          <w:tcPr>
            <w:tcW w:w="1861" w:type="dxa"/>
            <w:vAlign w:val="center"/>
          </w:tcPr>
          <w:p w:rsidR="00DA315C" w:rsidRDefault="00050540" w:rsidP="0047722E">
            <w:pPr>
              <w:autoSpaceDE w:val="0"/>
              <w:autoSpaceDN w:val="0"/>
              <w:adjustRightInd w:val="0"/>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36,845.36</w:t>
            </w:r>
          </w:p>
        </w:tc>
      </w:tr>
      <w:tr w:rsidR="00DA315C" w:rsidTr="0047722E">
        <w:tc>
          <w:tcPr>
            <w:tcW w:w="1860" w:type="dxa"/>
          </w:tcPr>
          <w:p w:rsidR="00DA315C" w:rsidRDefault="00CC2E83">
            <w:pPr>
              <w:adjustRightInd w:val="0"/>
              <w:snapToGrid w:val="0"/>
              <w:spacing w:line="340" w:lineRule="exact"/>
              <w:rPr>
                <w:rFonts w:ascii="宋体" w:hAnsi="宋体"/>
                <w:color w:val="000000" w:themeColor="text1"/>
                <w:sz w:val="24"/>
              </w:rPr>
            </w:pPr>
            <w:r>
              <w:rPr>
                <w:rFonts w:asciiTheme="minorEastAsia" w:eastAsiaTheme="minorEastAsia" w:hAnsiTheme="minorEastAsia" w:cs="宋体"/>
                <w:color w:val="000000" w:themeColor="text1"/>
                <w:kern w:val="0"/>
                <w:sz w:val="24"/>
              </w:rPr>
              <w:t>报告期期间</w:t>
            </w:r>
            <w:r>
              <w:rPr>
                <w:rFonts w:ascii="宋体" w:hAnsi="宋体" w:hint="eastAsia"/>
                <w:color w:val="000000" w:themeColor="text1"/>
                <w:sz w:val="24"/>
              </w:rPr>
              <w:t>基金总赎回份额</w:t>
            </w:r>
          </w:p>
        </w:tc>
        <w:tc>
          <w:tcPr>
            <w:tcW w:w="1860" w:type="dxa"/>
            <w:vAlign w:val="center"/>
          </w:tcPr>
          <w:p w:rsidR="00DA315C" w:rsidRDefault="00CC2E83">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172,970,142.66</w:t>
            </w:r>
          </w:p>
        </w:tc>
        <w:tc>
          <w:tcPr>
            <w:tcW w:w="1860" w:type="dxa"/>
            <w:vAlign w:val="center"/>
          </w:tcPr>
          <w:p w:rsidR="00DA315C" w:rsidRDefault="00050540">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61" w:type="dxa"/>
            <w:vAlign w:val="center"/>
          </w:tcPr>
          <w:p w:rsidR="00DA315C" w:rsidRDefault="00050540">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3,023,617,213.93</w:t>
            </w:r>
          </w:p>
        </w:tc>
        <w:tc>
          <w:tcPr>
            <w:tcW w:w="1861" w:type="dxa"/>
            <w:vAlign w:val="center"/>
          </w:tcPr>
          <w:p w:rsidR="00DA315C" w:rsidRDefault="00050540" w:rsidP="0047722E">
            <w:pPr>
              <w:autoSpaceDE w:val="0"/>
              <w:autoSpaceDN w:val="0"/>
              <w:adjustRightInd w:val="0"/>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1,257,375.92</w:t>
            </w:r>
          </w:p>
        </w:tc>
      </w:tr>
      <w:tr w:rsidR="00DA315C" w:rsidTr="0047722E">
        <w:tc>
          <w:tcPr>
            <w:tcW w:w="1860" w:type="dxa"/>
          </w:tcPr>
          <w:p w:rsidR="00DA315C" w:rsidRDefault="00CC2E83">
            <w:pPr>
              <w:adjustRightInd w:val="0"/>
              <w:snapToGrid w:val="0"/>
              <w:spacing w:line="340" w:lineRule="exact"/>
              <w:rPr>
                <w:rFonts w:ascii="宋体" w:hAnsi="宋体"/>
                <w:color w:val="000000" w:themeColor="text1"/>
                <w:sz w:val="24"/>
              </w:rPr>
            </w:pPr>
            <w:r>
              <w:rPr>
                <w:rFonts w:ascii="宋体" w:hAnsi="宋体" w:hint="eastAsia"/>
                <w:color w:val="000000" w:themeColor="text1"/>
                <w:sz w:val="24"/>
              </w:rPr>
              <w:t>报告期期末基金份额总额</w:t>
            </w:r>
          </w:p>
        </w:tc>
        <w:tc>
          <w:tcPr>
            <w:tcW w:w="1860" w:type="dxa"/>
            <w:vAlign w:val="center"/>
          </w:tcPr>
          <w:p w:rsidR="00DA315C" w:rsidRDefault="00CC2E83">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5,321,422,574.64</w:t>
            </w:r>
          </w:p>
        </w:tc>
        <w:tc>
          <w:tcPr>
            <w:tcW w:w="1860" w:type="dxa"/>
            <w:vAlign w:val="center"/>
          </w:tcPr>
          <w:p w:rsidR="00DA315C" w:rsidRDefault="00050540">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w:t>
            </w:r>
          </w:p>
        </w:tc>
        <w:tc>
          <w:tcPr>
            <w:tcW w:w="1861" w:type="dxa"/>
            <w:vAlign w:val="center"/>
          </w:tcPr>
          <w:p w:rsidR="00DA315C" w:rsidRDefault="00050540">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2,961,617,782.42</w:t>
            </w:r>
          </w:p>
        </w:tc>
        <w:tc>
          <w:tcPr>
            <w:tcW w:w="1861" w:type="dxa"/>
            <w:vAlign w:val="center"/>
          </w:tcPr>
          <w:p w:rsidR="00DA315C" w:rsidRDefault="00050540" w:rsidP="0047722E">
            <w:pPr>
              <w:autoSpaceDE w:val="0"/>
              <w:autoSpaceDN w:val="0"/>
              <w:adjustRightInd w:val="0"/>
              <w:spacing w:line="360" w:lineRule="auto"/>
              <w:jc w:val="right"/>
              <w:rPr>
                <w:rFonts w:asciiTheme="minorEastAsia" w:eastAsiaTheme="minorEastAsia" w:hAnsiTheme="minorEastAsia"/>
                <w:color w:val="000000" w:themeColor="text1"/>
                <w:sz w:val="24"/>
              </w:rPr>
            </w:pPr>
            <w:r>
              <w:rPr>
                <w:rFonts w:asciiTheme="minorEastAsia" w:eastAsiaTheme="minorEastAsia" w:hAnsiTheme="minorEastAsia" w:cs="宋体" w:hint="eastAsia"/>
                <w:color w:val="000000" w:themeColor="text1"/>
                <w:sz w:val="24"/>
              </w:rPr>
              <w:t>102,438.14</w:t>
            </w:r>
          </w:p>
        </w:tc>
      </w:tr>
    </w:tbl>
    <w:p w:rsidR="00DA315C" w:rsidRDefault="00CC2E83" w:rsidP="00FC703D">
      <w:pPr>
        <w:pStyle w:val="1"/>
        <w:spacing w:beforeLines="200" w:before="480" w:afterLines="100" w:after="240"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§7  基金管理人运用固有资金投资本基金交易明细</w:t>
      </w:r>
    </w:p>
    <w:p w:rsidR="00DA315C" w:rsidRDefault="00CC2E83" w:rsidP="001B75F9">
      <w:pPr>
        <w:autoSpaceDE w:val="0"/>
        <w:autoSpaceDN w:val="0"/>
        <w:adjustRightInd w:val="0"/>
        <w:spacing w:beforeLines="50" w:before="120"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无。</w:t>
      </w:r>
    </w:p>
    <w:p w:rsidR="00DA315C" w:rsidRDefault="00CC2E83" w:rsidP="00EF5D52">
      <w:pPr>
        <w:pStyle w:val="1"/>
        <w:spacing w:beforeLines="200" w:before="480" w:afterLines="100" w:after="240"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§8</w:t>
      </w:r>
      <w:r>
        <w:rPr>
          <w:rFonts w:asciiTheme="minorEastAsia" w:eastAsiaTheme="minorEastAsia" w:hAnsiTheme="minorEastAsia" w:cs="Arial"/>
          <w:color w:val="000000" w:themeColor="text1"/>
          <w:kern w:val="0"/>
          <w:sz w:val="24"/>
          <w:szCs w:val="24"/>
        </w:rPr>
        <w:t>备查文件目录</w:t>
      </w:r>
    </w:p>
    <w:p w:rsidR="00DA315C" w:rsidRDefault="00CC2E83" w:rsidP="009E6F6D">
      <w:pPr>
        <w:autoSpaceDE w:val="0"/>
        <w:autoSpaceDN w:val="0"/>
        <w:adjustRightInd w:val="0"/>
        <w:spacing w:beforeLines="50" w:before="120" w:line="360" w:lineRule="auto"/>
        <w:jc w:val="left"/>
        <w:rPr>
          <w:rFonts w:asciiTheme="minorEastAsia" w:eastAsiaTheme="minorEastAsia" w:hAnsiTheme="minorEastAsia"/>
          <w:b/>
          <w:bCs/>
          <w:color w:val="000000" w:themeColor="text1"/>
          <w:kern w:val="0"/>
          <w:sz w:val="24"/>
        </w:rPr>
      </w:pPr>
      <w:r w:rsidRPr="00922237">
        <w:rPr>
          <w:rFonts w:eastAsiaTheme="minorEastAsia"/>
          <w:b/>
          <w:color w:val="000000" w:themeColor="text1"/>
          <w:kern w:val="0"/>
          <w:sz w:val="24"/>
        </w:rPr>
        <w:t>8</w:t>
      </w:r>
      <w:r w:rsidRPr="00922237">
        <w:rPr>
          <w:rFonts w:eastAsiaTheme="minorEastAsia"/>
          <w:b/>
          <w:bCs/>
          <w:color w:val="000000" w:themeColor="text1"/>
          <w:kern w:val="0"/>
          <w:sz w:val="24"/>
        </w:rPr>
        <w:t>.1</w:t>
      </w:r>
      <w:r>
        <w:rPr>
          <w:rFonts w:asciiTheme="minorEastAsia" w:eastAsiaTheme="minorEastAsia" w:hAnsiTheme="minorEastAsia" w:hint="eastAsia"/>
          <w:b/>
          <w:bCs/>
          <w:color w:val="000000" w:themeColor="text1"/>
          <w:kern w:val="0"/>
          <w:sz w:val="24"/>
        </w:rPr>
        <w:t>备查文件目录</w:t>
      </w:r>
    </w:p>
    <w:p w:rsidR="00FC1011" w:rsidRDefault="00F55F5D">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(一) 中国证监会批准本基金募集的文件</w:t>
      </w:r>
    </w:p>
    <w:p w:rsidR="00FC1011" w:rsidRDefault="00F55F5D">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(二)  摩根天添盈货币市场基金基金合同</w:t>
      </w:r>
    </w:p>
    <w:p w:rsidR="00FC1011" w:rsidRDefault="00F55F5D">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(三) 摩根天添盈货币市场基金托管协议</w:t>
      </w:r>
    </w:p>
    <w:p w:rsidR="00FC1011" w:rsidRDefault="00F55F5D">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(四) 法律意见书</w:t>
      </w:r>
    </w:p>
    <w:p w:rsidR="00FC1011" w:rsidRDefault="00F55F5D">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(五) 基金管理人业务资格批件、营业执照</w:t>
      </w:r>
    </w:p>
    <w:p w:rsidR="00FC1011" w:rsidRDefault="00F55F5D">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(六) 基金托管人业务资格批件、营业执照</w:t>
      </w:r>
    </w:p>
    <w:p w:rsidR="00FC1011" w:rsidRDefault="00F55F5D">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(七) 摩根基金管理（中国）有限公司开放式基金业务规则</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(八) 中国证监会要求的其他文件</w:t>
      </w:r>
    </w:p>
    <w:p w:rsidR="00DA315C" w:rsidRPr="00922237" w:rsidRDefault="00CC2E83" w:rsidP="00922237">
      <w:pPr>
        <w:autoSpaceDE w:val="0"/>
        <w:autoSpaceDN w:val="0"/>
        <w:adjustRightInd w:val="0"/>
        <w:spacing w:beforeLines="100" w:before="240" w:line="360" w:lineRule="auto"/>
        <w:jc w:val="left"/>
        <w:rPr>
          <w:rFonts w:eastAsiaTheme="minorEastAsia"/>
          <w:b/>
          <w:color w:val="000000" w:themeColor="text1"/>
          <w:kern w:val="0"/>
          <w:sz w:val="24"/>
        </w:rPr>
      </w:pPr>
      <w:r w:rsidRPr="00922237">
        <w:rPr>
          <w:rFonts w:eastAsiaTheme="minorEastAsia" w:hint="eastAsia"/>
          <w:b/>
          <w:color w:val="000000" w:themeColor="text1"/>
          <w:kern w:val="0"/>
          <w:sz w:val="24"/>
        </w:rPr>
        <w:t>8</w:t>
      </w:r>
      <w:r w:rsidRPr="00922237">
        <w:rPr>
          <w:rFonts w:eastAsiaTheme="minorEastAsia"/>
          <w:b/>
          <w:color w:val="000000" w:themeColor="text1"/>
          <w:kern w:val="0"/>
          <w:sz w:val="24"/>
        </w:rPr>
        <w:t>.2</w:t>
      </w:r>
      <w:r w:rsidRPr="00922237">
        <w:rPr>
          <w:rFonts w:eastAsiaTheme="minorEastAsia" w:hint="eastAsia"/>
          <w:b/>
          <w:color w:val="000000" w:themeColor="text1"/>
          <w:kern w:val="0"/>
          <w:sz w:val="24"/>
        </w:rPr>
        <w:t>存放地点</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基金管理人或基金托管人处。</w:t>
      </w:r>
    </w:p>
    <w:p w:rsidR="00DA315C" w:rsidRPr="00922237" w:rsidRDefault="00CC2E83" w:rsidP="00922237">
      <w:pPr>
        <w:autoSpaceDE w:val="0"/>
        <w:autoSpaceDN w:val="0"/>
        <w:adjustRightInd w:val="0"/>
        <w:spacing w:beforeLines="100" w:before="240" w:line="360" w:lineRule="auto"/>
        <w:jc w:val="left"/>
        <w:rPr>
          <w:rFonts w:eastAsiaTheme="minorEastAsia"/>
          <w:b/>
          <w:color w:val="000000" w:themeColor="text1"/>
          <w:kern w:val="0"/>
          <w:sz w:val="24"/>
        </w:rPr>
      </w:pPr>
      <w:r w:rsidRPr="00922237">
        <w:rPr>
          <w:rFonts w:eastAsiaTheme="minorEastAsia" w:hint="eastAsia"/>
          <w:b/>
          <w:color w:val="000000" w:themeColor="text1"/>
          <w:kern w:val="0"/>
          <w:sz w:val="24"/>
        </w:rPr>
        <w:t>8</w:t>
      </w:r>
      <w:r w:rsidRPr="00922237">
        <w:rPr>
          <w:rFonts w:eastAsiaTheme="minorEastAsia"/>
          <w:b/>
          <w:color w:val="000000" w:themeColor="text1"/>
          <w:kern w:val="0"/>
          <w:sz w:val="24"/>
        </w:rPr>
        <w:t>.3</w:t>
      </w:r>
      <w:r w:rsidRPr="00922237">
        <w:rPr>
          <w:rFonts w:eastAsiaTheme="minorEastAsia" w:hint="eastAsia"/>
          <w:b/>
          <w:color w:val="000000" w:themeColor="text1"/>
          <w:kern w:val="0"/>
          <w:sz w:val="24"/>
        </w:rPr>
        <w:t>查阅方式</w:t>
      </w:r>
    </w:p>
    <w:p w:rsidR="00DA315C" w:rsidRDefault="00CC2E83">
      <w:pPr>
        <w:autoSpaceDE w:val="0"/>
        <w:autoSpaceDN w:val="0"/>
        <w:adjustRightInd w:val="0"/>
        <w:spacing w:line="360" w:lineRule="auto"/>
        <w:ind w:firstLineChars="200" w:firstLine="48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投资者可在营业时间免费查阅，也可按工本费购买复印件。</w:t>
      </w:r>
    </w:p>
    <w:p w:rsidR="00922237" w:rsidRDefault="00922237">
      <w:pPr>
        <w:spacing w:line="360" w:lineRule="auto"/>
        <w:jc w:val="right"/>
        <w:rPr>
          <w:rFonts w:asciiTheme="minorEastAsia" w:eastAsiaTheme="minorEastAsia" w:hAnsiTheme="minorEastAsia"/>
          <w:b/>
          <w:bCs/>
          <w:color w:val="000000" w:themeColor="text1"/>
          <w:sz w:val="24"/>
        </w:rPr>
      </w:pPr>
    </w:p>
    <w:p w:rsidR="00922237" w:rsidRDefault="00922237">
      <w:pPr>
        <w:spacing w:line="360" w:lineRule="auto"/>
        <w:jc w:val="right"/>
        <w:rPr>
          <w:rFonts w:asciiTheme="minorEastAsia" w:eastAsiaTheme="minorEastAsia" w:hAnsiTheme="minorEastAsia"/>
          <w:b/>
          <w:bCs/>
          <w:color w:val="000000" w:themeColor="text1"/>
          <w:sz w:val="24"/>
        </w:rPr>
      </w:pPr>
    </w:p>
    <w:p w:rsidR="00922237" w:rsidRDefault="00922237">
      <w:pPr>
        <w:spacing w:line="360" w:lineRule="auto"/>
        <w:jc w:val="right"/>
        <w:rPr>
          <w:rFonts w:asciiTheme="minorEastAsia" w:eastAsiaTheme="minorEastAsia" w:hAnsiTheme="minorEastAsia"/>
          <w:b/>
          <w:bCs/>
          <w:color w:val="000000" w:themeColor="text1"/>
          <w:sz w:val="24"/>
        </w:rPr>
      </w:pPr>
    </w:p>
    <w:p w:rsidR="00DA315C" w:rsidRDefault="00CC2E83">
      <w:pPr>
        <w:spacing w:line="360" w:lineRule="auto"/>
        <w:jc w:val="right"/>
        <w:rPr>
          <w:rFonts w:asciiTheme="minorEastAsia" w:eastAsiaTheme="minorEastAsia" w:hAnsiTheme="minorEastAsia"/>
          <w:b/>
          <w:bCs/>
          <w:color w:val="000000" w:themeColor="text1"/>
          <w:sz w:val="24"/>
        </w:rPr>
      </w:pPr>
      <w:r>
        <w:rPr>
          <w:rFonts w:asciiTheme="minorEastAsia" w:eastAsiaTheme="minorEastAsia" w:hAnsiTheme="minorEastAsia"/>
          <w:b/>
          <w:bCs/>
          <w:color w:val="000000" w:themeColor="text1"/>
          <w:sz w:val="24"/>
        </w:rPr>
        <w:t>摩根基金管理（中国）有限公司</w:t>
      </w:r>
    </w:p>
    <w:p w:rsidR="00DA315C" w:rsidRDefault="00CC2E83">
      <w:pPr>
        <w:spacing w:line="360" w:lineRule="auto"/>
        <w:jc w:val="right"/>
        <w:rPr>
          <w:rFonts w:asciiTheme="minorEastAsia" w:eastAsiaTheme="minorEastAsia" w:hAnsiTheme="minorEastAsia"/>
          <w:b/>
          <w:bCs/>
          <w:color w:val="000000" w:themeColor="text1"/>
          <w:sz w:val="24"/>
        </w:rPr>
      </w:pPr>
      <w:r>
        <w:rPr>
          <w:rFonts w:asciiTheme="minorEastAsia" w:eastAsiaTheme="minorEastAsia" w:hAnsiTheme="minorEastAsia"/>
          <w:b/>
          <w:bCs/>
          <w:color w:val="000000" w:themeColor="text1"/>
          <w:sz w:val="24"/>
        </w:rPr>
        <w:t>二〇二三年七月二十一日</w:t>
      </w:r>
    </w:p>
    <w:sectPr w:rsidR="00DA315C">
      <w:pgSz w:w="11926" w:h="15840"/>
      <w:pgMar w:top="1420" w:right="1420" w:bottom="852" w:left="142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DC9" w:rsidRDefault="007C4DC9">
      <w:r>
        <w:separator/>
      </w:r>
    </w:p>
  </w:endnote>
  <w:endnote w:type="continuationSeparator" w:id="0">
    <w:p w:rsidR="007C4DC9" w:rsidRDefault="007C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简体">
    <w:altName w:val="Arial Unicode MS"/>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E9" w:rsidRPr="00453C41" w:rsidRDefault="007753E9" w:rsidP="00453C41">
    <w:pPr>
      <w:pStyle w:val="ab"/>
      <w:jc w:val="center"/>
      <w:rPr>
        <w:caps/>
        <w:color w:val="000000" w:themeColor="text1"/>
      </w:rPr>
    </w:pPr>
    <w:r w:rsidRPr="00453C41">
      <w:rPr>
        <w:caps/>
        <w:color w:val="000000" w:themeColor="text1"/>
      </w:rPr>
      <w:fldChar w:fldCharType="begin"/>
    </w:r>
    <w:r w:rsidRPr="00453C41">
      <w:rPr>
        <w:caps/>
        <w:color w:val="000000" w:themeColor="text1"/>
      </w:rPr>
      <w:instrText>PAGE   \* MERGEFORMAT</w:instrText>
    </w:r>
    <w:r w:rsidRPr="00453C41">
      <w:rPr>
        <w:caps/>
        <w:color w:val="000000" w:themeColor="text1"/>
      </w:rPr>
      <w:fldChar w:fldCharType="separate"/>
    </w:r>
    <w:r w:rsidR="00FE1A63" w:rsidRPr="00FE1A63">
      <w:rPr>
        <w:caps/>
        <w:noProof/>
        <w:color w:val="000000" w:themeColor="text1"/>
        <w:lang w:val="zh-CN"/>
      </w:rPr>
      <w:t>1</w:t>
    </w:r>
    <w:r w:rsidRPr="00453C41">
      <w:rPr>
        <w:cap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DC9" w:rsidRDefault="007C4DC9">
      <w:r>
        <w:separator/>
      </w:r>
    </w:p>
  </w:footnote>
  <w:footnote w:type="continuationSeparator" w:id="0">
    <w:p w:rsidR="007C4DC9" w:rsidRDefault="007C4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E9" w:rsidRDefault="007753E9">
    <w:pPr>
      <w:pStyle w:val="ad"/>
      <w:pBdr>
        <w:bottom w:val="single" w:sz="6" w:space="0" w:color="auto"/>
      </w:pBdr>
      <w:jc w:val="right"/>
    </w:pPr>
    <w:r>
      <w:rPr>
        <w:sz w:val="21"/>
        <w:szCs w:val="21"/>
      </w:rPr>
      <w:t>摩根天添盈货币市场基金</w:t>
    </w:r>
    <w:r>
      <w:rPr>
        <w:sz w:val="21"/>
        <w:szCs w:val="21"/>
      </w:rPr>
      <w:t>2023</w:t>
    </w:r>
    <w:r>
      <w:rPr>
        <w:sz w:val="21"/>
        <w:szCs w:val="21"/>
      </w:rPr>
      <w:t>年第</w:t>
    </w:r>
    <w:r>
      <w:rPr>
        <w:sz w:val="21"/>
        <w:szCs w:val="21"/>
      </w:rPr>
      <w:t>2</w:t>
    </w:r>
    <w:r>
      <w:rPr>
        <w:sz w:val="21"/>
        <w:szCs w:val="21"/>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2B9"/>
    <w:rsid w:val="000028CE"/>
    <w:rsid w:val="00004DE7"/>
    <w:rsid w:val="00005433"/>
    <w:rsid w:val="0001552D"/>
    <w:rsid w:val="0001566B"/>
    <w:rsid w:val="0002085F"/>
    <w:rsid w:val="00025C5D"/>
    <w:rsid w:val="00035596"/>
    <w:rsid w:val="000417E0"/>
    <w:rsid w:val="0004414C"/>
    <w:rsid w:val="00044724"/>
    <w:rsid w:val="00050540"/>
    <w:rsid w:val="000515FA"/>
    <w:rsid w:val="00052CA4"/>
    <w:rsid w:val="00054470"/>
    <w:rsid w:val="0005518A"/>
    <w:rsid w:val="000570EB"/>
    <w:rsid w:val="00057115"/>
    <w:rsid w:val="00057D26"/>
    <w:rsid w:val="00063BA4"/>
    <w:rsid w:val="0006697D"/>
    <w:rsid w:val="00070092"/>
    <w:rsid w:val="00070319"/>
    <w:rsid w:val="0007109E"/>
    <w:rsid w:val="00072602"/>
    <w:rsid w:val="00074329"/>
    <w:rsid w:val="00075BBB"/>
    <w:rsid w:val="00075CA2"/>
    <w:rsid w:val="00076834"/>
    <w:rsid w:val="0007770D"/>
    <w:rsid w:val="00087DFE"/>
    <w:rsid w:val="000A0C86"/>
    <w:rsid w:val="000A225E"/>
    <w:rsid w:val="000A39AB"/>
    <w:rsid w:val="000A466F"/>
    <w:rsid w:val="000B2044"/>
    <w:rsid w:val="000B2266"/>
    <w:rsid w:val="000C469F"/>
    <w:rsid w:val="000D0F44"/>
    <w:rsid w:val="000D6294"/>
    <w:rsid w:val="000E0F6E"/>
    <w:rsid w:val="000E5D62"/>
    <w:rsid w:val="000E6158"/>
    <w:rsid w:val="000F3C21"/>
    <w:rsid w:val="000F4826"/>
    <w:rsid w:val="000F5947"/>
    <w:rsid w:val="00101278"/>
    <w:rsid w:val="00102307"/>
    <w:rsid w:val="001038EF"/>
    <w:rsid w:val="00103B93"/>
    <w:rsid w:val="001074D6"/>
    <w:rsid w:val="00113777"/>
    <w:rsid w:val="00114C97"/>
    <w:rsid w:val="00117063"/>
    <w:rsid w:val="00123E37"/>
    <w:rsid w:val="001302DB"/>
    <w:rsid w:val="00136502"/>
    <w:rsid w:val="00157B55"/>
    <w:rsid w:val="00162222"/>
    <w:rsid w:val="001635C7"/>
    <w:rsid w:val="00166734"/>
    <w:rsid w:val="001669F2"/>
    <w:rsid w:val="001705A7"/>
    <w:rsid w:val="0017387C"/>
    <w:rsid w:val="001822D3"/>
    <w:rsid w:val="0018401C"/>
    <w:rsid w:val="00185622"/>
    <w:rsid w:val="00186667"/>
    <w:rsid w:val="00191B28"/>
    <w:rsid w:val="00193BCF"/>
    <w:rsid w:val="00195C6F"/>
    <w:rsid w:val="00196812"/>
    <w:rsid w:val="00197ED0"/>
    <w:rsid w:val="001A2524"/>
    <w:rsid w:val="001A784C"/>
    <w:rsid w:val="001B42BE"/>
    <w:rsid w:val="001B43B0"/>
    <w:rsid w:val="001B72D6"/>
    <w:rsid w:val="001B75F9"/>
    <w:rsid w:val="001B7CC6"/>
    <w:rsid w:val="001C5D80"/>
    <w:rsid w:val="001D0D4C"/>
    <w:rsid w:val="001D0DB0"/>
    <w:rsid w:val="001D3FAC"/>
    <w:rsid w:val="001D65C8"/>
    <w:rsid w:val="001D6ECD"/>
    <w:rsid w:val="001D75D9"/>
    <w:rsid w:val="001E0DDA"/>
    <w:rsid w:val="001F0286"/>
    <w:rsid w:val="0020640F"/>
    <w:rsid w:val="0021251E"/>
    <w:rsid w:val="00220437"/>
    <w:rsid w:val="00222C78"/>
    <w:rsid w:val="00232095"/>
    <w:rsid w:val="00233014"/>
    <w:rsid w:val="002331D9"/>
    <w:rsid w:val="0024424F"/>
    <w:rsid w:val="002507FE"/>
    <w:rsid w:val="002525C7"/>
    <w:rsid w:val="002611C3"/>
    <w:rsid w:val="002622E8"/>
    <w:rsid w:val="00267283"/>
    <w:rsid w:val="0027189B"/>
    <w:rsid w:val="00274FAC"/>
    <w:rsid w:val="00275552"/>
    <w:rsid w:val="002A4B7F"/>
    <w:rsid w:val="002B45A4"/>
    <w:rsid w:val="002C5792"/>
    <w:rsid w:val="002D3ADF"/>
    <w:rsid w:val="002E040C"/>
    <w:rsid w:val="002E0F4A"/>
    <w:rsid w:val="002F0E9D"/>
    <w:rsid w:val="002F1496"/>
    <w:rsid w:val="002F6539"/>
    <w:rsid w:val="00307062"/>
    <w:rsid w:val="003111AC"/>
    <w:rsid w:val="00311ADA"/>
    <w:rsid w:val="00311AEB"/>
    <w:rsid w:val="00320893"/>
    <w:rsid w:val="00322B07"/>
    <w:rsid w:val="0032323A"/>
    <w:rsid w:val="00323377"/>
    <w:rsid w:val="00327FB0"/>
    <w:rsid w:val="0033599F"/>
    <w:rsid w:val="00340292"/>
    <w:rsid w:val="00340456"/>
    <w:rsid w:val="00340C3A"/>
    <w:rsid w:val="00341CFF"/>
    <w:rsid w:val="00343648"/>
    <w:rsid w:val="00343AF0"/>
    <w:rsid w:val="00346359"/>
    <w:rsid w:val="00346B82"/>
    <w:rsid w:val="0035022C"/>
    <w:rsid w:val="0035215C"/>
    <w:rsid w:val="00362E2A"/>
    <w:rsid w:val="00371E26"/>
    <w:rsid w:val="00373AAB"/>
    <w:rsid w:val="0038256C"/>
    <w:rsid w:val="00383631"/>
    <w:rsid w:val="00384942"/>
    <w:rsid w:val="00394455"/>
    <w:rsid w:val="00394BC1"/>
    <w:rsid w:val="003A0EC1"/>
    <w:rsid w:val="003A1E1E"/>
    <w:rsid w:val="003A2922"/>
    <w:rsid w:val="003B36B4"/>
    <w:rsid w:val="003B6DC6"/>
    <w:rsid w:val="003C0E8C"/>
    <w:rsid w:val="003C1137"/>
    <w:rsid w:val="003C3FA7"/>
    <w:rsid w:val="003C495A"/>
    <w:rsid w:val="003D1ECF"/>
    <w:rsid w:val="003D21F4"/>
    <w:rsid w:val="003D6A07"/>
    <w:rsid w:val="003E14FE"/>
    <w:rsid w:val="003E565B"/>
    <w:rsid w:val="003F43EB"/>
    <w:rsid w:val="003F5616"/>
    <w:rsid w:val="00402654"/>
    <w:rsid w:val="00403ED2"/>
    <w:rsid w:val="00413748"/>
    <w:rsid w:val="004250C5"/>
    <w:rsid w:val="00425438"/>
    <w:rsid w:val="00433C1E"/>
    <w:rsid w:val="004369B0"/>
    <w:rsid w:val="00440828"/>
    <w:rsid w:val="004417A1"/>
    <w:rsid w:val="0044257C"/>
    <w:rsid w:val="00446474"/>
    <w:rsid w:val="00446F8F"/>
    <w:rsid w:val="004527E3"/>
    <w:rsid w:val="00452D31"/>
    <w:rsid w:val="00453C41"/>
    <w:rsid w:val="00455AA7"/>
    <w:rsid w:val="00460000"/>
    <w:rsid w:val="004600C4"/>
    <w:rsid w:val="00461A70"/>
    <w:rsid w:val="004664C1"/>
    <w:rsid w:val="004702DF"/>
    <w:rsid w:val="00470F55"/>
    <w:rsid w:val="00471444"/>
    <w:rsid w:val="00473E10"/>
    <w:rsid w:val="00473EC9"/>
    <w:rsid w:val="00474563"/>
    <w:rsid w:val="00474896"/>
    <w:rsid w:val="004771B9"/>
    <w:rsid w:val="0047722E"/>
    <w:rsid w:val="0048754A"/>
    <w:rsid w:val="004950A3"/>
    <w:rsid w:val="0049568D"/>
    <w:rsid w:val="00496B2E"/>
    <w:rsid w:val="004A0C6B"/>
    <w:rsid w:val="004A2432"/>
    <w:rsid w:val="004A2C47"/>
    <w:rsid w:val="004A357E"/>
    <w:rsid w:val="004A40AA"/>
    <w:rsid w:val="004A46A0"/>
    <w:rsid w:val="004A5B68"/>
    <w:rsid w:val="004B1C09"/>
    <w:rsid w:val="004C5B7C"/>
    <w:rsid w:val="004D22E1"/>
    <w:rsid w:val="004D51CC"/>
    <w:rsid w:val="004D72C7"/>
    <w:rsid w:val="004E041A"/>
    <w:rsid w:val="004E3452"/>
    <w:rsid w:val="004E4E63"/>
    <w:rsid w:val="004F02D6"/>
    <w:rsid w:val="00500487"/>
    <w:rsid w:val="005065A0"/>
    <w:rsid w:val="00506EF6"/>
    <w:rsid w:val="005141F5"/>
    <w:rsid w:val="0051505A"/>
    <w:rsid w:val="00515166"/>
    <w:rsid w:val="0051578D"/>
    <w:rsid w:val="005212AE"/>
    <w:rsid w:val="00525B26"/>
    <w:rsid w:val="00532457"/>
    <w:rsid w:val="00533490"/>
    <w:rsid w:val="00543561"/>
    <w:rsid w:val="0054464B"/>
    <w:rsid w:val="00546747"/>
    <w:rsid w:val="0054785C"/>
    <w:rsid w:val="00551447"/>
    <w:rsid w:val="00555883"/>
    <w:rsid w:val="00560F94"/>
    <w:rsid w:val="00562319"/>
    <w:rsid w:val="005633AD"/>
    <w:rsid w:val="00564C24"/>
    <w:rsid w:val="00570F8C"/>
    <w:rsid w:val="00575970"/>
    <w:rsid w:val="00582960"/>
    <w:rsid w:val="0059170A"/>
    <w:rsid w:val="00591BF0"/>
    <w:rsid w:val="00592D0A"/>
    <w:rsid w:val="00594DCA"/>
    <w:rsid w:val="00595285"/>
    <w:rsid w:val="005A60B7"/>
    <w:rsid w:val="005B238D"/>
    <w:rsid w:val="005B527B"/>
    <w:rsid w:val="005C251D"/>
    <w:rsid w:val="005D1BAF"/>
    <w:rsid w:val="005D596C"/>
    <w:rsid w:val="005D6807"/>
    <w:rsid w:val="005E05CC"/>
    <w:rsid w:val="005E2087"/>
    <w:rsid w:val="005E2D8C"/>
    <w:rsid w:val="005E6FA5"/>
    <w:rsid w:val="005F17EC"/>
    <w:rsid w:val="005F41D2"/>
    <w:rsid w:val="005F668B"/>
    <w:rsid w:val="005F6B28"/>
    <w:rsid w:val="00607204"/>
    <w:rsid w:val="00613327"/>
    <w:rsid w:val="00614726"/>
    <w:rsid w:val="00614961"/>
    <w:rsid w:val="006214E4"/>
    <w:rsid w:val="006254A5"/>
    <w:rsid w:val="0062678E"/>
    <w:rsid w:val="006317E8"/>
    <w:rsid w:val="00632417"/>
    <w:rsid w:val="0063302E"/>
    <w:rsid w:val="00633177"/>
    <w:rsid w:val="006331F2"/>
    <w:rsid w:val="00636261"/>
    <w:rsid w:val="00636B17"/>
    <w:rsid w:val="0064191E"/>
    <w:rsid w:val="006452E9"/>
    <w:rsid w:val="00664834"/>
    <w:rsid w:val="00672BEF"/>
    <w:rsid w:val="00673BA5"/>
    <w:rsid w:val="006911A1"/>
    <w:rsid w:val="00694FDC"/>
    <w:rsid w:val="006A1E40"/>
    <w:rsid w:val="006A2D00"/>
    <w:rsid w:val="006B4965"/>
    <w:rsid w:val="006B4C67"/>
    <w:rsid w:val="006B56E1"/>
    <w:rsid w:val="006B69FA"/>
    <w:rsid w:val="006D27DD"/>
    <w:rsid w:val="006D4647"/>
    <w:rsid w:val="006D4C22"/>
    <w:rsid w:val="006E4EB5"/>
    <w:rsid w:val="006F1C55"/>
    <w:rsid w:val="006F3CEE"/>
    <w:rsid w:val="006F622C"/>
    <w:rsid w:val="00707CB2"/>
    <w:rsid w:val="00710487"/>
    <w:rsid w:val="00714B3D"/>
    <w:rsid w:val="00714FD1"/>
    <w:rsid w:val="007254F2"/>
    <w:rsid w:val="007277D1"/>
    <w:rsid w:val="00727EA0"/>
    <w:rsid w:val="0073105A"/>
    <w:rsid w:val="00734B8E"/>
    <w:rsid w:val="00737060"/>
    <w:rsid w:val="00741288"/>
    <w:rsid w:val="0074455F"/>
    <w:rsid w:val="007521F9"/>
    <w:rsid w:val="00756489"/>
    <w:rsid w:val="00756EA2"/>
    <w:rsid w:val="00757F37"/>
    <w:rsid w:val="007600BC"/>
    <w:rsid w:val="00762326"/>
    <w:rsid w:val="00762E87"/>
    <w:rsid w:val="00764CF7"/>
    <w:rsid w:val="0077198B"/>
    <w:rsid w:val="007723FD"/>
    <w:rsid w:val="00772687"/>
    <w:rsid w:val="00774E1E"/>
    <w:rsid w:val="007753E9"/>
    <w:rsid w:val="00780252"/>
    <w:rsid w:val="007806BE"/>
    <w:rsid w:val="00782061"/>
    <w:rsid w:val="00785897"/>
    <w:rsid w:val="00785C32"/>
    <w:rsid w:val="007A1708"/>
    <w:rsid w:val="007B082A"/>
    <w:rsid w:val="007B1C3E"/>
    <w:rsid w:val="007C42E5"/>
    <w:rsid w:val="007C4DC9"/>
    <w:rsid w:val="007E0C02"/>
    <w:rsid w:val="007E5ADE"/>
    <w:rsid w:val="007F1DE3"/>
    <w:rsid w:val="007F7BD7"/>
    <w:rsid w:val="008056FA"/>
    <w:rsid w:val="008115B6"/>
    <w:rsid w:val="00813897"/>
    <w:rsid w:val="00814461"/>
    <w:rsid w:val="00824D84"/>
    <w:rsid w:val="00825EA5"/>
    <w:rsid w:val="00827710"/>
    <w:rsid w:val="00830EA7"/>
    <w:rsid w:val="00833555"/>
    <w:rsid w:val="008347B3"/>
    <w:rsid w:val="00834D9F"/>
    <w:rsid w:val="00835BDD"/>
    <w:rsid w:val="008379E2"/>
    <w:rsid w:val="00852119"/>
    <w:rsid w:val="0085498E"/>
    <w:rsid w:val="0086245E"/>
    <w:rsid w:val="00877329"/>
    <w:rsid w:val="00880EE6"/>
    <w:rsid w:val="00881BFD"/>
    <w:rsid w:val="00882323"/>
    <w:rsid w:val="00893021"/>
    <w:rsid w:val="0089560B"/>
    <w:rsid w:val="008B21BE"/>
    <w:rsid w:val="008B23BD"/>
    <w:rsid w:val="008C579A"/>
    <w:rsid w:val="008D0A39"/>
    <w:rsid w:val="008D55F2"/>
    <w:rsid w:val="008E3053"/>
    <w:rsid w:val="008E4638"/>
    <w:rsid w:val="008E6CBC"/>
    <w:rsid w:val="008E71D2"/>
    <w:rsid w:val="008F44F3"/>
    <w:rsid w:val="009004F7"/>
    <w:rsid w:val="009018CC"/>
    <w:rsid w:val="00902E3F"/>
    <w:rsid w:val="00903E98"/>
    <w:rsid w:val="009043CD"/>
    <w:rsid w:val="00904D59"/>
    <w:rsid w:val="00906C9B"/>
    <w:rsid w:val="00910FB5"/>
    <w:rsid w:val="00911C0E"/>
    <w:rsid w:val="009153D7"/>
    <w:rsid w:val="00922237"/>
    <w:rsid w:val="009223B5"/>
    <w:rsid w:val="00924D28"/>
    <w:rsid w:val="0094213C"/>
    <w:rsid w:val="0094236C"/>
    <w:rsid w:val="00943AFD"/>
    <w:rsid w:val="0096196D"/>
    <w:rsid w:val="00967986"/>
    <w:rsid w:val="0097021E"/>
    <w:rsid w:val="00971C19"/>
    <w:rsid w:val="00971D35"/>
    <w:rsid w:val="009720BF"/>
    <w:rsid w:val="00976A1A"/>
    <w:rsid w:val="00984794"/>
    <w:rsid w:val="0099296A"/>
    <w:rsid w:val="009965A5"/>
    <w:rsid w:val="009A56D7"/>
    <w:rsid w:val="009A755D"/>
    <w:rsid w:val="009B15FD"/>
    <w:rsid w:val="009B2693"/>
    <w:rsid w:val="009B3C3F"/>
    <w:rsid w:val="009B73A7"/>
    <w:rsid w:val="009B7B0C"/>
    <w:rsid w:val="009C1A42"/>
    <w:rsid w:val="009D067E"/>
    <w:rsid w:val="009D19C1"/>
    <w:rsid w:val="009D5CC1"/>
    <w:rsid w:val="009D60EB"/>
    <w:rsid w:val="009D74FC"/>
    <w:rsid w:val="009E07F4"/>
    <w:rsid w:val="009E2527"/>
    <w:rsid w:val="009E2BAA"/>
    <w:rsid w:val="009E3E0B"/>
    <w:rsid w:val="009E6F6D"/>
    <w:rsid w:val="009F14B0"/>
    <w:rsid w:val="009F480F"/>
    <w:rsid w:val="009F6951"/>
    <w:rsid w:val="00A01505"/>
    <w:rsid w:val="00A01DDC"/>
    <w:rsid w:val="00A1530B"/>
    <w:rsid w:val="00A16747"/>
    <w:rsid w:val="00A167A7"/>
    <w:rsid w:val="00A1694D"/>
    <w:rsid w:val="00A16D78"/>
    <w:rsid w:val="00A24DC0"/>
    <w:rsid w:val="00A42A96"/>
    <w:rsid w:val="00A455A0"/>
    <w:rsid w:val="00A45C1D"/>
    <w:rsid w:val="00A470D2"/>
    <w:rsid w:val="00A50D92"/>
    <w:rsid w:val="00A53D1D"/>
    <w:rsid w:val="00A62DD4"/>
    <w:rsid w:val="00A65A66"/>
    <w:rsid w:val="00A7219D"/>
    <w:rsid w:val="00A73E86"/>
    <w:rsid w:val="00A7669A"/>
    <w:rsid w:val="00A805BC"/>
    <w:rsid w:val="00A80F9F"/>
    <w:rsid w:val="00A81075"/>
    <w:rsid w:val="00A87550"/>
    <w:rsid w:val="00A95FA9"/>
    <w:rsid w:val="00AA34F4"/>
    <w:rsid w:val="00AA5B03"/>
    <w:rsid w:val="00AA68D4"/>
    <w:rsid w:val="00AB24CA"/>
    <w:rsid w:val="00AB373C"/>
    <w:rsid w:val="00AB5159"/>
    <w:rsid w:val="00AB5E54"/>
    <w:rsid w:val="00AC2B47"/>
    <w:rsid w:val="00AC3D9E"/>
    <w:rsid w:val="00AC6C3D"/>
    <w:rsid w:val="00AD1ADB"/>
    <w:rsid w:val="00AD2473"/>
    <w:rsid w:val="00AD2589"/>
    <w:rsid w:val="00AE17F1"/>
    <w:rsid w:val="00AE2FB9"/>
    <w:rsid w:val="00AE342F"/>
    <w:rsid w:val="00AE4F96"/>
    <w:rsid w:val="00AE6D9A"/>
    <w:rsid w:val="00AE7435"/>
    <w:rsid w:val="00AF2397"/>
    <w:rsid w:val="00AF27F9"/>
    <w:rsid w:val="00AF3D19"/>
    <w:rsid w:val="00B03B0B"/>
    <w:rsid w:val="00B040BC"/>
    <w:rsid w:val="00B0441A"/>
    <w:rsid w:val="00B044FC"/>
    <w:rsid w:val="00B06458"/>
    <w:rsid w:val="00B071B6"/>
    <w:rsid w:val="00B13B79"/>
    <w:rsid w:val="00B202AD"/>
    <w:rsid w:val="00B213AC"/>
    <w:rsid w:val="00B25119"/>
    <w:rsid w:val="00B27004"/>
    <w:rsid w:val="00B33F45"/>
    <w:rsid w:val="00B33FA5"/>
    <w:rsid w:val="00B415B8"/>
    <w:rsid w:val="00B420AC"/>
    <w:rsid w:val="00B4354A"/>
    <w:rsid w:val="00B54CC5"/>
    <w:rsid w:val="00B60E27"/>
    <w:rsid w:val="00B634E4"/>
    <w:rsid w:val="00B64D62"/>
    <w:rsid w:val="00B77C54"/>
    <w:rsid w:val="00B821DD"/>
    <w:rsid w:val="00B83944"/>
    <w:rsid w:val="00B94B49"/>
    <w:rsid w:val="00BA7AF1"/>
    <w:rsid w:val="00BB03CC"/>
    <w:rsid w:val="00BB252C"/>
    <w:rsid w:val="00BB5126"/>
    <w:rsid w:val="00BB7518"/>
    <w:rsid w:val="00BC0205"/>
    <w:rsid w:val="00BC14F5"/>
    <w:rsid w:val="00BC2146"/>
    <w:rsid w:val="00BD260A"/>
    <w:rsid w:val="00BD6918"/>
    <w:rsid w:val="00BE1FC8"/>
    <w:rsid w:val="00BE439F"/>
    <w:rsid w:val="00BE5584"/>
    <w:rsid w:val="00BF1111"/>
    <w:rsid w:val="00BF3886"/>
    <w:rsid w:val="00C009AF"/>
    <w:rsid w:val="00C2005E"/>
    <w:rsid w:val="00C205E4"/>
    <w:rsid w:val="00C2782D"/>
    <w:rsid w:val="00C3040F"/>
    <w:rsid w:val="00C31708"/>
    <w:rsid w:val="00C3368F"/>
    <w:rsid w:val="00C36C15"/>
    <w:rsid w:val="00C4213A"/>
    <w:rsid w:val="00C4371A"/>
    <w:rsid w:val="00C448EE"/>
    <w:rsid w:val="00C4568B"/>
    <w:rsid w:val="00C4627A"/>
    <w:rsid w:val="00C637D1"/>
    <w:rsid w:val="00C640B8"/>
    <w:rsid w:val="00C6722B"/>
    <w:rsid w:val="00C7033B"/>
    <w:rsid w:val="00C75870"/>
    <w:rsid w:val="00C83157"/>
    <w:rsid w:val="00C927D5"/>
    <w:rsid w:val="00C93BC9"/>
    <w:rsid w:val="00CA0730"/>
    <w:rsid w:val="00CA1C04"/>
    <w:rsid w:val="00CA3808"/>
    <w:rsid w:val="00CA55E0"/>
    <w:rsid w:val="00CA592F"/>
    <w:rsid w:val="00CA5BEB"/>
    <w:rsid w:val="00CA65DD"/>
    <w:rsid w:val="00CB0E8A"/>
    <w:rsid w:val="00CB2E1E"/>
    <w:rsid w:val="00CC05B9"/>
    <w:rsid w:val="00CC2E83"/>
    <w:rsid w:val="00CC3F83"/>
    <w:rsid w:val="00CC57FC"/>
    <w:rsid w:val="00CC712D"/>
    <w:rsid w:val="00CC7DB0"/>
    <w:rsid w:val="00CD5F24"/>
    <w:rsid w:val="00CE0E18"/>
    <w:rsid w:val="00CE193A"/>
    <w:rsid w:val="00CE5ABB"/>
    <w:rsid w:val="00CE6A71"/>
    <w:rsid w:val="00CF6DF0"/>
    <w:rsid w:val="00CF7E28"/>
    <w:rsid w:val="00D02B35"/>
    <w:rsid w:val="00D06255"/>
    <w:rsid w:val="00D15D82"/>
    <w:rsid w:val="00D1705E"/>
    <w:rsid w:val="00D20E97"/>
    <w:rsid w:val="00D25602"/>
    <w:rsid w:val="00D27CF6"/>
    <w:rsid w:val="00D30BD3"/>
    <w:rsid w:val="00D33791"/>
    <w:rsid w:val="00D33BA8"/>
    <w:rsid w:val="00D33C76"/>
    <w:rsid w:val="00D364EB"/>
    <w:rsid w:val="00D36BE8"/>
    <w:rsid w:val="00D40363"/>
    <w:rsid w:val="00D451BC"/>
    <w:rsid w:val="00D51E96"/>
    <w:rsid w:val="00D568BB"/>
    <w:rsid w:val="00D63B9E"/>
    <w:rsid w:val="00D65D90"/>
    <w:rsid w:val="00D66016"/>
    <w:rsid w:val="00D769BA"/>
    <w:rsid w:val="00D8034F"/>
    <w:rsid w:val="00D81755"/>
    <w:rsid w:val="00D8617C"/>
    <w:rsid w:val="00D87D00"/>
    <w:rsid w:val="00D87E22"/>
    <w:rsid w:val="00D94E23"/>
    <w:rsid w:val="00DA1983"/>
    <w:rsid w:val="00DA2F1E"/>
    <w:rsid w:val="00DA315C"/>
    <w:rsid w:val="00DA5831"/>
    <w:rsid w:val="00DB2873"/>
    <w:rsid w:val="00DC4482"/>
    <w:rsid w:val="00DD5028"/>
    <w:rsid w:val="00DE0807"/>
    <w:rsid w:val="00DE6E8E"/>
    <w:rsid w:val="00DF1198"/>
    <w:rsid w:val="00E009CD"/>
    <w:rsid w:val="00E12082"/>
    <w:rsid w:val="00E17870"/>
    <w:rsid w:val="00E21589"/>
    <w:rsid w:val="00E24D9E"/>
    <w:rsid w:val="00E257C8"/>
    <w:rsid w:val="00E26581"/>
    <w:rsid w:val="00E2722E"/>
    <w:rsid w:val="00E31AA7"/>
    <w:rsid w:val="00E3447D"/>
    <w:rsid w:val="00E431CE"/>
    <w:rsid w:val="00E445F8"/>
    <w:rsid w:val="00E503E4"/>
    <w:rsid w:val="00E557D2"/>
    <w:rsid w:val="00E55E02"/>
    <w:rsid w:val="00E571C4"/>
    <w:rsid w:val="00E63B3D"/>
    <w:rsid w:val="00E64479"/>
    <w:rsid w:val="00E67D99"/>
    <w:rsid w:val="00E75556"/>
    <w:rsid w:val="00E75EFA"/>
    <w:rsid w:val="00E76F1F"/>
    <w:rsid w:val="00E80BE2"/>
    <w:rsid w:val="00E8309D"/>
    <w:rsid w:val="00E90A9C"/>
    <w:rsid w:val="00E93036"/>
    <w:rsid w:val="00E95356"/>
    <w:rsid w:val="00E966E5"/>
    <w:rsid w:val="00EA3D96"/>
    <w:rsid w:val="00EA6B69"/>
    <w:rsid w:val="00EA6B7B"/>
    <w:rsid w:val="00EB02DE"/>
    <w:rsid w:val="00EB19ED"/>
    <w:rsid w:val="00EB25E4"/>
    <w:rsid w:val="00EB3D8B"/>
    <w:rsid w:val="00EC08E7"/>
    <w:rsid w:val="00ED1B77"/>
    <w:rsid w:val="00ED5511"/>
    <w:rsid w:val="00ED57D1"/>
    <w:rsid w:val="00EE2837"/>
    <w:rsid w:val="00EF3B7C"/>
    <w:rsid w:val="00EF56FA"/>
    <w:rsid w:val="00EF5D52"/>
    <w:rsid w:val="00EF6216"/>
    <w:rsid w:val="00EF6E42"/>
    <w:rsid w:val="00F0613C"/>
    <w:rsid w:val="00F11244"/>
    <w:rsid w:val="00F1270F"/>
    <w:rsid w:val="00F14A7B"/>
    <w:rsid w:val="00F1658B"/>
    <w:rsid w:val="00F2540D"/>
    <w:rsid w:val="00F26602"/>
    <w:rsid w:val="00F31380"/>
    <w:rsid w:val="00F333BF"/>
    <w:rsid w:val="00F34499"/>
    <w:rsid w:val="00F406E3"/>
    <w:rsid w:val="00F40C82"/>
    <w:rsid w:val="00F42AD5"/>
    <w:rsid w:val="00F5114E"/>
    <w:rsid w:val="00F53B1A"/>
    <w:rsid w:val="00F54568"/>
    <w:rsid w:val="00F55F5D"/>
    <w:rsid w:val="00F57249"/>
    <w:rsid w:val="00F62DE3"/>
    <w:rsid w:val="00F77131"/>
    <w:rsid w:val="00F82A7C"/>
    <w:rsid w:val="00F85D7E"/>
    <w:rsid w:val="00FA155C"/>
    <w:rsid w:val="00FA4C13"/>
    <w:rsid w:val="00FB0F77"/>
    <w:rsid w:val="00FB345F"/>
    <w:rsid w:val="00FB4DA5"/>
    <w:rsid w:val="00FB56E0"/>
    <w:rsid w:val="00FB6FB2"/>
    <w:rsid w:val="00FC1011"/>
    <w:rsid w:val="00FC57A1"/>
    <w:rsid w:val="00FC6D26"/>
    <w:rsid w:val="00FC703D"/>
    <w:rsid w:val="00FC77AA"/>
    <w:rsid w:val="00FD2A60"/>
    <w:rsid w:val="00FD3820"/>
    <w:rsid w:val="00FD3AE6"/>
    <w:rsid w:val="00FE1A63"/>
    <w:rsid w:val="00FE6E6D"/>
    <w:rsid w:val="00FF0DAE"/>
    <w:rsid w:val="00FF3092"/>
    <w:rsid w:val="00FF4B06"/>
    <w:rsid w:val="0BD00F5F"/>
    <w:rsid w:val="430540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A2A7A989-CD6E-491D-BDA3-2ABCE683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qFormat="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Chars="200" w:firstLine="420"/>
    </w:pPr>
  </w:style>
  <w:style w:type="paragraph" w:styleId="a4">
    <w:name w:val="Document Map"/>
    <w:basedOn w:val="a"/>
    <w:semiHidden/>
    <w:qFormat/>
    <w:pPr>
      <w:shd w:val="clear" w:color="auto" w:fill="000080"/>
    </w:pPr>
  </w:style>
  <w:style w:type="paragraph" w:styleId="a5">
    <w:name w:val="Plain Text"/>
    <w:basedOn w:val="a"/>
    <w:link w:val="a6"/>
    <w:uiPriority w:val="99"/>
    <w:qFormat/>
    <w:rPr>
      <w:rFonts w:ascii="宋体" w:hAnsi="Courier New"/>
      <w:szCs w:val="21"/>
    </w:rPr>
  </w:style>
  <w:style w:type="paragraph" w:styleId="a7">
    <w:name w:val="Date"/>
    <w:basedOn w:val="a"/>
    <w:next w:val="a"/>
    <w:link w:val="a8"/>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9">
    <w:name w:val="Balloon Text"/>
    <w:basedOn w:val="a"/>
    <w:link w:val="aa"/>
    <w:qFormat/>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link w:val="ae"/>
    <w:uiPriority w:val="99"/>
    <w:qFormat/>
    <w:pPr>
      <w:pBdr>
        <w:bottom w:val="single" w:sz="6" w:space="1" w:color="auto"/>
      </w:pBdr>
      <w:tabs>
        <w:tab w:val="center" w:pos="4153"/>
        <w:tab w:val="right" w:pos="8306"/>
      </w:tabs>
      <w:snapToGrid w:val="0"/>
      <w:jc w:val="center"/>
    </w:pPr>
    <w:rPr>
      <w:sz w:val="18"/>
      <w:szCs w:val="18"/>
    </w:rPr>
  </w:style>
  <w:style w:type="paragraph" w:styleId="af">
    <w:name w:val="footnote text"/>
    <w:basedOn w:val="a"/>
    <w:link w:val="af0"/>
    <w:qFormat/>
    <w:pPr>
      <w:snapToGrid w:val="0"/>
      <w:jc w:val="left"/>
    </w:pPr>
    <w:rPr>
      <w:sz w:val="18"/>
      <w:szCs w:val="18"/>
    </w:rPr>
  </w:style>
  <w:style w:type="paragraph" w:styleId="3">
    <w:name w:val="Body Text Indent 3"/>
    <w:basedOn w:val="a"/>
    <w:qFormat/>
    <w:pPr>
      <w:spacing w:after="120"/>
      <w:ind w:leftChars="200" w:left="420"/>
    </w:pPr>
    <w:rPr>
      <w:sz w:val="16"/>
      <w:szCs w:val="16"/>
    </w:rPr>
  </w:style>
  <w:style w:type="paragraph" w:styleId="af1">
    <w:name w:val="Normal (Web)"/>
    <w:basedOn w:val="a"/>
    <w:qFormat/>
    <w:pPr>
      <w:widowControl/>
      <w:spacing w:before="100" w:beforeAutospacing="1" w:after="100" w:afterAutospacing="1"/>
    </w:pPr>
    <w:rPr>
      <w:rFonts w:ascii="宋体" w:hAnsi="宋体"/>
      <w:kern w:val="0"/>
      <w:sz w:val="24"/>
      <w:szCs w:val="20"/>
    </w:rPr>
  </w:style>
  <w:style w:type="table" w:styleId="af2">
    <w:name w:val="Table Grid"/>
    <w:basedOn w:val="a2"/>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3">
    <w:name w:val="Strong"/>
    <w:basedOn w:val="a1"/>
    <w:uiPriority w:val="22"/>
    <w:qFormat/>
    <w:rPr>
      <w:b/>
      <w:bCs/>
    </w:rPr>
  </w:style>
  <w:style w:type="character" w:styleId="af4">
    <w:name w:val="footnote reference"/>
    <w:qFormat/>
    <w:rPr>
      <w:vertAlign w:val="superscript"/>
    </w:rPr>
  </w:style>
  <w:style w:type="paragraph" w:customStyle="1" w:styleId="Char">
    <w:name w:val="Char"/>
    <w:basedOn w:val="a"/>
    <w:qFormat/>
  </w:style>
  <w:style w:type="character" w:customStyle="1" w:styleId="a6">
    <w:name w:val="纯文本 字符"/>
    <w:link w:val="a5"/>
    <w:uiPriority w:val="99"/>
    <w:qFormat/>
    <w:rPr>
      <w:rFonts w:ascii="宋体" w:hAnsi="Courier New"/>
      <w:kern w:val="2"/>
      <w:sz w:val="21"/>
      <w:szCs w:val="21"/>
    </w:rPr>
  </w:style>
  <w:style w:type="character" w:customStyle="1" w:styleId="aa">
    <w:name w:val="批注框文本 字符"/>
    <w:basedOn w:val="a1"/>
    <w:link w:val="a9"/>
    <w:qFormat/>
    <w:rPr>
      <w:kern w:val="2"/>
      <w:sz w:val="18"/>
      <w:szCs w:val="18"/>
    </w:rPr>
  </w:style>
  <w:style w:type="paragraph" w:styleId="af5">
    <w:name w:val="List Paragraph"/>
    <w:basedOn w:val="a"/>
    <w:uiPriority w:val="34"/>
    <w:qFormat/>
    <w:pPr>
      <w:ind w:firstLineChars="200" w:firstLine="420"/>
    </w:pPr>
  </w:style>
  <w:style w:type="character" w:customStyle="1" w:styleId="ae">
    <w:name w:val="页眉 字符"/>
    <w:basedOn w:val="a1"/>
    <w:link w:val="ad"/>
    <w:uiPriority w:val="99"/>
    <w:qFormat/>
    <w:rPr>
      <w:kern w:val="2"/>
      <w:sz w:val="18"/>
      <w:szCs w:val="18"/>
    </w:rPr>
  </w:style>
  <w:style w:type="character" w:customStyle="1" w:styleId="10">
    <w:name w:val="标题 1 字符"/>
    <w:basedOn w:val="a1"/>
    <w:link w:val="1"/>
    <w:qFormat/>
    <w:rPr>
      <w:b/>
      <w:bCs/>
      <w:kern w:val="44"/>
      <w:sz w:val="44"/>
      <w:szCs w:val="44"/>
    </w:rPr>
  </w:style>
  <w:style w:type="character" w:customStyle="1" w:styleId="a8">
    <w:name w:val="日期 字符"/>
    <w:basedOn w:val="a1"/>
    <w:link w:val="a7"/>
    <w:qFormat/>
    <w:rPr>
      <w:kern w:val="2"/>
      <w:sz w:val="24"/>
    </w:rPr>
  </w:style>
  <w:style w:type="character" w:customStyle="1" w:styleId="af0">
    <w:name w:val="脚注文本 字符"/>
    <w:basedOn w:val="a1"/>
    <w:link w:val="af"/>
    <w:qFormat/>
    <w:rPr>
      <w:kern w:val="2"/>
      <w:sz w:val="18"/>
      <w:szCs w:val="18"/>
    </w:rPr>
  </w:style>
  <w:style w:type="character" w:customStyle="1" w:styleId="ac">
    <w:name w:val="页脚 字符"/>
    <w:basedOn w:val="a1"/>
    <w:link w:val="ab"/>
    <w:uiPriority w:val="99"/>
    <w:rsid w:val="00A73E8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18</Pages>
  <Words>1396</Words>
  <Characters>7962</Characters>
  <Application>Microsoft Office Word</Application>
  <DocSecurity>0</DocSecurity>
  <Lines>66</Lines>
  <Paragraphs>18</Paragraphs>
  <ScaleCrop>false</ScaleCrop>
  <Company>jysld</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Wentian.Zhou@FA</cp:lastModifiedBy>
  <cp:revision>133</cp:revision>
  <cp:lastPrinted>2009-01-22T10:11:00Z</cp:lastPrinted>
  <dcterms:created xsi:type="dcterms:W3CDTF">2013-12-25T02:47:00Z</dcterms:created>
  <dcterms:modified xsi:type="dcterms:W3CDTF">2023-07-20T06:29:00Z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