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2B45A4" w:rsidRPr="00593AD2"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593AD2"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593AD2"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593AD2" w:rsidRDefault="00B60E27"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hint="eastAsia"/>
          <w:b/>
          <w:color w:val="000000" w:themeColor="text1"/>
          <w:sz w:val="36"/>
          <w:szCs w:val="36"/>
        </w:rPr>
        <w:t>上投摩根天添盈货币市场基金</w:t>
      </w:r>
    </w:p>
    <w:p w:rsidR="00B60E27" w:rsidRPr="00593AD2" w:rsidRDefault="00B60E27"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hint="eastAsia"/>
          <w:b/>
          <w:color w:val="000000" w:themeColor="text1"/>
          <w:sz w:val="36"/>
          <w:szCs w:val="36"/>
        </w:rPr>
        <w:t>2022年第1季度报告</w:t>
      </w:r>
    </w:p>
    <w:p w:rsidR="002B45A4" w:rsidRPr="00593AD2" w:rsidRDefault="00D87D00"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b/>
          <w:color w:val="000000" w:themeColor="text1"/>
          <w:sz w:val="36"/>
          <w:szCs w:val="36"/>
        </w:rPr>
        <w:t>2022年3月31日</w:t>
      </w: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rPr>
          <w:rFonts w:asciiTheme="minorEastAsia" w:eastAsiaTheme="minorEastAsia" w:hAnsiTheme="minorEastAsia"/>
          <w:b/>
          <w:color w:val="000000" w:themeColor="text1"/>
          <w:sz w:val="24"/>
        </w:rPr>
      </w:pPr>
    </w:p>
    <w:p w:rsidR="00F77131" w:rsidRPr="00593AD2" w:rsidRDefault="00F77131" w:rsidP="0002085F">
      <w:pPr>
        <w:spacing w:line="360" w:lineRule="auto"/>
        <w:ind w:firstLineChars="900" w:firstLine="2168"/>
        <w:rPr>
          <w:rFonts w:asciiTheme="minorEastAsia" w:eastAsiaTheme="minorEastAsia" w:hAnsiTheme="minorEastAsia"/>
          <w:b/>
          <w:color w:val="000000" w:themeColor="text1"/>
          <w:sz w:val="24"/>
        </w:rPr>
      </w:pPr>
      <w:r w:rsidRPr="00593AD2">
        <w:rPr>
          <w:rFonts w:asciiTheme="minorEastAsia" w:eastAsiaTheme="minorEastAsia" w:hAnsiTheme="minorEastAsia" w:hint="eastAsia"/>
          <w:b/>
          <w:color w:val="000000" w:themeColor="text1"/>
          <w:sz w:val="24"/>
        </w:rPr>
        <w:t>基金管理人：</w:t>
      </w:r>
      <w:r w:rsidRPr="00593AD2">
        <w:rPr>
          <w:rFonts w:asciiTheme="minorEastAsia" w:eastAsiaTheme="minorEastAsia" w:hAnsiTheme="minorEastAsia"/>
          <w:b/>
          <w:color w:val="000000" w:themeColor="text1"/>
          <w:sz w:val="24"/>
        </w:rPr>
        <w:t>上投摩根基金管理有限公司</w:t>
      </w:r>
    </w:p>
    <w:p w:rsidR="00F77131" w:rsidRPr="00593AD2" w:rsidRDefault="00F77131" w:rsidP="0002085F">
      <w:pPr>
        <w:spacing w:line="360" w:lineRule="auto"/>
        <w:ind w:firstLineChars="900" w:firstLine="2168"/>
        <w:rPr>
          <w:rFonts w:asciiTheme="minorEastAsia" w:eastAsiaTheme="minorEastAsia" w:hAnsiTheme="minorEastAsia"/>
          <w:b/>
          <w:color w:val="000000" w:themeColor="text1"/>
          <w:sz w:val="24"/>
        </w:rPr>
      </w:pPr>
      <w:r w:rsidRPr="00593AD2">
        <w:rPr>
          <w:rFonts w:asciiTheme="minorEastAsia" w:eastAsiaTheme="minorEastAsia" w:hAnsiTheme="minorEastAsia" w:hint="eastAsia"/>
          <w:b/>
          <w:color w:val="000000" w:themeColor="text1"/>
          <w:sz w:val="24"/>
        </w:rPr>
        <w:t>基金托管人：</w:t>
      </w:r>
      <w:r w:rsidRPr="00593AD2">
        <w:rPr>
          <w:rFonts w:asciiTheme="minorEastAsia" w:eastAsiaTheme="minorEastAsia" w:hAnsiTheme="minorEastAsia"/>
          <w:b/>
          <w:color w:val="000000" w:themeColor="text1"/>
          <w:sz w:val="24"/>
        </w:rPr>
        <w:t>中信银行股份有限公司</w:t>
      </w:r>
    </w:p>
    <w:p w:rsidR="00902E3F" w:rsidRPr="00593AD2"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593AD2" w:rsidSect="005633AD">
          <w:headerReference w:type="default" r:id="rId7"/>
          <w:footerReference w:type="default" r:id="rId8"/>
          <w:pgSz w:w="11926" w:h="15840"/>
          <w:pgMar w:top="1418" w:right="1418" w:bottom="851" w:left="1418" w:header="851" w:footer="992" w:gutter="0"/>
          <w:cols w:space="720"/>
          <w:noEndnote/>
        </w:sectPr>
      </w:pPr>
      <w:r w:rsidRPr="00593AD2">
        <w:rPr>
          <w:rFonts w:asciiTheme="minorEastAsia" w:eastAsiaTheme="minorEastAsia" w:hAnsiTheme="minorEastAsia" w:hint="eastAsia"/>
          <w:b/>
          <w:color w:val="000000" w:themeColor="text1"/>
          <w:sz w:val="24"/>
        </w:rPr>
        <w:t>报告送出日期：</w:t>
      </w:r>
      <w:r w:rsidR="00EF56FA" w:rsidRPr="00593AD2">
        <w:rPr>
          <w:rFonts w:asciiTheme="minorEastAsia" w:eastAsiaTheme="minorEastAsia" w:hAnsiTheme="minorEastAsia"/>
          <w:b/>
          <w:color w:val="000000" w:themeColor="text1"/>
          <w:sz w:val="24"/>
        </w:rPr>
        <w:t>二〇二二年四月二十二日</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lastRenderedPageBreak/>
        <w:t>§</w:t>
      </w:r>
      <w:r w:rsidRPr="00593AD2">
        <w:rPr>
          <w:rFonts w:asciiTheme="minorEastAsia" w:eastAsiaTheme="minorEastAsia" w:hAnsiTheme="minorEastAsia" w:cs="Arial"/>
          <w:color w:val="000000" w:themeColor="text1"/>
          <w:kern w:val="0"/>
          <w:sz w:val="24"/>
          <w:szCs w:val="24"/>
        </w:rPr>
        <w:t xml:space="preserve">1  </w:t>
      </w:r>
      <w:r w:rsidRPr="00593AD2">
        <w:rPr>
          <w:rFonts w:asciiTheme="minorEastAsia" w:eastAsiaTheme="minorEastAsia" w:hAnsiTheme="minorEastAsia" w:cs="Arial" w:hint="eastAsia"/>
          <w:color w:val="000000" w:themeColor="text1"/>
          <w:kern w:val="0"/>
          <w:sz w:val="24"/>
          <w:szCs w:val="24"/>
        </w:rPr>
        <w:t>重要提示</w:t>
      </w:r>
    </w:p>
    <w:p w:rsidR="008509A1" w:rsidRDefault="00BE793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基金管理人的董事会及董事保证本报告所载资料不存在虚假记载、误导性陈述或重大遗漏，并对其内容的真实性、准确性和完整性承担个别及连带责任。 </w:t>
      </w:r>
    </w:p>
    <w:p w:rsidR="008509A1" w:rsidRDefault="00BE793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基金托管人中信银行股份有限公司根据本基金合同规定，于2022年4月21日复核了本报告中的财务指标、净值表现和投资组合报告等内容，保证复核内容不存在虚假记载、误导性陈述或者重大遗漏。 </w:t>
      </w:r>
    </w:p>
    <w:p w:rsidR="008509A1" w:rsidRDefault="00BE793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基金管理人承诺以诚实信用、勤勉尽责的原则管理和运用基金资产，但不保证基金一定盈利。 </w:t>
      </w:r>
    </w:p>
    <w:p w:rsidR="008509A1" w:rsidRDefault="00BE793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基金的过往业绩并不代表其未来表现。投资有风险，投资者在作出投资决策前应仔细阅读本基金的招募说明书。 </w:t>
      </w:r>
    </w:p>
    <w:p w:rsidR="008509A1" w:rsidRDefault="00BE793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186667" w:rsidRPr="00593AD2" w:rsidRDefault="00A805BC" w:rsidP="00307062">
      <w:pPr>
        <w:adjustRightInd w:val="0"/>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本报告期自2022年1月1日起至3月31日止。</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2  </w:t>
      </w:r>
      <w:r w:rsidRPr="00593AD2">
        <w:rPr>
          <w:rFonts w:asciiTheme="minorEastAsia" w:eastAsiaTheme="minorEastAsia" w:hAnsiTheme="minorEastAsia" w:cs="Arial" w:hint="eastAsia"/>
          <w:color w:val="000000" w:themeColor="text1"/>
          <w:kern w:val="0"/>
          <w:sz w:val="24"/>
          <w:szCs w:val="24"/>
        </w:rPr>
        <w:t>基金产品概况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300"/>
        <w:gridCol w:w="2300"/>
        <w:gridCol w:w="2301"/>
      </w:tblGrid>
      <w:tr w:rsidR="00593AD2" w:rsidRPr="00593AD2" w:rsidTr="009D19C1">
        <w:trPr>
          <w:jc w:val="center"/>
        </w:trPr>
        <w:tc>
          <w:tcPr>
            <w:tcW w:w="2835" w:type="dxa"/>
          </w:tcPr>
          <w:p w:rsidR="00A805BC" w:rsidRPr="00593AD2" w:rsidRDefault="00A805BC"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基金简称</w:t>
            </w:r>
          </w:p>
        </w:tc>
        <w:tc>
          <w:tcPr>
            <w:tcW w:w="6901" w:type="dxa"/>
            <w:gridSpan w:val="3"/>
          </w:tcPr>
          <w:p w:rsidR="00A805BC" w:rsidRPr="00593AD2" w:rsidRDefault="00A805BC"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上投摩根天添盈货币</w:t>
            </w:r>
          </w:p>
        </w:tc>
      </w:tr>
      <w:tr w:rsidR="00593AD2" w:rsidRPr="00593AD2" w:rsidTr="009D19C1">
        <w:trPr>
          <w:jc w:val="center"/>
        </w:trPr>
        <w:tc>
          <w:tcPr>
            <w:tcW w:w="2835" w:type="dxa"/>
            <w:tcBorders>
              <w:top w:val="single" w:sz="4" w:space="0" w:color="auto"/>
              <w:left w:val="single" w:sz="4" w:space="0" w:color="auto"/>
              <w:bottom w:val="single" w:sz="4" w:space="0" w:color="auto"/>
              <w:right w:val="single" w:sz="4" w:space="0" w:color="auto"/>
            </w:tcBorders>
            <w:hideMark/>
          </w:tcPr>
          <w:p w:rsidR="00D06255" w:rsidRPr="00593AD2" w:rsidRDefault="00D06255"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基金主代码</w:t>
            </w:r>
          </w:p>
        </w:tc>
        <w:tc>
          <w:tcPr>
            <w:tcW w:w="6901" w:type="dxa"/>
            <w:gridSpan w:val="3"/>
            <w:tcBorders>
              <w:top w:val="single" w:sz="4" w:space="0" w:color="auto"/>
              <w:left w:val="single" w:sz="4" w:space="0" w:color="auto"/>
              <w:bottom w:val="single" w:sz="4" w:space="0" w:color="auto"/>
              <w:right w:val="single" w:sz="4" w:space="0" w:color="auto"/>
            </w:tcBorders>
            <w:hideMark/>
          </w:tcPr>
          <w:p w:rsidR="00D06255" w:rsidRPr="00593AD2" w:rsidRDefault="00D06255"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000855</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基金运作方式</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契约型开放式</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基金合同生效日</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2014年11月25日</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报告期末基金份额总额</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6,644,610,463.60</w:t>
            </w:r>
            <w:r w:rsidRPr="00593AD2">
              <w:rPr>
                <w:rFonts w:asciiTheme="minorEastAsia" w:eastAsiaTheme="minorEastAsia" w:hAnsiTheme="minorEastAsia" w:hint="eastAsia"/>
                <w:color w:val="000000" w:themeColor="text1"/>
                <w:kern w:val="0"/>
                <w:sz w:val="24"/>
              </w:rPr>
              <w:t>份</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投资目标</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 xml:space="preserve">在有效控制投资风险和保持较高流动性的前提下，为投资者提供资金的流动性储备，进一步优化现金管理，并力求获得高于业绩比较基准的稳定回报。 </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投资策略</w:t>
            </w:r>
          </w:p>
        </w:tc>
        <w:tc>
          <w:tcPr>
            <w:tcW w:w="6901" w:type="dxa"/>
            <w:gridSpan w:val="3"/>
          </w:tcPr>
          <w:p w:rsidR="008509A1" w:rsidRDefault="00BE793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w:t>
            </w:r>
            <w:r>
              <w:rPr>
                <w:rFonts w:asciiTheme="minorEastAsia" w:eastAsiaTheme="minorEastAsia" w:hAnsiTheme="minorEastAsia"/>
                <w:color w:val="000000" w:themeColor="text1"/>
                <w:kern w:val="0"/>
                <w:sz w:val="24"/>
              </w:rPr>
              <w:lastRenderedPageBreak/>
              <w:t>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其他投资策略：包括收益率曲线策略、流动性管理策略、息差策略、套利策略。</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lastRenderedPageBreak/>
              <w:t>业绩比较基准</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同期七天通知存款利率（税后）</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风险收益特征</w:t>
            </w:r>
          </w:p>
        </w:tc>
        <w:tc>
          <w:tcPr>
            <w:tcW w:w="6901" w:type="dxa"/>
            <w:gridSpan w:val="3"/>
          </w:tcPr>
          <w:p w:rsidR="008509A1" w:rsidRDefault="00BE793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本基金为货币市场基金，是证券投资基金中的低风险品种。本基金的风险和预期收益低于股票型基金、混合型基金和债券型基金。</w:t>
            </w:r>
          </w:p>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基金管理人</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上投摩根基金管理有限公司</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基金托管人</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中信银行股份有限公司</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FF721F">
              <w:rPr>
                <w:rFonts w:asciiTheme="minorEastAsia" w:eastAsiaTheme="minorEastAsia" w:hAnsiTheme="minorEastAsia" w:cs="宋体" w:hint="eastAsia"/>
                <w:color w:val="000000" w:themeColor="text1"/>
                <w:kern w:val="0"/>
                <w:sz w:val="24"/>
              </w:rPr>
              <w:t>下属</w:t>
            </w:r>
            <w:r w:rsidR="00FF721F" w:rsidRPr="00FF721F">
              <w:rPr>
                <w:rFonts w:asciiTheme="minorEastAsia" w:eastAsiaTheme="minorEastAsia" w:hAnsiTheme="minorEastAsia" w:cs="宋体" w:hint="eastAsia"/>
                <w:color w:val="000000" w:themeColor="text1"/>
                <w:kern w:val="0"/>
                <w:sz w:val="24"/>
              </w:rPr>
              <w:t>分</w:t>
            </w:r>
            <w:r w:rsidR="00340456" w:rsidRPr="00FF721F">
              <w:rPr>
                <w:rFonts w:asciiTheme="minorEastAsia" w:eastAsiaTheme="minorEastAsia" w:hAnsiTheme="minorEastAsia" w:cs="宋体" w:hint="eastAsia"/>
                <w:color w:val="000000" w:themeColor="text1"/>
                <w:kern w:val="0"/>
                <w:sz w:val="24"/>
              </w:rPr>
              <w:t>级基金的</w:t>
            </w:r>
            <w:r w:rsidR="00340456" w:rsidRPr="00593AD2">
              <w:rPr>
                <w:rFonts w:asciiTheme="minorEastAsia" w:eastAsiaTheme="minorEastAsia" w:hAnsiTheme="minorEastAsia" w:hint="eastAsia"/>
                <w:color w:val="000000" w:themeColor="text1"/>
                <w:sz w:val="24"/>
              </w:rPr>
              <w:t>基金简称</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上投摩根天添盈货币A类</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上投摩根天添盈货币B类</w:t>
            </w:r>
          </w:p>
        </w:tc>
        <w:tc>
          <w:tcPr>
            <w:tcW w:w="2301" w:type="dxa"/>
            <w:vAlign w:val="center"/>
          </w:tcPr>
          <w:p w:rsidR="00340456" w:rsidRPr="00593AD2" w:rsidRDefault="00340456" w:rsidP="00025C5D">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上投摩根天添盈货币E类</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olor w:val="000000" w:themeColor="text1"/>
                <w:sz w:val="24"/>
              </w:rPr>
            </w:pPr>
            <w:r w:rsidRPr="00FF721F">
              <w:rPr>
                <w:rFonts w:asciiTheme="minorEastAsia" w:eastAsiaTheme="minorEastAsia" w:hAnsiTheme="minorEastAsia" w:cs="宋体" w:hint="eastAsia"/>
                <w:color w:val="000000" w:themeColor="text1"/>
                <w:kern w:val="0"/>
                <w:sz w:val="24"/>
              </w:rPr>
              <w:t>下属</w:t>
            </w:r>
            <w:r w:rsidR="00FF721F" w:rsidRPr="00FF721F">
              <w:rPr>
                <w:rFonts w:asciiTheme="minorEastAsia" w:eastAsiaTheme="minorEastAsia" w:hAnsiTheme="minorEastAsia" w:cs="宋体" w:hint="eastAsia"/>
                <w:color w:val="000000" w:themeColor="text1"/>
                <w:kern w:val="0"/>
                <w:sz w:val="24"/>
              </w:rPr>
              <w:t>分</w:t>
            </w:r>
            <w:r w:rsidR="00340456" w:rsidRPr="00FF721F">
              <w:rPr>
                <w:rFonts w:asciiTheme="minorEastAsia" w:eastAsiaTheme="minorEastAsia" w:hAnsiTheme="minorEastAsia" w:cs="宋体" w:hint="eastAsia"/>
                <w:color w:val="000000" w:themeColor="text1"/>
                <w:kern w:val="0"/>
                <w:sz w:val="24"/>
              </w:rPr>
              <w:t>级基金</w:t>
            </w:r>
            <w:r w:rsidR="00340456" w:rsidRPr="00593AD2">
              <w:rPr>
                <w:rFonts w:asciiTheme="minorEastAsia" w:eastAsiaTheme="minorEastAsia" w:hAnsiTheme="minorEastAsia" w:hint="eastAsia"/>
                <w:color w:val="000000" w:themeColor="text1"/>
                <w:sz w:val="24"/>
              </w:rPr>
              <w:t>的交易代码</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000855</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000856</w:t>
            </w:r>
          </w:p>
        </w:tc>
        <w:tc>
          <w:tcPr>
            <w:tcW w:w="2301" w:type="dxa"/>
            <w:vAlign w:val="center"/>
          </w:tcPr>
          <w:p w:rsidR="00340456" w:rsidRPr="00593AD2" w:rsidRDefault="00340456" w:rsidP="001669F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000857</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w:t>
            </w:r>
            <w:r w:rsidRPr="00FF721F">
              <w:rPr>
                <w:rFonts w:asciiTheme="minorEastAsia" w:eastAsiaTheme="minorEastAsia" w:hAnsiTheme="minorEastAsia" w:cs="宋体" w:hint="eastAsia"/>
                <w:color w:val="000000" w:themeColor="text1"/>
                <w:kern w:val="0"/>
                <w:sz w:val="24"/>
              </w:rPr>
              <w:t>期末下属</w:t>
            </w:r>
            <w:r w:rsidR="00FF721F" w:rsidRPr="00FF721F">
              <w:rPr>
                <w:rFonts w:asciiTheme="minorEastAsia" w:eastAsiaTheme="minorEastAsia" w:hAnsiTheme="minorEastAsia" w:cs="宋体" w:hint="eastAsia"/>
                <w:color w:val="000000" w:themeColor="text1"/>
                <w:kern w:val="0"/>
                <w:sz w:val="24"/>
              </w:rPr>
              <w:t>分</w:t>
            </w:r>
            <w:r w:rsidR="00340456" w:rsidRPr="00593AD2">
              <w:rPr>
                <w:rFonts w:asciiTheme="minorEastAsia" w:eastAsiaTheme="minorEastAsia" w:hAnsiTheme="minorEastAsia" w:hint="eastAsia"/>
                <w:color w:val="000000" w:themeColor="text1"/>
                <w:sz w:val="24"/>
              </w:rPr>
              <w:t>级基金的份额总额</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6,259,014,801.40</w:t>
            </w:r>
            <w:r w:rsidRPr="00593AD2">
              <w:rPr>
                <w:rFonts w:asciiTheme="minorEastAsia" w:eastAsiaTheme="minorEastAsia" w:hAnsiTheme="minorEastAsia" w:hint="eastAsia"/>
                <w:color w:val="000000" w:themeColor="text1"/>
                <w:sz w:val="24"/>
              </w:rPr>
              <w:t>份</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w:t>
            </w:r>
            <w:r w:rsidRPr="00593AD2">
              <w:rPr>
                <w:rFonts w:asciiTheme="minorEastAsia" w:eastAsiaTheme="minorEastAsia" w:hAnsiTheme="minorEastAsia" w:hint="eastAsia"/>
                <w:color w:val="000000" w:themeColor="text1"/>
                <w:sz w:val="24"/>
              </w:rPr>
              <w:t>份</w:t>
            </w:r>
          </w:p>
        </w:tc>
        <w:tc>
          <w:tcPr>
            <w:tcW w:w="2301" w:type="dxa"/>
            <w:vAlign w:val="center"/>
          </w:tcPr>
          <w:p w:rsidR="00340456" w:rsidRPr="00593AD2" w:rsidRDefault="00340456" w:rsidP="00025C5D">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385,595,662.20</w:t>
            </w:r>
            <w:r w:rsidRPr="00593AD2">
              <w:rPr>
                <w:rFonts w:asciiTheme="minorEastAsia" w:eastAsiaTheme="minorEastAsia" w:hAnsiTheme="minorEastAsia" w:hint="eastAsia"/>
                <w:color w:val="000000" w:themeColor="text1"/>
                <w:sz w:val="24"/>
              </w:rPr>
              <w:t>份</w:t>
            </w:r>
          </w:p>
        </w:tc>
      </w:tr>
    </w:tbl>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3  </w:t>
      </w:r>
      <w:r w:rsidRPr="00593AD2">
        <w:rPr>
          <w:rFonts w:asciiTheme="minorEastAsia" w:eastAsiaTheme="minorEastAsia" w:hAnsiTheme="minorEastAsia" w:cs="Arial" w:hint="eastAsia"/>
          <w:color w:val="000000" w:themeColor="text1"/>
          <w:kern w:val="0"/>
          <w:sz w:val="24"/>
          <w:szCs w:val="24"/>
        </w:rPr>
        <w:t>主要财务指标和基金净值表现</w:t>
      </w: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3.1 </w:t>
      </w:r>
      <w:r w:rsidRPr="00593AD2">
        <w:rPr>
          <w:rFonts w:asciiTheme="minorEastAsia" w:eastAsiaTheme="minorEastAsia" w:hAnsiTheme="minorEastAsia" w:cs="Arial" w:hint="eastAsia"/>
          <w:b/>
          <w:color w:val="000000" w:themeColor="text1"/>
          <w:kern w:val="0"/>
          <w:sz w:val="24"/>
        </w:rPr>
        <w:t>主要财务指标</w:t>
      </w:r>
    </w:p>
    <w:p w:rsidR="00902E3F" w:rsidRPr="00593AD2"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单位：人民币元</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2410"/>
        <w:gridCol w:w="1984"/>
        <w:gridCol w:w="1827"/>
      </w:tblGrid>
      <w:tr w:rsidR="00593AD2" w:rsidRPr="00593AD2" w:rsidTr="0033599F">
        <w:trPr>
          <w:jc w:val="center"/>
        </w:trPr>
        <w:tc>
          <w:tcPr>
            <w:tcW w:w="3373" w:type="dxa"/>
            <w:vMerge w:val="restart"/>
            <w:vAlign w:val="center"/>
          </w:tcPr>
          <w:p w:rsidR="00F31380" w:rsidRPr="00593AD2" w:rsidRDefault="00F31380" w:rsidP="00196812">
            <w:pPr>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主要财务指标</w:t>
            </w:r>
          </w:p>
        </w:tc>
        <w:tc>
          <w:tcPr>
            <w:tcW w:w="6221" w:type="dxa"/>
            <w:gridSpan w:val="3"/>
            <w:vAlign w:val="center"/>
          </w:tcPr>
          <w:p w:rsidR="00F31380" w:rsidRPr="00593AD2" w:rsidRDefault="00F31380" w:rsidP="00196812">
            <w:pPr>
              <w:adjustRightInd w:val="0"/>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报告期(</w:t>
            </w:r>
            <w:r w:rsidRPr="00593AD2">
              <w:rPr>
                <w:rFonts w:asciiTheme="minorEastAsia" w:eastAsiaTheme="minorEastAsia" w:hAnsiTheme="minorEastAsia" w:cs="宋体"/>
                <w:color w:val="000000" w:themeColor="text1"/>
                <w:sz w:val="24"/>
              </w:rPr>
              <w:t>2022年1月1日-2022年3月31日</w:t>
            </w:r>
            <w:r w:rsidRPr="00593AD2">
              <w:rPr>
                <w:rFonts w:asciiTheme="minorEastAsia" w:eastAsiaTheme="minorEastAsia" w:hAnsiTheme="minorEastAsia" w:cs="宋体" w:hint="eastAsia"/>
                <w:color w:val="000000" w:themeColor="text1"/>
                <w:sz w:val="24"/>
              </w:rPr>
              <w:t>)</w:t>
            </w:r>
          </w:p>
        </w:tc>
      </w:tr>
      <w:tr w:rsidR="00593AD2" w:rsidRPr="00593AD2" w:rsidTr="00D20E97">
        <w:trPr>
          <w:jc w:val="center"/>
        </w:trPr>
        <w:tc>
          <w:tcPr>
            <w:tcW w:w="3373" w:type="dxa"/>
            <w:vMerge/>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kern w:val="0"/>
                <w:sz w:val="24"/>
              </w:rPr>
            </w:pPr>
          </w:p>
        </w:tc>
        <w:tc>
          <w:tcPr>
            <w:tcW w:w="2410" w:type="dxa"/>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上投摩根天添盈货币A类</w:t>
            </w:r>
          </w:p>
        </w:tc>
        <w:tc>
          <w:tcPr>
            <w:tcW w:w="1984" w:type="dxa"/>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上投摩根天添盈货币B类</w:t>
            </w:r>
          </w:p>
        </w:tc>
        <w:tc>
          <w:tcPr>
            <w:tcW w:w="1827" w:type="dxa"/>
            <w:vAlign w:val="center"/>
          </w:tcPr>
          <w:p w:rsidR="00025C5D" w:rsidRPr="00593AD2" w:rsidRDefault="00025C5D" w:rsidP="00025C5D">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上投摩根天添盈货币E类</w:t>
            </w:r>
          </w:p>
        </w:tc>
      </w:tr>
      <w:tr w:rsidR="00593AD2" w:rsidRPr="00593AD2" w:rsidTr="00D20E97">
        <w:trPr>
          <w:trHeight w:val="840"/>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color w:val="000000" w:themeColor="text1"/>
                <w:kern w:val="0"/>
                <w:sz w:val="24"/>
              </w:rPr>
              <w:t>1.</w:t>
            </w:r>
            <w:r w:rsidRPr="00593AD2">
              <w:rPr>
                <w:rFonts w:asciiTheme="minorEastAsia" w:eastAsiaTheme="minorEastAsia" w:hAnsiTheme="minorEastAsia" w:cs="宋体" w:hint="eastAsia"/>
                <w:color w:val="000000" w:themeColor="text1"/>
                <w:kern w:val="0"/>
                <w:sz w:val="24"/>
              </w:rPr>
              <w:t>本期已实现收益</w:t>
            </w:r>
          </w:p>
        </w:tc>
        <w:tc>
          <w:tcPr>
            <w:tcW w:w="2410"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31,915,607.36</w:t>
            </w:r>
          </w:p>
        </w:tc>
        <w:tc>
          <w:tcPr>
            <w:tcW w:w="1984"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1827" w:type="dxa"/>
            <w:vAlign w:val="bottom"/>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2,053,886.17</w:t>
            </w:r>
          </w:p>
        </w:tc>
      </w:tr>
      <w:tr w:rsidR="00593AD2" w:rsidRPr="00593AD2" w:rsidTr="00D20E97">
        <w:trPr>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color w:val="000000" w:themeColor="text1"/>
                <w:kern w:val="0"/>
                <w:sz w:val="24"/>
              </w:rPr>
              <w:t>2.</w:t>
            </w:r>
            <w:r w:rsidRPr="00593AD2">
              <w:rPr>
                <w:rFonts w:asciiTheme="minorEastAsia" w:eastAsiaTheme="minorEastAsia" w:hAnsiTheme="minorEastAsia" w:cs="宋体" w:hint="eastAsia"/>
                <w:color w:val="000000" w:themeColor="text1"/>
                <w:kern w:val="0"/>
                <w:sz w:val="24"/>
              </w:rPr>
              <w:t>本期利润</w:t>
            </w:r>
          </w:p>
        </w:tc>
        <w:tc>
          <w:tcPr>
            <w:tcW w:w="2410"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31,915,607.36</w:t>
            </w:r>
          </w:p>
        </w:tc>
        <w:tc>
          <w:tcPr>
            <w:tcW w:w="1984"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1827" w:type="dxa"/>
            <w:vAlign w:val="bottom"/>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2,053,886.17</w:t>
            </w:r>
          </w:p>
        </w:tc>
      </w:tr>
      <w:tr w:rsidR="00593AD2" w:rsidRPr="00593AD2" w:rsidTr="00D20E97">
        <w:trPr>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hint="eastAsia"/>
                <w:color w:val="000000" w:themeColor="text1"/>
                <w:kern w:val="0"/>
                <w:sz w:val="24"/>
              </w:rPr>
              <w:t>3</w:t>
            </w:r>
            <w:r w:rsidRPr="00593AD2">
              <w:rPr>
                <w:rFonts w:asciiTheme="minorEastAsia" w:eastAsiaTheme="minorEastAsia" w:hAnsiTheme="minorEastAsia" w:cs="方正仿宋简体"/>
                <w:color w:val="000000" w:themeColor="text1"/>
                <w:kern w:val="0"/>
                <w:sz w:val="24"/>
              </w:rPr>
              <w:t>.</w:t>
            </w:r>
            <w:r w:rsidRPr="00593AD2">
              <w:rPr>
                <w:rFonts w:asciiTheme="minorEastAsia" w:eastAsiaTheme="minorEastAsia" w:hAnsiTheme="minorEastAsia" w:cs="宋体" w:hint="eastAsia"/>
                <w:color w:val="000000" w:themeColor="text1"/>
                <w:kern w:val="0"/>
                <w:sz w:val="24"/>
              </w:rPr>
              <w:t>期末基金资产净值</w:t>
            </w:r>
          </w:p>
        </w:tc>
        <w:tc>
          <w:tcPr>
            <w:tcW w:w="2410" w:type="dxa"/>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6,259,014,801.40</w:t>
            </w:r>
          </w:p>
        </w:tc>
        <w:tc>
          <w:tcPr>
            <w:tcW w:w="1984" w:type="dxa"/>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1827" w:type="dxa"/>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385,595,662.20</w:t>
            </w:r>
          </w:p>
        </w:tc>
      </w:tr>
    </w:tbl>
    <w:p w:rsidR="008509A1" w:rsidRDefault="00BE793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593AD2" w:rsidRDefault="00893021"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上述基金业绩指标不包括交易基金的各项费用（例如基金转换费等），计入费用后实际收益水平要低于所列数字。</w:t>
      </w:r>
    </w:p>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3.2 </w:t>
      </w:r>
      <w:r w:rsidRPr="00593AD2">
        <w:rPr>
          <w:rFonts w:asciiTheme="minorEastAsia" w:eastAsiaTheme="minorEastAsia" w:hAnsiTheme="minorEastAsia" w:cs="Arial" w:hint="eastAsia"/>
          <w:b/>
          <w:color w:val="000000" w:themeColor="text1"/>
          <w:kern w:val="0"/>
          <w:sz w:val="24"/>
        </w:rPr>
        <w:t>基金净值表现</w:t>
      </w: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3.2.1 </w:t>
      </w:r>
      <w:r w:rsidRPr="00593AD2">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593AD2" w:rsidRDefault="00186667" w:rsidP="009A75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1</w:t>
      </w:r>
      <w:r w:rsidR="00570F8C" w:rsidRPr="00593AD2">
        <w:rPr>
          <w:rFonts w:asciiTheme="minorEastAsia" w:eastAsiaTheme="minorEastAsia" w:hAnsiTheme="minorEastAsia" w:hint="eastAsia"/>
          <w:b/>
          <w:color w:val="000000" w:themeColor="text1"/>
        </w:rPr>
        <w:t>、</w:t>
      </w:r>
      <w:r w:rsidR="0024424F" w:rsidRPr="00593AD2">
        <w:rPr>
          <w:rFonts w:asciiTheme="minorEastAsia" w:eastAsiaTheme="minorEastAsia" w:hAnsiTheme="minorEastAsia" w:hint="eastAsia"/>
          <w:b/>
          <w:color w:val="000000" w:themeColor="text1"/>
        </w:rPr>
        <w:t>上投摩根天添盈货币A类:</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636B17">
        <w:tc>
          <w:tcPr>
            <w:tcW w:w="1328"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净值收益率标准差②</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业绩比较基准收益率③</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①-③</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过去三个月</w:t>
            </w:r>
          </w:p>
        </w:tc>
        <w:tc>
          <w:tcPr>
            <w:tcW w:w="1329" w:type="dxa"/>
            <w:vAlign w:val="center"/>
          </w:tcPr>
          <w:p w:rsidR="008509A1" w:rsidRDefault="00BE7933">
            <w:pPr>
              <w:jc w:val="center"/>
            </w:pPr>
            <w:r>
              <w:rPr>
                <w:rFonts w:asciiTheme="minorEastAsia" w:eastAsiaTheme="minorEastAsia" w:hAnsiTheme="minorEastAsia"/>
                <w:color w:val="000000" w:themeColor="text1"/>
              </w:rPr>
              <w:t>0.4853%</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c>
          <w:tcPr>
            <w:tcW w:w="1329" w:type="dxa"/>
            <w:vAlign w:val="center"/>
          </w:tcPr>
          <w:p w:rsidR="008509A1" w:rsidRDefault="00BE7933">
            <w:pPr>
              <w:jc w:val="center"/>
            </w:pPr>
            <w:r>
              <w:rPr>
                <w:rFonts w:asciiTheme="minorEastAsia" w:eastAsiaTheme="minorEastAsia" w:hAnsiTheme="minorEastAsia"/>
                <w:color w:val="000000" w:themeColor="text1"/>
              </w:rPr>
              <w:t>0.3329%</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0.1524%</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过去六个月</w:t>
            </w:r>
          </w:p>
        </w:tc>
        <w:tc>
          <w:tcPr>
            <w:tcW w:w="1329" w:type="dxa"/>
            <w:vAlign w:val="center"/>
          </w:tcPr>
          <w:p w:rsidR="008509A1" w:rsidRDefault="00BE7933">
            <w:pPr>
              <w:jc w:val="center"/>
            </w:pPr>
            <w:r>
              <w:rPr>
                <w:rFonts w:asciiTheme="minorEastAsia" w:eastAsiaTheme="minorEastAsia" w:hAnsiTheme="minorEastAsia"/>
                <w:color w:val="000000" w:themeColor="text1"/>
              </w:rPr>
              <w:t>1.0014%</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c>
          <w:tcPr>
            <w:tcW w:w="1329" w:type="dxa"/>
            <w:vAlign w:val="center"/>
          </w:tcPr>
          <w:p w:rsidR="008509A1" w:rsidRDefault="00BE7933">
            <w:pPr>
              <w:jc w:val="center"/>
            </w:pPr>
            <w:r>
              <w:rPr>
                <w:rFonts w:asciiTheme="minorEastAsia" w:eastAsiaTheme="minorEastAsia" w:hAnsiTheme="minorEastAsia"/>
                <w:color w:val="000000" w:themeColor="text1"/>
              </w:rPr>
              <w:t>0.6732%</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0.3282%</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过去一年</w:t>
            </w:r>
          </w:p>
        </w:tc>
        <w:tc>
          <w:tcPr>
            <w:tcW w:w="1329" w:type="dxa"/>
            <w:vAlign w:val="center"/>
          </w:tcPr>
          <w:p w:rsidR="008509A1" w:rsidRDefault="00BE7933">
            <w:pPr>
              <w:jc w:val="center"/>
            </w:pPr>
            <w:r>
              <w:rPr>
                <w:rFonts w:asciiTheme="minorEastAsia" w:eastAsiaTheme="minorEastAsia" w:hAnsiTheme="minorEastAsia"/>
                <w:color w:val="000000" w:themeColor="text1"/>
              </w:rPr>
              <w:t>2.0901%</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c>
          <w:tcPr>
            <w:tcW w:w="1329" w:type="dxa"/>
            <w:vAlign w:val="center"/>
          </w:tcPr>
          <w:p w:rsidR="008509A1" w:rsidRDefault="00BE7933">
            <w:pPr>
              <w:jc w:val="center"/>
            </w:pPr>
            <w:r>
              <w:rPr>
                <w:rFonts w:asciiTheme="minorEastAsia" w:eastAsiaTheme="minorEastAsia" w:hAnsiTheme="minorEastAsia"/>
                <w:color w:val="000000" w:themeColor="text1"/>
              </w:rPr>
              <w:t>1.3500%</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0.7401%</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过去三年</w:t>
            </w:r>
          </w:p>
        </w:tc>
        <w:tc>
          <w:tcPr>
            <w:tcW w:w="1329" w:type="dxa"/>
            <w:vAlign w:val="center"/>
          </w:tcPr>
          <w:p w:rsidR="008509A1" w:rsidRDefault="00BE7933">
            <w:pPr>
              <w:jc w:val="center"/>
            </w:pPr>
            <w:r>
              <w:rPr>
                <w:rFonts w:asciiTheme="minorEastAsia" w:eastAsiaTheme="minorEastAsia" w:hAnsiTheme="minorEastAsia"/>
                <w:color w:val="000000" w:themeColor="text1"/>
              </w:rPr>
              <w:t>6.4325%</w:t>
            </w:r>
          </w:p>
        </w:tc>
        <w:tc>
          <w:tcPr>
            <w:tcW w:w="1329" w:type="dxa"/>
            <w:vAlign w:val="center"/>
          </w:tcPr>
          <w:p w:rsidR="008509A1" w:rsidRDefault="00BE7933">
            <w:pPr>
              <w:jc w:val="center"/>
            </w:pPr>
            <w:r>
              <w:rPr>
                <w:rFonts w:asciiTheme="minorEastAsia" w:eastAsiaTheme="minorEastAsia" w:hAnsiTheme="minorEastAsia"/>
                <w:color w:val="000000" w:themeColor="text1"/>
              </w:rPr>
              <w:t>0.0009%</w:t>
            </w:r>
          </w:p>
        </w:tc>
        <w:tc>
          <w:tcPr>
            <w:tcW w:w="1329" w:type="dxa"/>
            <w:vAlign w:val="center"/>
          </w:tcPr>
          <w:p w:rsidR="008509A1" w:rsidRDefault="00BE7933">
            <w:pPr>
              <w:jc w:val="center"/>
            </w:pPr>
            <w:r>
              <w:rPr>
                <w:rFonts w:asciiTheme="minorEastAsia" w:eastAsiaTheme="minorEastAsia" w:hAnsiTheme="minorEastAsia"/>
                <w:color w:val="000000" w:themeColor="text1"/>
              </w:rPr>
              <w:t>4.0537%</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2.3788%</w:t>
            </w:r>
          </w:p>
        </w:tc>
        <w:tc>
          <w:tcPr>
            <w:tcW w:w="1329" w:type="dxa"/>
            <w:vAlign w:val="center"/>
          </w:tcPr>
          <w:p w:rsidR="008509A1" w:rsidRDefault="00BE7933">
            <w:pPr>
              <w:jc w:val="center"/>
            </w:pPr>
            <w:r>
              <w:rPr>
                <w:rFonts w:asciiTheme="minorEastAsia" w:eastAsiaTheme="minorEastAsia" w:hAnsiTheme="minorEastAsia"/>
                <w:color w:val="000000" w:themeColor="text1"/>
              </w:rPr>
              <w:t>0.0009%</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过去五年</w:t>
            </w:r>
          </w:p>
        </w:tc>
        <w:tc>
          <w:tcPr>
            <w:tcW w:w="1329" w:type="dxa"/>
            <w:vAlign w:val="center"/>
          </w:tcPr>
          <w:p w:rsidR="008509A1" w:rsidRDefault="00BE7933">
            <w:pPr>
              <w:jc w:val="center"/>
            </w:pPr>
            <w:r>
              <w:rPr>
                <w:rFonts w:asciiTheme="minorEastAsia" w:eastAsiaTheme="minorEastAsia" w:hAnsiTheme="minorEastAsia"/>
                <w:color w:val="000000" w:themeColor="text1"/>
              </w:rPr>
              <w:t>13.4861%</w:t>
            </w:r>
          </w:p>
        </w:tc>
        <w:tc>
          <w:tcPr>
            <w:tcW w:w="1329" w:type="dxa"/>
            <w:vAlign w:val="center"/>
          </w:tcPr>
          <w:p w:rsidR="008509A1" w:rsidRDefault="00BE7933">
            <w:pPr>
              <w:jc w:val="center"/>
            </w:pPr>
            <w:r>
              <w:rPr>
                <w:rFonts w:asciiTheme="minorEastAsia" w:eastAsiaTheme="minorEastAsia" w:hAnsiTheme="minorEastAsia"/>
                <w:color w:val="000000" w:themeColor="text1"/>
              </w:rPr>
              <w:t>0.0020%</w:t>
            </w:r>
          </w:p>
        </w:tc>
        <w:tc>
          <w:tcPr>
            <w:tcW w:w="1329" w:type="dxa"/>
            <w:vAlign w:val="center"/>
          </w:tcPr>
          <w:p w:rsidR="008509A1" w:rsidRDefault="00BE7933">
            <w:pPr>
              <w:jc w:val="center"/>
            </w:pPr>
            <w:r>
              <w:rPr>
                <w:rFonts w:asciiTheme="minorEastAsia" w:eastAsiaTheme="minorEastAsia" w:hAnsiTheme="minorEastAsia"/>
                <w:color w:val="000000" w:themeColor="text1"/>
              </w:rPr>
              <w:t>6.7537%</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6.7324%</w:t>
            </w:r>
          </w:p>
        </w:tc>
        <w:tc>
          <w:tcPr>
            <w:tcW w:w="1329" w:type="dxa"/>
            <w:vAlign w:val="center"/>
          </w:tcPr>
          <w:p w:rsidR="008509A1" w:rsidRDefault="00BE7933">
            <w:pPr>
              <w:jc w:val="center"/>
            </w:pPr>
            <w:r>
              <w:rPr>
                <w:rFonts w:asciiTheme="minorEastAsia" w:eastAsiaTheme="minorEastAsia" w:hAnsiTheme="minorEastAsia"/>
                <w:color w:val="000000" w:themeColor="text1"/>
              </w:rPr>
              <w:t>0.0020%</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自基金合同生效起至今</w:t>
            </w:r>
          </w:p>
        </w:tc>
        <w:tc>
          <w:tcPr>
            <w:tcW w:w="1329" w:type="dxa"/>
            <w:vAlign w:val="center"/>
          </w:tcPr>
          <w:p w:rsidR="008509A1" w:rsidRDefault="00BE7933">
            <w:pPr>
              <w:jc w:val="center"/>
            </w:pPr>
            <w:r>
              <w:rPr>
                <w:rFonts w:asciiTheme="minorEastAsia" w:eastAsiaTheme="minorEastAsia" w:hAnsiTheme="minorEastAsia"/>
                <w:color w:val="000000" w:themeColor="text1"/>
              </w:rPr>
              <w:t>20.3125%</w:t>
            </w:r>
          </w:p>
        </w:tc>
        <w:tc>
          <w:tcPr>
            <w:tcW w:w="1329" w:type="dxa"/>
            <w:vAlign w:val="center"/>
          </w:tcPr>
          <w:p w:rsidR="008509A1" w:rsidRDefault="00BE7933">
            <w:pPr>
              <w:jc w:val="center"/>
            </w:pPr>
            <w:r>
              <w:rPr>
                <w:rFonts w:asciiTheme="minorEastAsia" w:eastAsiaTheme="minorEastAsia" w:hAnsiTheme="minorEastAsia"/>
                <w:color w:val="000000" w:themeColor="text1"/>
              </w:rPr>
              <w:t>0.0023%</w:t>
            </w:r>
          </w:p>
        </w:tc>
        <w:tc>
          <w:tcPr>
            <w:tcW w:w="1329" w:type="dxa"/>
            <w:vAlign w:val="center"/>
          </w:tcPr>
          <w:p w:rsidR="008509A1" w:rsidRDefault="00BE7933">
            <w:pPr>
              <w:jc w:val="center"/>
            </w:pPr>
            <w:r>
              <w:rPr>
                <w:rFonts w:asciiTheme="minorEastAsia" w:eastAsiaTheme="minorEastAsia" w:hAnsiTheme="minorEastAsia"/>
                <w:color w:val="000000" w:themeColor="text1"/>
              </w:rPr>
              <w:t>9.9271%</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10.3854%</w:t>
            </w:r>
          </w:p>
        </w:tc>
        <w:tc>
          <w:tcPr>
            <w:tcW w:w="1329" w:type="dxa"/>
            <w:vAlign w:val="center"/>
          </w:tcPr>
          <w:p w:rsidR="008509A1" w:rsidRDefault="00BE7933">
            <w:pPr>
              <w:jc w:val="center"/>
            </w:pPr>
            <w:r>
              <w:rPr>
                <w:rFonts w:asciiTheme="minorEastAsia" w:eastAsiaTheme="minorEastAsia" w:hAnsiTheme="minorEastAsia"/>
                <w:color w:val="000000" w:themeColor="text1"/>
              </w:rPr>
              <w:t>0.0023%</w:t>
            </w:r>
          </w:p>
        </w:tc>
      </w:tr>
    </w:tbl>
    <w:p w:rsidR="00186667" w:rsidRPr="00593AD2"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593AD2" w:rsidRDefault="00186667" w:rsidP="009A75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2</w:t>
      </w:r>
      <w:r w:rsidR="00570F8C" w:rsidRPr="00593AD2">
        <w:rPr>
          <w:rFonts w:asciiTheme="minorEastAsia" w:eastAsiaTheme="minorEastAsia" w:hAnsiTheme="minorEastAsia" w:hint="eastAsia"/>
          <w:b/>
          <w:color w:val="000000" w:themeColor="text1"/>
        </w:rPr>
        <w:t>、</w:t>
      </w:r>
      <w:r w:rsidR="000B2044" w:rsidRPr="00593AD2">
        <w:rPr>
          <w:rFonts w:asciiTheme="minorEastAsia" w:eastAsiaTheme="minorEastAsia" w:hAnsiTheme="minorEastAsia" w:hint="eastAsia"/>
          <w:b/>
          <w:color w:val="000000" w:themeColor="text1"/>
        </w:rPr>
        <w:t>上投摩根天添盈货币B类：</w:t>
      </w:r>
    </w:p>
    <w:p w:rsidR="000B2044" w:rsidRPr="00593AD2" w:rsidRDefault="000B2044"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自2018年6月22日起，本基金B类基金份额为零且停止计算B类基金份额每万份收益。</w:t>
      </w:r>
    </w:p>
    <w:p w:rsidR="00025C5D" w:rsidRPr="00593AD2" w:rsidRDefault="00025C5D" w:rsidP="004527E3">
      <w:pPr>
        <w:autoSpaceDE w:val="0"/>
        <w:autoSpaceDN w:val="0"/>
        <w:adjustRightInd w:val="0"/>
        <w:spacing w:line="360" w:lineRule="auto"/>
        <w:jc w:val="left"/>
        <w:rPr>
          <w:rFonts w:asciiTheme="minorEastAsia" w:eastAsiaTheme="minorEastAsia" w:hAnsiTheme="minorEastAsia"/>
          <w:color w:val="000000" w:themeColor="text1"/>
          <w:sz w:val="24"/>
        </w:rPr>
      </w:pPr>
    </w:p>
    <w:p w:rsidR="00025C5D" w:rsidRPr="00593AD2" w:rsidRDefault="00025C5D" w:rsidP="00025C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3、上投摩根天添盈货币E类：</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025C5D">
        <w:tc>
          <w:tcPr>
            <w:tcW w:w="1328"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净值收益率标准差②</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业绩比较基准收益率③</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①-③</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过去三个月</w:t>
            </w:r>
          </w:p>
        </w:tc>
        <w:tc>
          <w:tcPr>
            <w:tcW w:w="1329" w:type="dxa"/>
            <w:vAlign w:val="center"/>
          </w:tcPr>
          <w:p w:rsidR="008509A1" w:rsidRDefault="00BE7933">
            <w:pPr>
              <w:jc w:val="center"/>
            </w:pPr>
            <w:r>
              <w:rPr>
                <w:rFonts w:asciiTheme="minorEastAsia" w:eastAsiaTheme="minorEastAsia" w:hAnsiTheme="minorEastAsia"/>
                <w:color w:val="000000" w:themeColor="text1"/>
              </w:rPr>
              <w:t>0.5448%</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c>
          <w:tcPr>
            <w:tcW w:w="1329" w:type="dxa"/>
            <w:vAlign w:val="center"/>
          </w:tcPr>
          <w:p w:rsidR="008509A1" w:rsidRDefault="00BE7933">
            <w:pPr>
              <w:jc w:val="center"/>
            </w:pPr>
            <w:r>
              <w:rPr>
                <w:rFonts w:asciiTheme="minorEastAsia" w:eastAsiaTheme="minorEastAsia" w:hAnsiTheme="minorEastAsia"/>
                <w:color w:val="000000" w:themeColor="text1"/>
              </w:rPr>
              <w:t>0.3329%</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0.2119%</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过去六个月</w:t>
            </w:r>
          </w:p>
        </w:tc>
        <w:tc>
          <w:tcPr>
            <w:tcW w:w="1329" w:type="dxa"/>
            <w:vAlign w:val="center"/>
          </w:tcPr>
          <w:p w:rsidR="008509A1" w:rsidRDefault="00BE7933">
            <w:pPr>
              <w:jc w:val="center"/>
            </w:pPr>
            <w:r>
              <w:rPr>
                <w:rFonts w:asciiTheme="minorEastAsia" w:eastAsiaTheme="minorEastAsia" w:hAnsiTheme="minorEastAsia"/>
                <w:color w:val="000000" w:themeColor="text1"/>
              </w:rPr>
              <w:t>1.1130%</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c>
          <w:tcPr>
            <w:tcW w:w="1329" w:type="dxa"/>
            <w:vAlign w:val="center"/>
          </w:tcPr>
          <w:p w:rsidR="008509A1" w:rsidRDefault="00BE7933">
            <w:pPr>
              <w:jc w:val="center"/>
            </w:pPr>
            <w:r>
              <w:rPr>
                <w:rFonts w:asciiTheme="minorEastAsia" w:eastAsiaTheme="minorEastAsia" w:hAnsiTheme="minorEastAsia"/>
                <w:color w:val="000000" w:themeColor="text1"/>
              </w:rPr>
              <w:t>0.6732%</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0.4398%</w:t>
            </w:r>
          </w:p>
        </w:tc>
        <w:tc>
          <w:tcPr>
            <w:tcW w:w="1329" w:type="dxa"/>
            <w:vAlign w:val="center"/>
          </w:tcPr>
          <w:p w:rsidR="008509A1" w:rsidRDefault="00BE7933">
            <w:pPr>
              <w:jc w:val="center"/>
            </w:pPr>
            <w:r>
              <w:rPr>
                <w:rFonts w:asciiTheme="minorEastAsia" w:eastAsiaTheme="minorEastAsia" w:hAnsiTheme="minorEastAsia"/>
                <w:color w:val="000000" w:themeColor="text1"/>
              </w:rPr>
              <w:t>0.0006%</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过去一年</w:t>
            </w:r>
          </w:p>
        </w:tc>
        <w:tc>
          <w:tcPr>
            <w:tcW w:w="1329" w:type="dxa"/>
            <w:vAlign w:val="center"/>
          </w:tcPr>
          <w:p w:rsidR="008509A1" w:rsidRDefault="00BE7933">
            <w:pPr>
              <w:jc w:val="center"/>
            </w:pPr>
            <w:r>
              <w:rPr>
                <w:rFonts w:asciiTheme="minorEastAsia" w:eastAsiaTheme="minorEastAsia" w:hAnsiTheme="minorEastAsia"/>
                <w:color w:val="000000" w:themeColor="text1"/>
              </w:rPr>
              <w:t>2.2799%</w:t>
            </w:r>
          </w:p>
        </w:tc>
        <w:tc>
          <w:tcPr>
            <w:tcW w:w="1329" w:type="dxa"/>
            <w:vAlign w:val="center"/>
          </w:tcPr>
          <w:p w:rsidR="008509A1" w:rsidRDefault="00BE7933">
            <w:pPr>
              <w:jc w:val="center"/>
            </w:pPr>
            <w:r>
              <w:rPr>
                <w:rFonts w:asciiTheme="minorEastAsia" w:eastAsiaTheme="minorEastAsia" w:hAnsiTheme="minorEastAsia"/>
                <w:color w:val="000000" w:themeColor="text1"/>
              </w:rPr>
              <w:t>0.0005%</w:t>
            </w:r>
          </w:p>
        </w:tc>
        <w:tc>
          <w:tcPr>
            <w:tcW w:w="1329" w:type="dxa"/>
            <w:vAlign w:val="center"/>
          </w:tcPr>
          <w:p w:rsidR="008509A1" w:rsidRDefault="00BE7933">
            <w:pPr>
              <w:jc w:val="center"/>
            </w:pPr>
            <w:r>
              <w:rPr>
                <w:rFonts w:asciiTheme="minorEastAsia" w:eastAsiaTheme="minorEastAsia" w:hAnsiTheme="minorEastAsia"/>
                <w:color w:val="000000" w:themeColor="text1"/>
              </w:rPr>
              <w:t>1.3500%</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0.9299%</w:t>
            </w:r>
          </w:p>
        </w:tc>
        <w:tc>
          <w:tcPr>
            <w:tcW w:w="1329" w:type="dxa"/>
            <w:vAlign w:val="center"/>
          </w:tcPr>
          <w:p w:rsidR="008509A1" w:rsidRDefault="00BE7933">
            <w:pPr>
              <w:jc w:val="center"/>
            </w:pPr>
            <w:r>
              <w:rPr>
                <w:rFonts w:asciiTheme="minorEastAsia" w:eastAsiaTheme="minorEastAsia" w:hAnsiTheme="minorEastAsia"/>
                <w:color w:val="000000" w:themeColor="text1"/>
              </w:rPr>
              <w:t>0.0005%</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过去三年</w:t>
            </w:r>
          </w:p>
        </w:tc>
        <w:tc>
          <w:tcPr>
            <w:tcW w:w="1329" w:type="dxa"/>
            <w:vAlign w:val="center"/>
          </w:tcPr>
          <w:p w:rsidR="008509A1" w:rsidRDefault="00BE7933">
            <w:pPr>
              <w:jc w:val="center"/>
            </w:pPr>
            <w:r>
              <w:rPr>
                <w:rFonts w:asciiTheme="minorEastAsia" w:eastAsiaTheme="minorEastAsia" w:hAnsiTheme="minorEastAsia"/>
                <w:color w:val="000000" w:themeColor="text1"/>
              </w:rPr>
              <w:t>6.9508%</w:t>
            </w:r>
          </w:p>
        </w:tc>
        <w:tc>
          <w:tcPr>
            <w:tcW w:w="1329" w:type="dxa"/>
            <w:vAlign w:val="center"/>
          </w:tcPr>
          <w:p w:rsidR="008509A1" w:rsidRDefault="00BE7933">
            <w:pPr>
              <w:jc w:val="center"/>
            </w:pPr>
            <w:r>
              <w:rPr>
                <w:rFonts w:asciiTheme="minorEastAsia" w:eastAsiaTheme="minorEastAsia" w:hAnsiTheme="minorEastAsia"/>
                <w:color w:val="000000" w:themeColor="text1"/>
              </w:rPr>
              <w:t>0.0009%</w:t>
            </w:r>
          </w:p>
        </w:tc>
        <w:tc>
          <w:tcPr>
            <w:tcW w:w="1329" w:type="dxa"/>
            <w:vAlign w:val="center"/>
          </w:tcPr>
          <w:p w:rsidR="008509A1" w:rsidRDefault="00BE7933">
            <w:pPr>
              <w:jc w:val="center"/>
            </w:pPr>
            <w:r>
              <w:rPr>
                <w:rFonts w:asciiTheme="minorEastAsia" w:eastAsiaTheme="minorEastAsia" w:hAnsiTheme="minorEastAsia"/>
                <w:color w:val="000000" w:themeColor="text1"/>
              </w:rPr>
              <w:t>4.0537%</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2.8971%</w:t>
            </w:r>
          </w:p>
        </w:tc>
        <w:tc>
          <w:tcPr>
            <w:tcW w:w="1329" w:type="dxa"/>
            <w:vAlign w:val="center"/>
          </w:tcPr>
          <w:p w:rsidR="008509A1" w:rsidRDefault="00BE7933">
            <w:pPr>
              <w:jc w:val="center"/>
            </w:pPr>
            <w:r>
              <w:rPr>
                <w:rFonts w:asciiTheme="minorEastAsia" w:eastAsiaTheme="minorEastAsia" w:hAnsiTheme="minorEastAsia"/>
                <w:color w:val="000000" w:themeColor="text1"/>
              </w:rPr>
              <w:t>0.0009%</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过去五年</w:t>
            </w:r>
          </w:p>
        </w:tc>
        <w:tc>
          <w:tcPr>
            <w:tcW w:w="1329" w:type="dxa"/>
            <w:vAlign w:val="center"/>
          </w:tcPr>
          <w:p w:rsidR="008509A1" w:rsidRDefault="00BE7933">
            <w:pPr>
              <w:jc w:val="center"/>
            </w:pPr>
            <w:r>
              <w:rPr>
                <w:rFonts w:asciiTheme="minorEastAsia" w:eastAsiaTheme="minorEastAsia" w:hAnsiTheme="minorEastAsia"/>
                <w:color w:val="000000" w:themeColor="text1"/>
              </w:rPr>
              <w:t>14.3765%</w:t>
            </w:r>
          </w:p>
        </w:tc>
        <w:tc>
          <w:tcPr>
            <w:tcW w:w="1329" w:type="dxa"/>
            <w:vAlign w:val="center"/>
          </w:tcPr>
          <w:p w:rsidR="008509A1" w:rsidRDefault="00BE7933">
            <w:pPr>
              <w:jc w:val="center"/>
            </w:pPr>
            <w:r>
              <w:rPr>
                <w:rFonts w:asciiTheme="minorEastAsia" w:eastAsiaTheme="minorEastAsia" w:hAnsiTheme="minorEastAsia"/>
                <w:color w:val="000000" w:themeColor="text1"/>
              </w:rPr>
              <w:t>0.0020%</w:t>
            </w:r>
          </w:p>
        </w:tc>
        <w:tc>
          <w:tcPr>
            <w:tcW w:w="1329" w:type="dxa"/>
            <w:vAlign w:val="center"/>
          </w:tcPr>
          <w:p w:rsidR="008509A1" w:rsidRDefault="00BE7933">
            <w:pPr>
              <w:jc w:val="center"/>
            </w:pPr>
            <w:r>
              <w:rPr>
                <w:rFonts w:asciiTheme="minorEastAsia" w:eastAsiaTheme="minorEastAsia" w:hAnsiTheme="minorEastAsia"/>
                <w:color w:val="000000" w:themeColor="text1"/>
              </w:rPr>
              <w:t>6.7537%</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7.6228%</w:t>
            </w:r>
          </w:p>
        </w:tc>
        <w:tc>
          <w:tcPr>
            <w:tcW w:w="1329" w:type="dxa"/>
            <w:vAlign w:val="center"/>
          </w:tcPr>
          <w:p w:rsidR="008509A1" w:rsidRDefault="00BE7933">
            <w:pPr>
              <w:jc w:val="center"/>
            </w:pPr>
            <w:r>
              <w:rPr>
                <w:rFonts w:asciiTheme="minorEastAsia" w:eastAsiaTheme="minorEastAsia" w:hAnsiTheme="minorEastAsia"/>
                <w:color w:val="000000" w:themeColor="text1"/>
              </w:rPr>
              <w:t>0.0020%</w:t>
            </w:r>
          </w:p>
        </w:tc>
      </w:tr>
      <w:tr w:rsidR="008509A1">
        <w:tc>
          <w:tcPr>
            <w:tcW w:w="1328" w:type="dxa"/>
            <w:vAlign w:val="center"/>
          </w:tcPr>
          <w:p w:rsidR="008509A1" w:rsidRDefault="00BE7933">
            <w:pPr>
              <w:jc w:val="left"/>
            </w:pPr>
            <w:r>
              <w:rPr>
                <w:rFonts w:asciiTheme="minorEastAsia" w:eastAsiaTheme="minorEastAsia" w:hAnsiTheme="minorEastAsia"/>
                <w:color w:val="000000" w:themeColor="text1"/>
              </w:rPr>
              <w:t>自基金合同生效起至今</w:t>
            </w:r>
          </w:p>
        </w:tc>
        <w:tc>
          <w:tcPr>
            <w:tcW w:w="1329" w:type="dxa"/>
            <w:vAlign w:val="center"/>
          </w:tcPr>
          <w:p w:rsidR="008509A1" w:rsidRDefault="00BE7933">
            <w:pPr>
              <w:jc w:val="center"/>
            </w:pPr>
            <w:r>
              <w:rPr>
                <w:rFonts w:asciiTheme="minorEastAsia" w:eastAsiaTheme="minorEastAsia" w:hAnsiTheme="minorEastAsia"/>
                <w:color w:val="000000" w:themeColor="text1"/>
              </w:rPr>
              <w:t>21.6938%</w:t>
            </w:r>
          </w:p>
        </w:tc>
        <w:tc>
          <w:tcPr>
            <w:tcW w:w="1329" w:type="dxa"/>
            <w:vAlign w:val="center"/>
          </w:tcPr>
          <w:p w:rsidR="008509A1" w:rsidRDefault="00BE7933">
            <w:pPr>
              <w:jc w:val="center"/>
            </w:pPr>
            <w:r>
              <w:rPr>
                <w:rFonts w:asciiTheme="minorEastAsia" w:eastAsiaTheme="minorEastAsia" w:hAnsiTheme="minorEastAsia"/>
                <w:color w:val="000000" w:themeColor="text1"/>
              </w:rPr>
              <w:t>0.0023%</w:t>
            </w:r>
          </w:p>
        </w:tc>
        <w:tc>
          <w:tcPr>
            <w:tcW w:w="1329" w:type="dxa"/>
            <w:vAlign w:val="center"/>
          </w:tcPr>
          <w:p w:rsidR="008509A1" w:rsidRDefault="00BE7933">
            <w:pPr>
              <w:jc w:val="center"/>
            </w:pPr>
            <w:r>
              <w:rPr>
                <w:rFonts w:asciiTheme="minorEastAsia" w:eastAsiaTheme="minorEastAsia" w:hAnsiTheme="minorEastAsia"/>
                <w:color w:val="000000" w:themeColor="text1"/>
              </w:rPr>
              <w:t>9.9271%</w:t>
            </w:r>
          </w:p>
        </w:tc>
        <w:tc>
          <w:tcPr>
            <w:tcW w:w="1329" w:type="dxa"/>
            <w:vAlign w:val="center"/>
          </w:tcPr>
          <w:p w:rsidR="008509A1" w:rsidRDefault="00BE7933">
            <w:pPr>
              <w:jc w:val="center"/>
            </w:pPr>
            <w:r>
              <w:rPr>
                <w:rFonts w:asciiTheme="minorEastAsia" w:eastAsiaTheme="minorEastAsia" w:hAnsiTheme="minorEastAsia"/>
                <w:color w:val="000000" w:themeColor="text1"/>
              </w:rPr>
              <w:t>0.0000%</w:t>
            </w:r>
          </w:p>
        </w:tc>
        <w:tc>
          <w:tcPr>
            <w:tcW w:w="1329" w:type="dxa"/>
            <w:vAlign w:val="center"/>
          </w:tcPr>
          <w:p w:rsidR="008509A1" w:rsidRDefault="00BE7933">
            <w:pPr>
              <w:jc w:val="center"/>
            </w:pPr>
            <w:r>
              <w:rPr>
                <w:rFonts w:asciiTheme="minorEastAsia" w:eastAsiaTheme="minorEastAsia" w:hAnsiTheme="minorEastAsia"/>
                <w:color w:val="000000" w:themeColor="text1"/>
              </w:rPr>
              <w:t>11.7667%</w:t>
            </w:r>
          </w:p>
        </w:tc>
        <w:tc>
          <w:tcPr>
            <w:tcW w:w="1329" w:type="dxa"/>
            <w:vAlign w:val="center"/>
          </w:tcPr>
          <w:p w:rsidR="008509A1" w:rsidRDefault="00BE7933">
            <w:pPr>
              <w:jc w:val="center"/>
            </w:pPr>
            <w:r>
              <w:rPr>
                <w:rFonts w:asciiTheme="minorEastAsia" w:eastAsiaTheme="minorEastAsia" w:hAnsiTheme="minorEastAsia"/>
                <w:color w:val="000000" w:themeColor="text1"/>
              </w:rPr>
              <w:t>0.0023%</w:t>
            </w:r>
          </w:p>
        </w:tc>
      </w:tr>
    </w:tbl>
    <w:p w:rsidR="0064191E" w:rsidRPr="00593AD2" w:rsidRDefault="0064191E"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注：本基金收益分配按日结转份额。</w:t>
      </w:r>
    </w:p>
    <w:p w:rsidR="001F0286" w:rsidRPr="00593AD2"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3.2.2</w:t>
      </w:r>
      <w:r w:rsidR="009B7B0C" w:rsidRPr="00593AD2">
        <w:rPr>
          <w:rStyle w:val="af4"/>
          <w:rFonts w:hint="eastAsia"/>
          <w:color w:val="000000" w:themeColor="text1"/>
          <w:sz w:val="24"/>
          <w:shd w:val="clear" w:color="auto" w:fill="FFFFFF"/>
        </w:rPr>
        <w:t>自基金合同生效以来</w:t>
      </w:r>
      <w:r w:rsidRPr="00593AD2">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593AD2" w:rsidRDefault="00E63B3D" w:rsidP="009A755D">
      <w:pPr>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上投摩根天添盈货币市场基金</w:t>
      </w:r>
    </w:p>
    <w:p w:rsidR="00E63B3D" w:rsidRPr="00593AD2" w:rsidRDefault="00533490" w:rsidP="009A755D">
      <w:pPr>
        <w:pStyle w:val="a7"/>
        <w:snapToGrid w:val="0"/>
        <w:spacing w:line="360" w:lineRule="auto"/>
        <w:jc w:val="center"/>
        <w:rPr>
          <w:rFonts w:asciiTheme="minorEastAsia" w:eastAsiaTheme="minorEastAsia" w:hAnsiTheme="minorEastAsia"/>
          <w:color w:val="000000" w:themeColor="text1"/>
          <w:sz w:val="24"/>
          <w:szCs w:val="24"/>
        </w:rPr>
      </w:pPr>
      <w:r w:rsidRPr="00593AD2">
        <w:rPr>
          <w:rFonts w:asciiTheme="minorEastAsia" w:eastAsiaTheme="minorEastAsia" w:hAnsiTheme="minorEastAsia" w:hint="eastAsia"/>
          <w:color w:val="000000" w:themeColor="text1"/>
          <w:sz w:val="24"/>
          <w:szCs w:val="24"/>
        </w:rPr>
        <w:t>份额</w:t>
      </w:r>
      <w:r w:rsidR="00E63B3D" w:rsidRPr="00593AD2">
        <w:rPr>
          <w:rFonts w:asciiTheme="minorEastAsia" w:eastAsiaTheme="minorEastAsia" w:hAnsiTheme="minorEastAsia" w:hint="eastAsia"/>
          <w:color w:val="000000" w:themeColor="text1"/>
          <w:sz w:val="24"/>
          <w:szCs w:val="24"/>
        </w:rPr>
        <w:t>累计净值收益率与业绩比较基准收益率历史走势对比图</w:t>
      </w:r>
    </w:p>
    <w:p w:rsidR="00A7219D" w:rsidRPr="00593AD2" w:rsidRDefault="00A7219D" w:rsidP="009A755D">
      <w:pPr>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w:t>
      </w:r>
      <w:r w:rsidR="00D87D00" w:rsidRPr="00593AD2">
        <w:rPr>
          <w:rFonts w:asciiTheme="minorEastAsia" w:eastAsiaTheme="minorEastAsia" w:hAnsiTheme="minorEastAsia"/>
          <w:color w:val="000000" w:themeColor="text1"/>
          <w:kern w:val="0"/>
          <w:sz w:val="24"/>
        </w:rPr>
        <w:t>2014年11月25日</w:t>
      </w:r>
      <w:r w:rsidRPr="00593AD2">
        <w:rPr>
          <w:rFonts w:asciiTheme="minorEastAsia" w:eastAsiaTheme="minorEastAsia" w:hAnsiTheme="minorEastAsia" w:hint="eastAsia"/>
          <w:color w:val="000000" w:themeColor="text1"/>
          <w:kern w:val="0"/>
          <w:sz w:val="24"/>
        </w:rPr>
        <w:t>至2022年3月31日)</w:t>
      </w:r>
    </w:p>
    <w:p w:rsidR="00825EA5"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1、</w:t>
      </w:r>
      <w:r w:rsidR="00E63B3D" w:rsidRPr="00593AD2">
        <w:rPr>
          <w:rFonts w:asciiTheme="minorEastAsia" w:eastAsiaTheme="minorEastAsia" w:hAnsiTheme="minorEastAsia"/>
          <w:color w:val="000000" w:themeColor="text1"/>
          <w:kern w:val="0"/>
          <w:sz w:val="24"/>
        </w:rPr>
        <w:t>上投摩根天添盈货币A类</w:t>
      </w:r>
    </w:p>
    <w:p w:rsidR="00E63B3D" w:rsidRPr="00593AD2" w:rsidRDefault="00E17870" w:rsidP="00196812">
      <w:pPr>
        <w:tabs>
          <w:tab w:val="left" w:pos="0"/>
        </w:tabs>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drawing>
          <wp:inline distT="0" distB="0" distL="0" distR="0" wp14:anchorId="24FA3D58" wp14:editId="2F1011EA">
            <wp:extent cx="5772150" cy="3381375"/>
            <wp:effectExtent l="0" t="0" r="0" b="9525"/>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593AD2"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2、</w:t>
      </w:r>
      <w:r w:rsidR="005F668B" w:rsidRPr="00593AD2">
        <w:rPr>
          <w:rFonts w:asciiTheme="minorEastAsia" w:eastAsiaTheme="minorEastAsia" w:hAnsiTheme="minorEastAsia"/>
          <w:color w:val="000000" w:themeColor="text1"/>
          <w:kern w:val="0"/>
          <w:sz w:val="24"/>
        </w:rPr>
        <w:t>上投摩根天添盈货币B类</w:t>
      </w:r>
    </w:p>
    <w:p w:rsidR="005F668B" w:rsidRPr="00593AD2" w:rsidRDefault="00BE7933" w:rsidP="00196812">
      <w:pPr>
        <w:snapToGrid w:val="0"/>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drawing>
          <wp:inline distT="0" distB="0" distL="0" distR="0" wp14:anchorId="6113127B" wp14:editId="33B8D020">
            <wp:extent cx="5769610" cy="3379887"/>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9610" cy="3379887"/>
                    </a:xfrm>
                    <a:prstGeom prst="rect">
                      <a:avLst/>
                    </a:prstGeom>
                    <a:noFill/>
                    <a:ln>
                      <a:noFill/>
                    </a:ln>
                  </pic:spPr>
                </pic:pic>
              </a:graphicData>
            </a:graphic>
          </wp:inline>
        </w:drawing>
      </w:r>
    </w:p>
    <w:p w:rsidR="00025C5D" w:rsidRPr="00593AD2" w:rsidRDefault="00025C5D" w:rsidP="004527E3">
      <w:pPr>
        <w:autoSpaceDE w:val="0"/>
        <w:autoSpaceDN w:val="0"/>
        <w:adjustRightInd w:val="0"/>
        <w:spacing w:line="360" w:lineRule="auto"/>
        <w:jc w:val="left"/>
        <w:rPr>
          <w:rFonts w:asciiTheme="minorEastAsia" w:eastAsiaTheme="minorEastAsia" w:hAnsiTheme="minorEastAsia"/>
          <w:color w:val="000000" w:themeColor="text1"/>
          <w:sz w:val="24"/>
        </w:rPr>
      </w:pPr>
    </w:p>
    <w:p w:rsidR="00025C5D"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3、</w:t>
      </w:r>
      <w:r w:rsidRPr="00593AD2">
        <w:rPr>
          <w:rFonts w:asciiTheme="minorEastAsia" w:eastAsiaTheme="minorEastAsia" w:hAnsiTheme="minorEastAsia"/>
          <w:color w:val="000000" w:themeColor="text1"/>
          <w:kern w:val="0"/>
          <w:sz w:val="24"/>
        </w:rPr>
        <w:t>上投摩根天添盈货币E类</w:t>
      </w:r>
    </w:p>
    <w:p w:rsidR="00025C5D" w:rsidRPr="00593AD2" w:rsidRDefault="00CA592F" w:rsidP="00220437">
      <w:pPr>
        <w:autoSpaceDE w:val="0"/>
        <w:autoSpaceDN w:val="0"/>
        <w:adjustRightInd w:val="0"/>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drawing>
          <wp:inline distT="0" distB="0" distL="0" distR="0" wp14:anchorId="55EF68A1" wp14:editId="5C8DBFB4">
            <wp:extent cx="5772150" cy="3381375"/>
            <wp:effectExtent l="0" t="0" r="0" b="9525"/>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509A1" w:rsidRDefault="00BE793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注：1.本基金合同生效日为2014年11月25日，图示的时间段为合同生效日至本报告期末。</w:t>
      </w:r>
    </w:p>
    <w:p w:rsidR="008509A1" w:rsidRDefault="00BE793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2.本基金建仓期为本基金合同生效日起 6 个月, 建仓期结束时资产配置比例符合本基金基金合同的规定。</w:t>
      </w:r>
    </w:p>
    <w:p w:rsidR="00707CB2" w:rsidRPr="00593AD2" w:rsidRDefault="00C4213A"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3.自2018年6月22日起，本基金B类基金份额为零且停止计算B类基金份额每万份收益。</w:t>
      </w:r>
    </w:p>
    <w:p w:rsidR="00CA65DD" w:rsidRPr="00593AD2"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4  </w:t>
      </w:r>
      <w:r w:rsidRPr="00593AD2">
        <w:rPr>
          <w:rFonts w:asciiTheme="minorEastAsia" w:eastAsiaTheme="minorEastAsia" w:hAnsiTheme="minorEastAsia" w:cs="Arial" w:hint="eastAsia"/>
          <w:color w:val="000000" w:themeColor="text1"/>
          <w:kern w:val="0"/>
          <w:sz w:val="24"/>
          <w:szCs w:val="24"/>
        </w:rPr>
        <w:t>管理人报告</w:t>
      </w:r>
    </w:p>
    <w:p w:rsidR="00902E3F" w:rsidRPr="00593AD2"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593AD2">
        <w:rPr>
          <w:rFonts w:asciiTheme="minorEastAsia" w:eastAsiaTheme="minorEastAsia" w:hAnsiTheme="minorEastAsia" w:cs="Arial"/>
          <w:b/>
          <w:color w:val="000000" w:themeColor="text1"/>
          <w:kern w:val="0"/>
          <w:sz w:val="24"/>
        </w:rPr>
        <w:t xml:space="preserve">4.1 </w:t>
      </w:r>
      <w:r w:rsidRPr="00593AD2">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593AD2" w:rsidRPr="00593AD2" w:rsidTr="00AC3D9E">
        <w:trPr>
          <w:cantSplit/>
        </w:trPr>
        <w:tc>
          <w:tcPr>
            <w:tcW w:w="952"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姓名</w:t>
            </w:r>
          </w:p>
        </w:tc>
        <w:tc>
          <w:tcPr>
            <w:tcW w:w="1600"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职务</w:t>
            </w:r>
          </w:p>
        </w:tc>
        <w:tc>
          <w:tcPr>
            <w:tcW w:w="2977" w:type="dxa"/>
            <w:gridSpan w:val="2"/>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任本基金的基金经理期限</w:t>
            </w:r>
          </w:p>
        </w:tc>
        <w:tc>
          <w:tcPr>
            <w:tcW w:w="992"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证券从业年限</w:t>
            </w:r>
          </w:p>
        </w:tc>
        <w:tc>
          <w:tcPr>
            <w:tcW w:w="2410"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说明</w:t>
            </w:r>
          </w:p>
        </w:tc>
      </w:tr>
      <w:tr w:rsidR="00593AD2" w:rsidRPr="00593AD2" w:rsidTr="00AC3D9E">
        <w:trPr>
          <w:cantSplit/>
        </w:trPr>
        <w:tc>
          <w:tcPr>
            <w:tcW w:w="952"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600" w:type="dxa"/>
            <w:vMerge/>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488" w:type="dxa"/>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任职日期</w:t>
            </w:r>
          </w:p>
        </w:tc>
        <w:tc>
          <w:tcPr>
            <w:tcW w:w="1489" w:type="dxa"/>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离任日期</w:t>
            </w:r>
          </w:p>
        </w:tc>
        <w:tc>
          <w:tcPr>
            <w:tcW w:w="992"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2410"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r>
      <w:tr w:rsidR="008509A1">
        <w:tc>
          <w:tcPr>
            <w:tcW w:w="952" w:type="dxa"/>
            <w:vAlign w:val="center"/>
          </w:tcPr>
          <w:p w:rsidR="008509A1" w:rsidRDefault="00BE7933">
            <w:pPr>
              <w:jc w:val="center"/>
            </w:pPr>
            <w:r>
              <w:rPr>
                <w:rFonts w:asciiTheme="minorEastAsia" w:eastAsiaTheme="minorEastAsia" w:hAnsiTheme="minorEastAsia"/>
                <w:color w:val="000000" w:themeColor="text1"/>
                <w:sz w:val="24"/>
              </w:rPr>
              <w:t>鞠婷</w:t>
            </w:r>
          </w:p>
        </w:tc>
        <w:tc>
          <w:tcPr>
            <w:tcW w:w="1600" w:type="dxa"/>
            <w:vAlign w:val="center"/>
          </w:tcPr>
          <w:p w:rsidR="008509A1" w:rsidRDefault="00BE7933">
            <w:pPr>
              <w:jc w:val="center"/>
            </w:pPr>
            <w:r>
              <w:rPr>
                <w:rFonts w:asciiTheme="minorEastAsia" w:eastAsiaTheme="minorEastAsia" w:hAnsiTheme="minorEastAsia"/>
                <w:color w:val="000000" w:themeColor="text1"/>
                <w:sz w:val="24"/>
              </w:rPr>
              <w:t>本基金基金经理</w:t>
            </w:r>
          </w:p>
        </w:tc>
        <w:tc>
          <w:tcPr>
            <w:tcW w:w="1488" w:type="dxa"/>
            <w:vAlign w:val="center"/>
          </w:tcPr>
          <w:p w:rsidR="008509A1" w:rsidRDefault="00BE7933">
            <w:pPr>
              <w:jc w:val="center"/>
            </w:pPr>
            <w:r>
              <w:rPr>
                <w:rFonts w:asciiTheme="minorEastAsia" w:eastAsiaTheme="minorEastAsia" w:hAnsiTheme="minorEastAsia"/>
                <w:color w:val="000000" w:themeColor="text1"/>
                <w:sz w:val="24"/>
              </w:rPr>
              <w:t>2016-05-27</w:t>
            </w:r>
          </w:p>
        </w:tc>
        <w:tc>
          <w:tcPr>
            <w:tcW w:w="1489" w:type="dxa"/>
            <w:vAlign w:val="center"/>
          </w:tcPr>
          <w:p w:rsidR="008509A1" w:rsidRDefault="00BE7933">
            <w:pPr>
              <w:jc w:val="center"/>
            </w:pPr>
            <w:r>
              <w:rPr>
                <w:rFonts w:asciiTheme="minorEastAsia" w:eastAsiaTheme="minorEastAsia" w:hAnsiTheme="minorEastAsia"/>
                <w:color w:val="000000" w:themeColor="text1"/>
                <w:sz w:val="24"/>
              </w:rPr>
              <w:t>-</w:t>
            </w:r>
          </w:p>
        </w:tc>
        <w:tc>
          <w:tcPr>
            <w:tcW w:w="992" w:type="dxa"/>
            <w:vAlign w:val="center"/>
          </w:tcPr>
          <w:p w:rsidR="008509A1" w:rsidRDefault="00BE7933">
            <w:pPr>
              <w:jc w:val="center"/>
            </w:pPr>
            <w:r>
              <w:rPr>
                <w:rFonts w:asciiTheme="minorEastAsia" w:eastAsiaTheme="minorEastAsia" w:hAnsiTheme="minorEastAsia"/>
                <w:color w:val="000000" w:themeColor="text1"/>
                <w:sz w:val="24"/>
              </w:rPr>
              <w:t>16年</w:t>
            </w:r>
          </w:p>
        </w:tc>
        <w:tc>
          <w:tcPr>
            <w:tcW w:w="2410" w:type="dxa"/>
            <w:vAlign w:val="center"/>
          </w:tcPr>
          <w:p w:rsidR="008509A1" w:rsidRDefault="00BE7933">
            <w:r>
              <w:rPr>
                <w:rFonts w:asciiTheme="minorEastAsia" w:eastAsiaTheme="minorEastAsia" w:hAnsiTheme="minorEastAsia"/>
                <w:color w:val="000000" w:themeColor="text1"/>
                <w:sz w:val="24"/>
              </w:rPr>
              <w:t>鞠婷女士，1997年7月至2001年5月在中国建设银行第一支行担任助理经济师，2006年3月至2014年10月在瑞穗银行总行担任总经理助理。自2014年10月起加入上投摩根基金管理有限公司，先后担任我公司货币市场投资部基金经理助理、基金经理、高级基金经理，2015年7月至2018年11月担任上投摩根现金管理货币市场基金基金经理，自2016年5月起担任上投摩根天添盈货币市场基金和上投摩根天添宝货币市场基金基金经理，自2020年3月起同时担任上投摩根货币市场基金基金经理。</w:t>
            </w:r>
          </w:p>
        </w:tc>
      </w:tr>
    </w:tbl>
    <w:p w:rsidR="008509A1" w:rsidRDefault="00BE793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注：1.任职日期和离任日期均指根据公司决定确定的聘任日期和解聘日期。</w:t>
      </w:r>
    </w:p>
    <w:p w:rsidR="00C4627A" w:rsidRPr="00593AD2" w:rsidRDefault="00C4627A"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2.证券从业的含义遵从行业协会《证券业从业人员资格管理办法》的相关规定。</w:t>
      </w:r>
    </w:p>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4.2</w:t>
      </w:r>
      <w:r w:rsidR="0016721A" w:rsidRPr="0016721A">
        <w:rPr>
          <w:rFonts w:hint="eastAsia"/>
          <w:b/>
          <w:color w:val="000000"/>
          <w:sz w:val="24"/>
          <w:shd w:val="clear" w:color="auto" w:fill="FFFFFF"/>
        </w:rPr>
        <w:t>管理人对报告期内本基金运作遵规守信情况的说明</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在本报告期内，基金管理人不存在损害基金份额持有人利益的行为，勤勉尽责地为基金份额持有人谋求利益。基金管理人遵守了《证券投资基金法》及其他有关法律法规、《上投摩根天添盈货币市场基金基金合同》的规定。基金经理对个股和投资组合的比例遵循了投资决策委员会的授权限制，基金投资比例符合基金合同和法律法规的要求。</w:t>
      </w:r>
    </w:p>
    <w:p w:rsidR="00902E3F" w:rsidRPr="00593AD2"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4.3 </w:t>
      </w:r>
      <w:r w:rsidRPr="00593AD2">
        <w:rPr>
          <w:rFonts w:asciiTheme="minorEastAsia" w:eastAsiaTheme="minorEastAsia" w:hAnsiTheme="minorEastAsia" w:cs="Arial" w:hint="eastAsia"/>
          <w:b/>
          <w:color w:val="000000" w:themeColor="text1"/>
          <w:kern w:val="0"/>
          <w:sz w:val="24"/>
        </w:rPr>
        <w:t>公平交易专项说明</w:t>
      </w:r>
    </w:p>
    <w:p w:rsidR="003F43EB" w:rsidRPr="00593AD2" w:rsidRDefault="003F43EB"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4.3.1 公平交易制度的执行情况</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3F43EB" w:rsidRPr="00593AD2" w:rsidRDefault="003F43EB"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4.3.</w:t>
      </w:r>
      <w:r w:rsidR="0007770D" w:rsidRPr="00593AD2">
        <w:rPr>
          <w:rFonts w:asciiTheme="minorEastAsia" w:eastAsiaTheme="minorEastAsia" w:hAnsiTheme="minorEastAsia" w:hint="eastAsia"/>
          <w:color w:val="000000" w:themeColor="text1"/>
          <w:sz w:val="24"/>
        </w:rPr>
        <w:t>2</w:t>
      </w:r>
      <w:r w:rsidRPr="00593AD2">
        <w:rPr>
          <w:rFonts w:asciiTheme="minorEastAsia" w:eastAsiaTheme="minorEastAsia" w:hAnsiTheme="minorEastAsia" w:hint="eastAsia"/>
          <w:color w:val="000000" w:themeColor="text1"/>
          <w:sz w:val="24"/>
        </w:rPr>
        <w:t xml:space="preserve"> 异常交易行为的专项说明</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报告期内，通过对交易价格、交易时间、交易方向等的分析，未发现有可能导致不公平交易和利益输送的异常交易行为。</w:t>
      </w:r>
    </w:p>
    <w:p w:rsidR="00902E3F"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所有投资组合参与的交易所公开竞价同日反向交易成交较少的单边交易量超过该证券当日成交量的5%的情形：无。</w:t>
      </w:r>
    </w:p>
    <w:p w:rsidR="00BE5584" w:rsidRPr="00593AD2"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593AD2" w:rsidRDefault="00323377"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4.4 </w:t>
      </w:r>
      <w:r w:rsidRPr="00593AD2">
        <w:rPr>
          <w:rFonts w:asciiTheme="minorEastAsia" w:eastAsiaTheme="minorEastAsia" w:hAnsiTheme="minorEastAsia" w:cs="Arial" w:hint="eastAsia"/>
          <w:b/>
          <w:color w:val="000000" w:themeColor="text1"/>
          <w:kern w:val="0"/>
          <w:sz w:val="24"/>
        </w:rPr>
        <w:t>报告期内基金的投资策略和业绩表现说明</w:t>
      </w:r>
    </w:p>
    <w:p w:rsidR="00323377" w:rsidRPr="00593AD2" w:rsidRDefault="00323377"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4.4.1报告期内基金投资策略和运作分析</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回顾一季度，受地缘政治冲突、国内疫情等外生冲击因素，经济受到较大负面影响，在前2月经济数据超预期之后，3月国内经济数据或快速回落。1-2月全国规模以上工业增加值同比增长7.5%，预计3月全国规模以上工业增加值同比增速约5.0%，较1-2月回落2.5个百分点；1-2月固定资产投资累计同比增长12.2%，预计前3月固定资产投资累计同比或降至6.5%左右；1-2月社会消费品零售总额同比增长6.7%，预计3月社会消费品零售总额同比增速或降至0-1%；3月出口同比增长或降至13.1%；3月服务业PMI较上月下降3.8个百分点至46.7%；物价方面预计CPI同比涨幅扩大，PPI持续回落。</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一季度货币政策的总基调，延续前期重要会议对货币政策“加大实施力度”和“主动应对”的要求，政策目标在于“提振信心”，支持实体。具体来看，1月17日央行下调OMO（公开市场操作利率)和MLF（中期借贷便利）利率各10个bp；1月20日LPR（贷款市场报价利率）顺势下调 10 bp（1Y）和 5 bp（5Y以上），显示出货币政策稳增长基调已经比较明确，且在海外主要经济体政策收敛速度偏快的复杂背景下，靠前宽松可同时兼顾内部增长和外部均衡。受此影响，1年期银行存单收益率先下后上在2.41%至2.61%之间震荡，1年期国开债收益率在1.93%-2.35%之间波动。</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在一季度继续以流动性安全性为首要目标，在各个关键时点做好流动性前瞻性管理，密切关注客户现金流动向，多配置流动性较好资产，在特殊时期预备充足流动性满足客户的赎回要求，同时力求平衡基金收益率和安全性，把握组合整体风险。</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展望未来，在当前国内外疫情持续，地缘政治冲突升级，外部环境更趋复杂严峻和不确定的形势下，根据央行一季度货币政策委员会例会精神，货币政策更要稳字当头、稳中求进，强化跨周期和逆周期调节，加大稳健的货币政策实施力度，为实体经济提供更有力支持，稳定宏观经济大盘。本基金在未来仍会谨记货币基金现金管理工具的原则，在外部环境更趋复杂严峻和不确定的形势下，时刻关注市场各种动向，加强前瞻性和自主性研判，始终把基金安全性、流动性以及投资人利益放在首位，同时坚决防范各类信用风险，灵活调整资产配置，遵守各项监管要求，力争为投资人提供安全稳健的长期回报。</w:t>
      </w:r>
    </w:p>
    <w:p w:rsidR="00323377" w:rsidRPr="00593AD2" w:rsidRDefault="00323377"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4.4.2报告期内基金的业绩表现</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本报告期上投摩根天添盈货币A份额净值增长率为:0.4853%，同期业绩比较基准收益率为:0.3329%,</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自2018年6月22日起，本基金B类基金份额为零且停止计算B类基金份额每万份收益。</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上投摩根天添盈货币E份额净值增长率为:0.5448%，同期业绩比较基准收益率为:0.3329%。</w:t>
      </w:r>
    </w:p>
    <w:p w:rsidR="00BE5584" w:rsidRPr="00593AD2"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394455" w:rsidRPr="00593AD2" w:rsidRDefault="00455AA7" w:rsidP="00394455">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b/>
          <w:color w:val="000000" w:themeColor="text1"/>
          <w:kern w:val="0"/>
          <w:sz w:val="24"/>
        </w:rPr>
        <w:t>4</w:t>
      </w:r>
      <w:r w:rsidRPr="00593AD2">
        <w:rPr>
          <w:rFonts w:asciiTheme="minorEastAsia" w:eastAsiaTheme="minorEastAsia" w:hAnsiTheme="minorEastAsia" w:hint="eastAsia"/>
          <w:b/>
          <w:color w:val="000000" w:themeColor="text1"/>
          <w:kern w:val="0"/>
          <w:sz w:val="24"/>
        </w:rPr>
        <w:t>.5</w:t>
      </w:r>
      <w:r w:rsidR="00394455" w:rsidRPr="00593AD2">
        <w:rPr>
          <w:rFonts w:asciiTheme="minorEastAsia" w:eastAsiaTheme="minorEastAsia" w:hAnsiTheme="minorEastAsia" w:hint="eastAsia"/>
          <w:b/>
          <w:color w:val="000000" w:themeColor="text1"/>
          <w:kern w:val="0"/>
          <w:sz w:val="24"/>
        </w:rPr>
        <w:t>报告期内基金持有人数或基金资产净值预警说明</w:t>
      </w:r>
    </w:p>
    <w:p w:rsidR="00394455" w:rsidRPr="00593AD2" w:rsidRDefault="00394455" w:rsidP="00394455">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无。</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5  </w:t>
      </w:r>
      <w:r w:rsidRPr="00593AD2">
        <w:rPr>
          <w:rFonts w:asciiTheme="minorEastAsia" w:eastAsiaTheme="minorEastAsia" w:hAnsiTheme="minorEastAsia" w:cs="Arial" w:hint="eastAsia"/>
          <w:color w:val="000000" w:themeColor="text1"/>
          <w:kern w:val="0"/>
          <w:sz w:val="24"/>
          <w:szCs w:val="24"/>
        </w:rPr>
        <w:t>投资组合报告</w:t>
      </w:r>
    </w:p>
    <w:p w:rsidR="00902E3F" w:rsidRPr="00593AD2" w:rsidRDefault="00902E3F" w:rsidP="003A0EC1">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5.1 </w:t>
      </w:r>
      <w:r w:rsidRPr="00593AD2">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序号</w:t>
            </w:r>
          </w:p>
        </w:tc>
        <w:tc>
          <w:tcPr>
            <w:tcW w:w="3357"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项目</w:t>
            </w:r>
          </w:p>
        </w:tc>
        <w:tc>
          <w:tcPr>
            <w:tcW w:w="3119"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金额(元)</w:t>
            </w:r>
          </w:p>
        </w:tc>
        <w:tc>
          <w:tcPr>
            <w:tcW w:w="1843"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占基金总资产的比例(</w:t>
            </w:r>
            <w:r w:rsidRPr="00593AD2">
              <w:rPr>
                <w:rFonts w:asciiTheme="minorEastAsia" w:eastAsiaTheme="minorEastAsia" w:hAnsiTheme="minorEastAsia"/>
                <w:color w:val="000000" w:themeColor="text1"/>
                <w:sz w:val="24"/>
              </w:rPr>
              <w:t>%</w:t>
            </w:r>
            <w:r w:rsidRPr="00593AD2">
              <w:rPr>
                <w:rFonts w:asciiTheme="minorEastAsia" w:eastAsiaTheme="minorEastAsia" w:hAnsiTheme="minorEastAsia" w:hint="eastAsia"/>
                <w:color w:val="000000" w:themeColor="text1"/>
                <w:sz w:val="24"/>
              </w:rPr>
              <w:t>)</w:t>
            </w:r>
          </w:p>
        </w:tc>
      </w:tr>
      <w:tr w:rsidR="00593AD2" w:rsidRPr="00593AD2" w:rsidTr="00340456">
        <w:tc>
          <w:tcPr>
            <w:tcW w:w="720" w:type="dxa"/>
            <w:vAlign w:val="center"/>
          </w:tcPr>
          <w:p w:rsidR="00B4354A" w:rsidRPr="00593AD2" w:rsidRDefault="00737060"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1</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固定收益投资</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2,766,136,796.89</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41.30</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其中：债券</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2,766,136,796.89</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41.30</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5D1BAF">
            <w:pPr>
              <w:autoSpaceDE w:val="0"/>
              <w:autoSpaceDN w:val="0"/>
              <w:adjustRightInd w:val="0"/>
              <w:spacing w:before="29" w:line="360" w:lineRule="auto"/>
              <w:ind w:left="17" w:firstLineChars="300" w:firstLine="720"/>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资产支持证券</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r>
      <w:tr w:rsidR="00593AD2" w:rsidRPr="00593AD2" w:rsidTr="00340456">
        <w:tc>
          <w:tcPr>
            <w:tcW w:w="720" w:type="dxa"/>
            <w:vAlign w:val="center"/>
          </w:tcPr>
          <w:p w:rsidR="00B4354A" w:rsidRPr="00593AD2" w:rsidRDefault="00737060"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2</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买入返售金融资产</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588,005,743.96</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8.78</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其中：买断式回购的买入返售金融资产</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r>
      <w:tr w:rsidR="00593AD2" w:rsidRPr="00593AD2" w:rsidTr="00340456">
        <w:tc>
          <w:tcPr>
            <w:tcW w:w="720" w:type="dxa"/>
            <w:vAlign w:val="center"/>
          </w:tcPr>
          <w:p w:rsidR="00B4354A" w:rsidRPr="00593AD2" w:rsidRDefault="005F17EC"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银行存款和结算备付金合计</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3,295,240,564.34</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49.20</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4</w:t>
            </w:r>
          </w:p>
        </w:tc>
        <w:tc>
          <w:tcPr>
            <w:tcW w:w="3357" w:type="dxa"/>
            <w:vAlign w:val="center"/>
          </w:tcPr>
          <w:p w:rsidR="00B4354A" w:rsidRPr="00593AD2" w:rsidRDefault="00B4354A" w:rsidP="00196812">
            <w:pPr>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其他资产</w:t>
            </w:r>
          </w:p>
        </w:tc>
        <w:tc>
          <w:tcPr>
            <w:tcW w:w="3119"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48,433,248.75</w:t>
            </w:r>
          </w:p>
        </w:tc>
        <w:tc>
          <w:tcPr>
            <w:tcW w:w="1843"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0.72</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5</w:t>
            </w:r>
          </w:p>
        </w:tc>
        <w:tc>
          <w:tcPr>
            <w:tcW w:w="3357" w:type="dxa"/>
            <w:vAlign w:val="center"/>
          </w:tcPr>
          <w:p w:rsidR="00B4354A" w:rsidRPr="00593AD2" w:rsidRDefault="00B4354A" w:rsidP="00196812">
            <w:pPr>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合计</w:t>
            </w:r>
          </w:p>
        </w:tc>
        <w:tc>
          <w:tcPr>
            <w:tcW w:w="3119"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6,697,816,353.94</w:t>
            </w:r>
          </w:p>
        </w:tc>
        <w:tc>
          <w:tcPr>
            <w:tcW w:w="1843"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100.00</w:t>
            </w:r>
          </w:p>
        </w:tc>
      </w:tr>
    </w:tbl>
    <w:p w:rsidR="004771B9" w:rsidRPr="00593AD2"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5.2 </w:t>
      </w:r>
      <w:r w:rsidRPr="00593AD2">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593AD2" w:rsidRPr="00593AD2"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占基金资产净值比例（％）</w:t>
            </w:r>
          </w:p>
        </w:tc>
      </w:tr>
      <w:tr w:rsidR="00593AD2" w:rsidRPr="00593AD2" w:rsidTr="00F11244">
        <w:tc>
          <w:tcPr>
            <w:tcW w:w="861" w:type="dxa"/>
            <w:tcBorders>
              <w:top w:val="single" w:sz="8" w:space="0" w:color="000000"/>
              <w:left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0.2</w:t>
            </w:r>
            <w:r w:rsidR="00205D49">
              <w:rPr>
                <w:rFonts w:asciiTheme="minorEastAsia" w:eastAsiaTheme="minorEastAsia" w:hAnsiTheme="minorEastAsia"/>
                <w:color w:val="000000" w:themeColor="text1"/>
                <w:sz w:val="24"/>
              </w:rPr>
              <w:t>0</w:t>
            </w:r>
          </w:p>
        </w:tc>
      </w:tr>
      <w:tr w:rsidR="00593AD2" w:rsidRPr="00593AD2"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w:t>
            </w:r>
          </w:p>
        </w:tc>
      </w:tr>
      <w:tr w:rsidR="00593AD2" w:rsidRPr="00593AD2" w:rsidTr="00F11244">
        <w:tc>
          <w:tcPr>
            <w:tcW w:w="861" w:type="dxa"/>
            <w:tcBorders>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cs="Arial" w:hint="eastAsia"/>
                <w:color w:val="000000" w:themeColor="text1"/>
                <w:kern w:val="0"/>
                <w:sz w:val="24"/>
              </w:rPr>
              <w:t>占基金资产净值比例（％）</w:t>
            </w:r>
          </w:p>
        </w:tc>
      </w:tr>
      <w:tr w:rsidR="00593AD2" w:rsidRPr="00593AD2" w:rsidTr="00F11244">
        <w:tc>
          <w:tcPr>
            <w:tcW w:w="861" w:type="dxa"/>
            <w:vMerge w:val="restart"/>
            <w:tcBorders>
              <w:top w:val="single" w:sz="8" w:space="0" w:color="000000"/>
              <w:left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r>
      <w:tr w:rsidR="00593AD2" w:rsidRPr="00593AD2" w:rsidTr="00F11244">
        <w:tc>
          <w:tcPr>
            <w:tcW w:w="861" w:type="dxa"/>
            <w:vMerge/>
            <w:tcBorders>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r>
    </w:tbl>
    <w:p w:rsidR="00DB2873" w:rsidRPr="00593AD2" w:rsidRDefault="00DB2873" w:rsidP="00196812">
      <w:pPr>
        <w:spacing w:line="360" w:lineRule="auto"/>
        <w:rPr>
          <w:rFonts w:asciiTheme="minorEastAsia" w:eastAsiaTheme="minorEastAsia" w:hAnsiTheme="minorEastAsia"/>
          <w:color w:val="000000" w:themeColor="text1"/>
          <w:sz w:val="24"/>
        </w:rPr>
      </w:pPr>
    </w:p>
    <w:p w:rsidR="004771B9" w:rsidRPr="00593AD2" w:rsidRDefault="004771B9"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hint="eastAsia"/>
          <w:b/>
          <w:color w:val="000000" w:themeColor="text1"/>
          <w:kern w:val="0"/>
          <w:sz w:val="24"/>
        </w:rPr>
        <w:t>债券正回购的资金余额超过基金资产净值的</w:t>
      </w:r>
      <w:r w:rsidRPr="00593AD2">
        <w:rPr>
          <w:rFonts w:asciiTheme="minorEastAsia" w:eastAsiaTheme="minorEastAsia" w:hAnsiTheme="minorEastAsia" w:cs="Arial"/>
          <w:b/>
          <w:color w:val="000000" w:themeColor="text1"/>
          <w:kern w:val="0"/>
          <w:sz w:val="24"/>
        </w:rPr>
        <w:t>20</w:t>
      </w:r>
      <w:r w:rsidRPr="00593AD2">
        <w:rPr>
          <w:rFonts w:asciiTheme="minorEastAsia" w:eastAsiaTheme="minorEastAsia" w:hAnsiTheme="minorEastAsia" w:cs="Arial" w:hint="eastAsia"/>
          <w:b/>
          <w:color w:val="000000" w:themeColor="text1"/>
          <w:kern w:val="0"/>
          <w:sz w:val="24"/>
        </w:rPr>
        <w:t>％的说明</w:t>
      </w:r>
    </w:p>
    <w:p w:rsidR="007521F9" w:rsidRPr="00593AD2"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5.3 </w:t>
      </w:r>
      <w:r w:rsidRPr="00593AD2">
        <w:rPr>
          <w:rFonts w:asciiTheme="minorEastAsia" w:eastAsiaTheme="minorEastAsia" w:hAnsiTheme="minorEastAsia" w:cs="Arial" w:hint="eastAsia"/>
          <w:b/>
          <w:color w:val="000000" w:themeColor="text1"/>
          <w:kern w:val="0"/>
          <w:sz w:val="24"/>
        </w:rPr>
        <w:t>基金投资组合平均剩余期限</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94</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102</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85</w:t>
            </w:r>
          </w:p>
        </w:tc>
      </w:tr>
    </w:tbl>
    <w:p w:rsidR="006B4FD5" w:rsidRPr="003025FA" w:rsidRDefault="006B4FD5" w:rsidP="006B4FD5">
      <w:pPr>
        <w:spacing w:line="360" w:lineRule="auto"/>
        <w:rPr>
          <w:rFonts w:asciiTheme="minorEastAsia" w:eastAsiaTheme="minorEastAsia" w:hAnsiTheme="minorEastAsia"/>
          <w:b/>
          <w:color w:val="000000" w:themeColor="text1"/>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根据基金合同约定，本基金投资组合的平均剩余期限不超过120天。在本报告期内本基金未出现投资组合平均剩余期限超过120天的情况。</w:t>
      </w:r>
    </w:p>
    <w:p w:rsidR="006B4FD5" w:rsidRPr="003025FA" w:rsidRDefault="006B4FD5" w:rsidP="006B4FD5">
      <w:pPr>
        <w:adjustRightInd w:val="0"/>
        <w:spacing w:line="360" w:lineRule="auto"/>
        <w:rPr>
          <w:rFonts w:asciiTheme="minorEastAsia" w:eastAsiaTheme="minorEastAsia" w:hAnsiTheme="minorEastAsia"/>
          <w:color w:val="000000" w:themeColor="text1"/>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33.56</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0.72</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12.07</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6.58</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21.34</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26.56</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100.11</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0.72</w:t>
            </w:r>
          </w:p>
        </w:tc>
      </w:tr>
    </w:tbl>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50,958,420.65</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0.77</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369,521,137.18</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5.56</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369,521,137.18</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5.56</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243,145,053.31</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3.66</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B1623D"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6B4FD5" w:rsidRPr="00B1623D"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6B4FD5" w:rsidRPr="00B1623D"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2,102,512,185.75</w:t>
            </w:r>
          </w:p>
        </w:tc>
        <w:tc>
          <w:tcPr>
            <w:tcW w:w="1984" w:type="dxa"/>
            <w:vAlign w:val="center"/>
          </w:tcPr>
          <w:p w:rsidR="006B4FD5" w:rsidRPr="00B1623D"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31.64</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2,766,136,796.89</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41.63</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241"/>
        <w:gridCol w:w="1476"/>
        <w:gridCol w:w="1760"/>
        <w:gridCol w:w="1656"/>
        <w:gridCol w:w="1776"/>
        <w:gridCol w:w="1378"/>
      </w:tblGrid>
      <w:tr w:rsidR="006B4FD5" w:rsidRPr="003025FA" w:rsidTr="00182D82">
        <w:tc>
          <w:tcPr>
            <w:tcW w:w="1547"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1</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112121387</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21渤海银行CD387</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99,906,281.24</w:t>
            </w:r>
          </w:p>
        </w:tc>
        <w:tc>
          <w:tcPr>
            <w:tcW w:w="0" w:type="auto"/>
            <w:vAlign w:val="center"/>
          </w:tcPr>
          <w:p w:rsidR="008509A1" w:rsidRDefault="00BE7933">
            <w:pPr>
              <w:jc w:val="right"/>
            </w:pPr>
            <w:r>
              <w:rPr>
                <w:rFonts w:asciiTheme="minorEastAsia" w:eastAsiaTheme="minorEastAsia" w:hAnsiTheme="minorEastAsia"/>
                <w:color w:val="000000" w:themeColor="text1"/>
                <w:sz w:val="24"/>
              </w:rPr>
              <w:t>1.50</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2</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112121398</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21渤海银行CD398</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99,847,756.98</w:t>
            </w:r>
          </w:p>
        </w:tc>
        <w:tc>
          <w:tcPr>
            <w:tcW w:w="0" w:type="auto"/>
            <w:vAlign w:val="center"/>
          </w:tcPr>
          <w:p w:rsidR="008509A1" w:rsidRDefault="00BE7933">
            <w:pPr>
              <w:jc w:val="right"/>
            </w:pPr>
            <w:r>
              <w:rPr>
                <w:rFonts w:asciiTheme="minorEastAsia" w:eastAsiaTheme="minorEastAsia" w:hAnsiTheme="minorEastAsia"/>
                <w:color w:val="000000" w:themeColor="text1"/>
                <w:sz w:val="24"/>
              </w:rPr>
              <w:t>1.50</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3</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112113205</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21浙商银行CD205</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99,842,977.40</w:t>
            </w:r>
          </w:p>
        </w:tc>
        <w:tc>
          <w:tcPr>
            <w:tcW w:w="0" w:type="auto"/>
            <w:vAlign w:val="center"/>
          </w:tcPr>
          <w:p w:rsidR="008509A1" w:rsidRDefault="00BE7933">
            <w:pPr>
              <w:jc w:val="right"/>
            </w:pPr>
            <w:r>
              <w:rPr>
                <w:rFonts w:asciiTheme="minorEastAsia" w:eastAsiaTheme="minorEastAsia" w:hAnsiTheme="minorEastAsia"/>
                <w:color w:val="000000" w:themeColor="text1"/>
                <w:sz w:val="24"/>
              </w:rPr>
              <w:t>1.50</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4</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112113213</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21浙商银行CD213</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99,815,796.46</w:t>
            </w:r>
          </w:p>
        </w:tc>
        <w:tc>
          <w:tcPr>
            <w:tcW w:w="0" w:type="auto"/>
            <w:vAlign w:val="center"/>
          </w:tcPr>
          <w:p w:rsidR="008509A1" w:rsidRDefault="00BE7933">
            <w:pPr>
              <w:jc w:val="right"/>
            </w:pPr>
            <w:r>
              <w:rPr>
                <w:rFonts w:asciiTheme="minorEastAsia" w:eastAsiaTheme="minorEastAsia" w:hAnsiTheme="minorEastAsia"/>
                <w:color w:val="000000" w:themeColor="text1"/>
                <w:sz w:val="24"/>
              </w:rPr>
              <w:t>1.50</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5</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112121296</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21渤海银行CD296</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99,727,185.60</w:t>
            </w:r>
          </w:p>
        </w:tc>
        <w:tc>
          <w:tcPr>
            <w:tcW w:w="0" w:type="auto"/>
            <w:vAlign w:val="center"/>
          </w:tcPr>
          <w:p w:rsidR="008509A1" w:rsidRDefault="00BE7933">
            <w:pPr>
              <w:jc w:val="right"/>
            </w:pPr>
            <w:r>
              <w:rPr>
                <w:rFonts w:asciiTheme="minorEastAsia" w:eastAsiaTheme="minorEastAsia" w:hAnsiTheme="minorEastAsia"/>
                <w:color w:val="000000" w:themeColor="text1"/>
                <w:sz w:val="24"/>
              </w:rPr>
              <w:t>1.50</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6</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112121421</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21渤海银行CD421</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99,712,971.06</w:t>
            </w:r>
          </w:p>
        </w:tc>
        <w:tc>
          <w:tcPr>
            <w:tcW w:w="0" w:type="auto"/>
            <w:vAlign w:val="center"/>
          </w:tcPr>
          <w:p w:rsidR="008509A1" w:rsidRDefault="00BE7933">
            <w:pPr>
              <w:jc w:val="right"/>
            </w:pPr>
            <w:r>
              <w:rPr>
                <w:rFonts w:asciiTheme="minorEastAsia" w:eastAsiaTheme="minorEastAsia" w:hAnsiTheme="minorEastAsia"/>
                <w:color w:val="000000" w:themeColor="text1"/>
                <w:sz w:val="24"/>
              </w:rPr>
              <w:t>1.50</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7</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112121298</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21渤海银行CD298</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99,705,679.34</w:t>
            </w:r>
          </w:p>
        </w:tc>
        <w:tc>
          <w:tcPr>
            <w:tcW w:w="0" w:type="auto"/>
            <w:vAlign w:val="center"/>
          </w:tcPr>
          <w:p w:rsidR="008509A1" w:rsidRDefault="00BE7933">
            <w:pPr>
              <w:jc w:val="right"/>
            </w:pPr>
            <w:r>
              <w:rPr>
                <w:rFonts w:asciiTheme="minorEastAsia" w:eastAsiaTheme="minorEastAsia" w:hAnsiTheme="minorEastAsia"/>
                <w:color w:val="000000" w:themeColor="text1"/>
                <w:sz w:val="24"/>
              </w:rPr>
              <w:t>1.50</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8</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112121447</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21渤海银行CD447</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99,564,292.17</w:t>
            </w:r>
          </w:p>
        </w:tc>
        <w:tc>
          <w:tcPr>
            <w:tcW w:w="0" w:type="auto"/>
            <w:vAlign w:val="center"/>
          </w:tcPr>
          <w:p w:rsidR="008509A1" w:rsidRDefault="00BE7933">
            <w:pPr>
              <w:jc w:val="right"/>
            </w:pPr>
            <w:r>
              <w:rPr>
                <w:rFonts w:asciiTheme="minorEastAsia" w:eastAsiaTheme="minorEastAsia" w:hAnsiTheme="minorEastAsia"/>
                <w:color w:val="000000" w:themeColor="text1"/>
                <w:sz w:val="24"/>
              </w:rPr>
              <w:t>1.50</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9</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112121496</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21渤海银行CD496</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99,341,989.56</w:t>
            </w:r>
          </w:p>
        </w:tc>
        <w:tc>
          <w:tcPr>
            <w:tcW w:w="0" w:type="auto"/>
            <w:vAlign w:val="center"/>
          </w:tcPr>
          <w:p w:rsidR="008509A1" w:rsidRDefault="00BE7933">
            <w:pPr>
              <w:jc w:val="right"/>
            </w:pPr>
            <w:r>
              <w:rPr>
                <w:rFonts w:asciiTheme="minorEastAsia" w:eastAsiaTheme="minorEastAsia" w:hAnsiTheme="minorEastAsia"/>
                <w:color w:val="000000" w:themeColor="text1"/>
                <w:sz w:val="24"/>
              </w:rPr>
              <w:t>1.50</w:t>
            </w:r>
          </w:p>
        </w:tc>
      </w:tr>
      <w:tr w:rsidR="008509A1">
        <w:tc>
          <w:tcPr>
            <w:tcW w:w="0" w:type="auto"/>
            <w:vAlign w:val="center"/>
          </w:tcPr>
          <w:p w:rsidR="008509A1" w:rsidRDefault="00BE7933">
            <w:pPr>
              <w:jc w:val="center"/>
            </w:pPr>
            <w:r>
              <w:rPr>
                <w:rFonts w:asciiTheme="minorEastAsia" w:eastAsiaTheme="minorEastAsia" w:hAnsiTheme="minorEastAsia"/>
                <w:color w:val="000000" w:themeColor="text1"/>
                <w:sz w:val="24"/>
              </w:rPr>
              <w:t>10</w:t>
            </w:r>
          </w:p>
        </w:tc>
        <w:tc>
          <w:tcPr>
            <w:tcW w:w="0" w:type="auto"/>
            <w:vAlign w:val="center"/>
          </w:tcPr>
          <w:p w:rsidR="008509A1" w:rsidRDefault="00BE7933">
            <w:pPr>
              <w:jc w:val="center"/>
            </w:pPr>
            <w:r>
              <w:rPr>
                <w:rFonts w:asciiTheme="minorEastAsia" w:eastAsiaTheme="minorEastAsia" w:hAnsiTheme="minorEastAsia"/>
                <w:color w:val="000000" w:themeColor="text1"/>
                <w:sz w:val="24"/>
              </w:rPr>
              <w:t>112110266</w:t>
            </w:r>
          </w:p>
        </w:tc>
        <w:tc>
          <w:tcPr>
            <w:tcW w:w="0" w:type="auto"/>
            <w:vAlign w:val="center"/>
          </w:tcPr>
          <w:p w:rsidR="008509A1" w:rsidRDefault="00BE7933">
            <w:pPr>
              <w:jc w:val="center"/>
            </w:pPr>
            <w:r>
              <w:rPr>
                <w:rFonts w:asciiTheme="minorEastAsia" w:eastAsiaTheme="minorEastAsia" w:hAnsiTheme="minorEastAsia"/>
                <w:color w:val="000000" w:themeColor="text1"/>
                <w:sz w:val="24"/>
              </w:rPr>
              <w:t>21兴业银行CD266</w:t>
            </w:r>
          </w:p>
        </w:tc>
        <w:tc>
          <w:tcPr>
            <w:tcW w:w="0" w:type="auto"/>
            <w:vAlign w:val="center"/>
          </w:tcPr>
          <w:p w:rsidR="008509A1" w:rsidRDefault="00BE7933">
            <w:pPr>
              <w:jc w:val="right"/>
            </w:pPr>
            <w:r>
              <w:rPr>
                <w:rFonts w:asciiTheme="minorEastAsia" w:eastAsiaTheme="minorEastAsia" w:hAnsiTheme="minorEastAsia"/>
                <w:color w:val="000000" w:themeColor="text1"/>
                <w:sz w:val="24"/>
              </w:rPr>
              <w:t>1,000,000.00</w:t>
            </w:r>
          </w:p>
        </w:tc>
        <w:tc>
          <w:tcPr>
            <w:tcW w:w="0" w:type="auto"/>
            <w:vAlign w:val="center"/>
          </w:tcPr>
          <w:p w:rsidR="008509A1" w:rsidRDefault="00BE7933">
            <w:pPr>
              <w:jc w:val="right"/>
            </w:pPr>
            <w:r>
              <w:rPr>
                <w:rFonts w:asciiTheme="minorEastAsia" w:eastAsiaTheme="minorEastAsia" w:hAnsiTheme="minorEastAsia"/>
                <w:color w:val="000000" w:themeColor="text1"/>
                <w:sz w:val="24"/>
              </w:rPr>
              <w:t>99,294,750.24</w:t>
            </w:r>
          </w:p>
        </w:tc>
        <w:tc>
          <w:tcPr>
            <w:tcW w:w="0" w:type="auto"/>
            <w:vAlign w:val="center"/>
          </w:tcPr>
          <w:p w:rsidR="008509A1" w:rsidRDefault="00BE7933">
            <w:pPr>
              <w:jc w:val="right"/>
            </w:pPr>
            <w:r>
              <w:rPr>
                <w:rFonts w:asciiTheme="minorEastAsia" w:eastAsiaTheme="minorEastAsia" w:hAnsiTheme="minorEastAsia"/>
                <w:color w:val="000000" w:themeColor="text1"/>
                <w:sz w:val="24"/>
              </w:rPr>
              <w:t>1.49</w:t>
            </w:r>
          </w:p>
        </w:tc>
      </w:tr>
    </w:tbl>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0.0456%</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0.0134%</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0.0293%</w:t>
            </w:r>
          </w:p>
        </w:tc>
      </w:tr>
    </w:tbl>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6B4FD5"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8011BF">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6B4FD5" w:rsidRPr="003025FA" w:rsidRDefault="006B4FD5" w:rsidP="006B4FD5">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6B4FD5" w:rsidRPr="00C57AF1" w:rsidRDefault="006B4FD5" w:rsidP="006B4FD5">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976A1A" w:rsidRPr="00593AD2" w:rsidRDefault="006B4FD5" w:rsidP="006B4FD5">
      <w:pPr>
        <w:widowControl/>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5.9.2本基金投资的前十名证券的发行主体本期没有出现被监管部门立案调查，或在报告编制日前一年内受到公开谴责、处罚的情形。</w:t>
      </w:r>
    </w:p>
    <w:p w:rsidR="00976A1A" w:rsidRPr="00593AD2" w:rsidRDefault="00976A1A" w:rsidP="00976A1A">
      <w:pPr>
        <w:adjustRightInd w:val="0"/>
        <w:spacing w:line="360" w:lineRule="auto"/>
        <w:rPr>
          <w:rFonts w:asciiTheme="minorEastAsia" w:eastAsiaTheme="minorEastAsia" w:hAnsiTheme="minorEastAsia"/>
          <w:color w:val="000000" w:themeColor="text1"/>
          <w:sz w:val="24"/>
        </w:rPr>
      </w:pPr>
    </w:p>
    <w:p w:rsidR="00976A1A" w:rsidRPr="00593AD2" w:rsidRDefault="00976A1A" w:rsidP="00976A1A">
      <w:pPr>
        <w:spacing w:line="360" w:lineRule="auto"/>
        <w:rPr>
          <w:rFonts w:asciiTheme="minorEastAsia" w:eastAsiaTheme="minorEastAsia" w:hAnsiTheme="minorEastAsia"/>
          <w:b/>
          <w:bCs/>
          <w:color w:val="000000" w:themeColor="text1"/>
          <w:sz w:val="24"/>
        </w:rPr>
      </w:pPr>
      <w:r w:rsidRPr="00593AD2">
        <w:rPr>
          <w:rFonts w:asciiTheme="minorEastAsia" w:eastAsiaTheme="minorEastAsia" w:hAnsiTheme="minorEastAsia" w:hint="eastAsia"/>
          <w:b/>
          <w:color w:val="000000" w:themeColor="text1"/>
          <w:sz w:val="24"/>
        </w:rPr>
        <w:t>5</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9</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3其他各项资产构成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序号</w:t>
            </w:r>
          </w:p>
        </w:tc>
        <w:tc>
          <w:tcPr>
            <w:tcW w:w="3535"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名称</w:t>
            </w:r>
          </w:p>
        </w:tc>
        <w:tc>
          <w:tcPr>
            <w:tcW w:w="4808"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金额(元)</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1</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存出保证金</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47,808,597.39</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应收利息</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应收申购款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624,651.36</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5</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其他应收款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6</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待摊费用</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7</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其他</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8</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合计</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48,433,248.75</w:t>
            </w:r>
          </w:p>
        </w:tc>
      </w:tr>
    </w:tbl>
    <w:p w:rsidR="00976A1A" w:rsidRPr="00593AD2" w:rsidRDefault="00976A1A" w:rsidP="00976A1A">
      <w:pPr>
        <w:autoSpaceDE w:val="0"/>
        <w:autoSpaceDN w:val="0"/>
        <w:adjustRightInd w:val="0"/>
        <w:spacing w:line="360" w:lineRule="auto"/>
        <w:rPr>
          <w:rFonts w:asciiTheme="minorEastAsia" w:eastAsiaTheme="minorEastAsia" w:hAnsiTheme="minorEastAsia"/>
          <w:color w:val="000000" w:themeColor="text1"/>
          <w:sz w:val="24"/>
        </w:rPr>
      </w:pPr>
    </w:p>
    <w:p w:rsidR="00976A1A" w:rsidRPr="00593AD2" w:rsidRDefault="00976A1A" w:rsidP="00976A1A">
      <w:pPr>
        <w:spacing w:line="360" w:lineRule="auto"/>
        <w:rPr>
          <w:rFonts w:asciiTheme="minorEastAsia" w:eastAsiaTheme="minorEastAsia" w:hAnsiTheme="minorEastAsia"/>
          <w:b/>
          <w:bCs/>
          <w:color w:val="000000" w:themeColor="text1"/>
          <w:sz w:val="24"/>
        </w:rPr>
      </w:pPr>
      <w:r w:rsidRPr="00593AD2">
        <w:rPr>
          <w:rFonts w:asciiTheme="minorEastAsia" w:eastAsiaTheme="minorEastAsia" w:hAnsiTheme="minorEastAsia" w:hint="eastAsia"/>
          <w:b/>
          <w:color w:val="000000" w:themeColor="text1"/>
          <w:sz w:val="24"/>
        </w:rPr>
        <w:t>5</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9</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4</w:t>
      </w:r>
      <w:r w:rsidRPr="00593AD2">
        <w:rPr>
          <w:rFonts w:asciiTheme="minorEastAsia" w:eastAsiaTheme="minorEastAsia" w:hAnsiTheme="minorEastAsia" w:hint="eastAsia"/>
          <w:b/>
          <w:bCs/>
          <w:color w:val="000000" w:themeColor="text1"/>
          <w:sz w:val="24"/>
        </w:rPr>
        <w:t>投资组合报告附注的其他文字描述部分</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因四舍五入原因，投资组合报告中市值占净值比例的分项之和与合计可能存在尾差。</w:t>
      </w:r>
    </w:p>
    <w:p w:rsidR="00976A1A" w:rsidRPr="00593AD2" w:rsidRDefault="00976A1A" w:rsidP="00976A1A">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基金份额持有人如欲了解本基金投资组合的其他相关信息，可致电本基金管理人获取。</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6  </w:t>
      </w:r>
      <w:r w:rsidRPr="00593AD2">
        <w:rPr>
          <w:rFonts w:asciiTheme="minorEastAsia" w:eastAsiaTheme="minorEastAsia" w:hAnsiTheme="minorEastAsia" w:cs="Arial" w:hint="eastAsia"/>
          <w:color w:val="000000" w:themeColor="text1"/>
          <w:kern w:val="0"/>
          <w:sz w:val="24"/>
          <w:szCs w:val="24"/>
        </w:rPr>
        <w:t>开放式基金份额变动</w:t>
      </w:r>
    </w:p>
    <w:p w:rsidR="00902E3F" w:rsidRPr="00593AD2"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单位：份</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2268"/>
        <w:gridCol w:w="2268"/>
        <w:gridCol w:w="2269"/>
      </w:tblGrid>
      <w:tr w:rsidR="00593AD2" w:rsidRPr="00593AD2" w:rsidTr="00102307">
        <w:trPr>
          <w:jc w:val="center"/>
        </w:trPr>
        <w:tc>
          <w:tcPr>
            <w:tcW w:w="3279"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hint="eastAsia"/>
                <w:color w:val="000000" w:themeColor="text1"/>
                <w:kern w:val="0"/>
                <w:sz w:val="24"/>
              </w:rPr>
              <w:t>项目</w:t>
            </w:r>
          </w:p>
        </w:tc>
        <w:tc>
          <w:tcPr>
            <w:tcW w:w="2268"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上投摩根天添盈货币A类</w:t>
            </w:r>
          </w:p>
        </w:tc>
        <w:tc>
          <w:tcPr>
            <w:tcW w:w="2268"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上投摩根天添盈货币B类</w:t>
            </w:r>
          </w:p>
        </w:tc>
        <w:tc>
          <w:tcPr>
            <w:tcW w:w="2269" w:type="dxa"/>
          </w:tcPr>
          <w:p w:rsidR="00102307" w:rsidRPr="00593AD2" w:rsidRDefault="00102307" w:rsidP="003451F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sz w:val="24"/>
              </w:rPr>
              <w:t>上投摩根天添盈货币E类</w:t>
            </w:r>
          </w:p>
        </w:tc>
      </w:tr>
      <w:tr w:rsidR="00593AD2" w:rsidRPr="00593AD2" w:rsidTr="00F56FBC">
        <w:trPr>
          <w:jc w:val="center"/>
        </w:trPr>
        <w:tc>
          <w:tcPr>
            <w:tcW w:w="3279" w:type="dxa"/>
            <w:vAlign w:val="center"/>
          </w:tcPr>
          <w:p w:rsidR="003A1E1E" w:rsidRPr="00593AD2" w:rsidRDefault="003A1E1E" w:rsidP="00587524">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本报告期期初基金份额总额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6,730,893,644.18</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373,301,327.51</w:t>
            </w:r>
          </w:p>
        </w:tc>
      </w:tr>
      <w:tr w:rsidR="00593AD2" w:rsidRPr="00593AD2" w:rsidTr="00F56FBC">
        <w:trPr>
          <w:jc w:val="center"/>
        </w:trPr>
        <w:tc>
          <w:tcPr>
            <w:tcW w:w="3279" w:type="dxa"/>
          </w:tcPr>
          <w:p w:rsidR="003A1E1E" w:rsidRPr="00593AD2" w:rsidRDefault="003A1E1E" w:rsidP="006B56E1">
            <w:pPr>
              <w:adjustRightInd w:val="0"/>
              <w:snapToGrid w:val="0"/>
              <w:spacing w:line="340" w:lineRule="exact"/>
              <w:rPr>
                <w:rFonts w:ascii="宋体" w:hAnsi="宋体"/>
                <w:color w:val="000000" w:themeColor="text1"/>
                <w:sz w:val="24"/>
              </w:rPr>
            </w:pPr>
            <w:r w:rsidRPr="00593AD2">
              <w:rPr>
                <w:rFonts w:asciiTheme="minorEastAsia" w:eastAsiaTheme="minorEastAsia" w:hAnsiTheme="minorEastAsia" w:cs="宋体"/>
                <w:color w:val="000000" w:themeColor="text1"/>
                <w:kern w:val="0"/>
                <w:sz w:val="24"/>
              </w:rPr>
              <w:t>报告期期间</w:t>
            </w:r>
            <w:r w:rsidRPr="00593AD2">
              <w:rPr>
                <w:rFonts w:ascii="宋体" w:hAnsi="宋体" w:hint="eastAsia"/>
                <w:color w:val="000000" w:themeColor="text1"/>
                <w:sz w:val="24"/>
              </w:rPr>
              <w:t>基金总申购份额</w:t>
            </w:r>
          </w:p>
        </w:tc>
        <w:tc>
          <w:tcPr>
            <w:tcW w:w="2268" w:type="dxa"/>
            <w:vAlign w:val="center"/>
          </w:tcPr>
          <w:p w:rsidR="003A1E1E" w:rsidRPr="00593AD2" w:rsidRDefault="00704607"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501,973,157.37</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357,049,493.35</w:t>
            </w:r>
          </w:p>
        </w:tc>
      </w:tr>
      <w:tr w:rsidR="00593AD2" w:rsidRPr="00593AD2" w:rsidTr="00F56FBC">
        <w:trPr>
          <w:jc w:val="center"/>
        </w:trPr>
        <w:tc>
          <w:tcPr>
            <w:tcW w:w="3279" w:type="dxa"/>
          </w:tcPr>
          <w:p w:rsidR="003A1E1E" w:rsidRPr="00593AD2" w:rsidRDefault="003A1E1E" w:rsidP="006B56E1">
            <w:pPr>
              <w:adjustRightInd w:val="0"/>
              <w:snapToGrid w:val="0"/>
              <w:spacing w:line="340" w:lineRule="exact"/>
              <w:rPr>
                <w:rFonts w:ascii="宋体" w:hAnsi="宋体"/>
                <w:color w:val="000000" w:themeColor="text1"/>
                <w:sz w:val="24"/>
              </w:rPr>
            </w:pPr>
            <w:r w:rsidRPr="00593AD2">
              <w:rPr>
                <w:rFonts w:asciiTheme="minorEastAsia" w:eastAsiaTheme="minorEastAsia" w:hAnsiTheme="minorEastAsia" w:cs="宋体"/>
                <w:color w:val="000000" w:themeColor="text1"/>
                <w:kern w:val="0"/>
                <w:sz w:val="24"/>
              </w:rPr>
              <w:t>报告期期间</w:t>
            </w:r>
            <w:r w:rsidRPr="00593AD2">
              <w:rPr>
                <w:rFonts w:ascii="宋体" w:hAnsi="宋体" w:hint="eastAsia"/>
                <w:color w:val="000000" w:themeColor="text1"/>
                <w:sz w:val="24"/>
              </w:rPr>
              <w:t>基金总赎回份额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973,852,000.15</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344,755,158.66</w:t>
            </w:r>
          </w:p>
        </w:tc>
      </w:tr>
      <w:tr w:rsidR="005C0C60" w:rsidRPr="00593AD2" w:rsidTr="005C0C60">
        <w:trPr>
          <w:jc w:val="center"/>
        </w:trPr>
        <w:tc>
          <w:tcPr>
            <w:tcW w:w="3279" w:type="dxa"/>
            <w:vAlign w:val="center"/>
          </w:tcPr>
          <w:p w:rsidR="005C0C60" w:rsidRPr="005C0C60" w:rsidRDefault="005C0C60" w:rsidP="005C0C60">
            <w:pPr>
              <w:autoSpaceDE w:val="0"/>
              <w:autoSpaceDN w:val="0"/>
              <w:adjustRightInd w:val="0"/>
              <w:spacing w:before="29" w:line="360" w:lineRule="auto"/>
              <w:ind w:left="17"/>
              <w:rPr>
                <w:rFonts w:eastAsiaTheme="minorEastAsia"/>
                <w:color w:val="000000" w:themeColor="text1"/>
                <w:kern w:val="0"/>
                <w:sz w:val="24"/>
              </w:rPr>
            </w:pPr>
            <w:r w:rsidRPr="005C0C60">
              <w:rPr>
                <w:rFonts w:asciiTheme="minorEastAsia" w:eastAsiaTheme="minorEastAsia" w:hAnsiTheme="minorEastAsia"/>
                <w:color w:val="000000" w:themeColor="text1"/>
                <w:kern w:val="0"/>
                <w:sz w:val="24"/>
              </w:rPr>
              <w:t>报告期期间</w:t>
            </w:r>
            <w:r w:rsidRPr="005C0C60">
              <w:rPr>
                <w:rFonts w:eastAsiaTheme="minorEastAsia"/>
                <w:color w:val="000000" w:themeColor="text1"/>
                <w:kern w:val="0"/>
                <w:sz w:val="24"/>
              </w:rPr>
              <w:t>基金拆分变动份额</w:t>
            </w:r>
          </w:p>
        </w:tc>
        <w:tc>
          <w:tcPr>
            <w:tcW w:w="2268"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c>
          <w:tcPr>
            <w:tcW w:w="2268"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c>
          <w:tcPr>
            <w:tcW w:w="2269"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r>
      <w:tr w:rsidR="00593AD2" w:rsidRPr="00593AD2" w:rsidTr="00A40052">
        <w:trPr>
          <w:jc w:val="center"/>
        </w:trPr>
        <w:tc>
          <w:tcPr>
            <w:tcW w:w="3279" w:type="dxa"/>
          </w:tcPr>
          <w:p w:rsidR="003A1E1E" w:rsidRPr="00593AD2" w:rsidRDefault="003A1E1E" w:rsidP="00587524">
            <w:pPr>
              <w:adjustRightInd w:val="0"/>
              <w:snapToGrid w:val="0"/>
              <w:spacing w:line="340" w:lineRule="exact"/>
              <w:rPr>
                <w:rFonts w:ascii="宋体" w:hAnsi="宋体"/>
                <w:color w:val="000000" w:themeColor="text1"/>
                <w:sz w:val="24"/>
              </w:rPr>
            </w:pPr>
            <w:r w:rsidRPr="00593AD2">
              <w:rPr>
                <w:rFonts w:ascii="宋体" w:hAnsi="宋体" w:hint="eastAsia"/>
                <w:color w:val="000000" w:themeColor="text1"/>
                <w:sz w:val="24"/>
              </w:rPr>
              <w:t>报告期期末基金份额总额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6,259,014,801.40</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385,595,662.20</w:t>
            </w:r>
          </w:p>
        </w:tc>
      </w:tr>
    </w:tbl>
    <w:p w:rsidR="00D66016" w:rsidRPr="00593AD2" w:rsidRDefault="00D66016"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 xml:space="preserve">§7  </w:t>
      </w:r>
      <w:r w:rsidR="00877329" w:rsidRPr="00593AD2">
        <w:rPr>
          <w:rFonts w:asciiTheme="minorEastAsia" w:eastAsiaTheme="minorEastAsia" w:hAnsiTheme="minorEastAsia" w:cs="Arial" w:hint="eastAsia"/>
          <w:color w:val="000000" w:themeColor="text1"/>
          <w:kern w:val="0"/>
          <w:sz w:val="24"/>
          <w:szCs w:val="24"/>
        </w:rPr>
        <w:t>基金管理人运用固有资金投资本基金交易明细</w:t>
      </w:r>
    </w:p>
    <w:p w:rsidR="000A466F" w:rsidRPr="00593AD2" w:rsidRDefault="000A466F" w:rsidP="000A466F">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无。</w:t>
      </w:r>
    </w:p>
    <w:p w:rsidR="009D74FC" w:rsidRPr="00593AD2" w:rsidRDefault="009D74FC"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00DA5831" w:rsidRPr="00593AD2">
        <w:rPr>
          <w:rFonts w:asciiTheme="minorEastAsia" w:eastAsiaTheme="minorEastAsia" w:hAnsiTheme="minorEastAsia" w:cs="Arial" w:hint="eastAsia"/>
          <w:color w:val="000000" w:themeColor="text1"/>
          <w:kern w:val="0"/>
          <w:sz w:val="24"/>
          <w:szCs w:val="24"/>
        </w:rPr>
        <w:t>8</w:t>
      </w:r>
      <w:r w:rsidRPr="00593AD2">
        <w:rPr>
          <w:rFonts w:asciiTheme="minorEastAsia" w:eastAsiaTheme="minorEastAsia" w:hAnsiTheme="minorEastAsia" w:cs="Arial"/>
          <w:color w:val="000000" w:themeColor="text1"/>
          <w:kern w:val="0"/>
          <w:sz w:val="24"/>
          <w:szCs w:val="24"/>
        </w:rPr>
        <w:t>备查文件目录</w:t>
      </w: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8</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1</w:t>
      </w:r>
      <w:r w:rsidR="00AB373C" w:rsidRPr="00593AD2">
        <w:rPr>
          <w:rFonts w:asciiTheme="minorEastAsia" w:eastAsiaTheme="minorEastAsia" w:hAnsiTheme="minorEastAsia" w:hint="eastAsia"/>
          <w:b/>
          <w:bCs/>
          <w:color w:val="000000" w:themeColor="text1"/>
          <w:kern w:val="0"/>
          <w:sz w:val="24"/>
        </w:rPr>
        <w:t>备查文件目录</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 中国证监会批准上投摩根天添盈货币市场基金设立的文件；</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 《上投摩根天添盈货币市场基金基金合同》；</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 《上投摩根天添盈货币市场基金基金托管协议》；</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 《上投摩根基金管理有限公司开放式基金业务规则》；</w:t>
      </w:r>
    </w:p>
    <w:p w:rsidR="008509A1" w:rsidRDefault="00BE79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  基金管理人业务资格批件、营业执照；</w:t>
      </w:r>
    </w:p>
    <w:p w:rsidR="00AB373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6.   基金托管人业务资格批件、营业执照。</w:t>
      </w:r>
    </w:p>
    <w:p w:rsidR="00162222" w:rsidRPr="00593AD2"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8</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2</w:t>
      </w:r>
      <w:r w:rsidR="00AB373C" w:rsidRPr="00593AD2">
        <w:rPr>
          <w:rFonts w:asciiTheme="minorEastAsia" w:eastAsiaTheme="minorEastAsia" w:hAnsiTheme="minorEastAsia" w:hint="eastAsia"/>
          <w:b/>
          <w:bCs/>
          <w:color w:val="000000" w:themeColor="text1"/>
          <w:kern w:val="0"/>
          <w:sz w:val="24"/>
        </w:rPr>
        <w:t>存放地点</w:t>
      </w:r>
    </w:p>
    <w:p w:rsidR="00AB373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基金管理人或基金托管人处。</w:t>
      </w:r>
    </w:p>
    <w:p w:rsidR="00162222" w:rsidRPr="00593AD2"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8</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3</w:t>
      </w:r>
      <w:r w:rsidR="00AB373C" w:rsidRPr="00593AD2">
        <w:rPr>
          <w:rFonts w:asciiTheme="minorEastAsia" w:eastAsiaTheme="minorEastAsia" w:hAnsiTheme="minorEastAsia" w:hint="eastAsia"/>
          <w:b/>
          <w:bCs/>
          <w:color w:val="000000" w:themeColor="text1"/>
          <w:kern w:val="0"/>
          <w:sz w:val="24"/>
        </w:rPr>
        <w:t>查阅方式</w:t>
      </w:r>
    </w:p>
    <w:p w:rsidR="009D74F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投资者可在营业时间免费查阅，也可按工本费购买复印件。</w:t>
      </w:r>
    </w:p>
    <w:p w:rsidR="00162222" w:rsidRPr="00593AD2"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593AD2"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593AD2"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593AD2" w:rsidRDefault="002611C3" w:rsidP="00394BC1">
      <w:pPr>
        <w:spacing w:line="360" w:lineRule="auto"/>
        <w:jc w:val="right"/>
        <w:rPr>
          <w:rFonts w:asciiTheme="minorEastAsia" w:eastAsiaTheme="minorEastAsia" w:hAnsiTheme="minorEastAsia"/>
          <w:b/>
          <w:bCs/>
          <w:color w:val="000000" w:themeColor="text1"/>
          <w:sz w:val="24"/>
        </w:rPr>
      </w:pPr>
      <w:r w:rsidRPr="00593AD2">
        <w:rPr>
          <w:rFonts w:asciiTheme="minorEastAsia" w:eastAsiaTheme="minorEastAsia" w:hAnsiTheme="minorEastAsia"/>
          <w:b/>
          <w:bCs/>
          <w:color w:val="000000" w:themeColor="text1"/>
          <w:sz w:val="24"/>
        </w:rPr>
        <w:t>上投摩根基金管理有限公司</w:t>
      </w:r>
    </w:p>
    <w:p w:rsidR="003B6DC6" w:rsidRPr="00593AD2" w:rsidRDefault="00D87D00" w:rsidP="00394BC1">
      <w:pPr>
        <w:spacing w:line="360" w:lineRule="auto"/>
        <w:jc w:val="right"/>
        <w:rPr>
          <w:rFonts w:asciiTheme="minorEastAsia" w:eastAsiaTheme="minorEastAsia" w:hAnsiTheme="minorEastAsia"/>
          <w:b/>
          <w:bCs/>
          <w:color w:val="000000" w:themeColor="text1"/>
          <w:sz w:val="24"/>
        </w:rPr>
      </w:pPr>
      <w:r w:rsidRPr="00593AD2">
        <w:rPr>
          <w:rFonts w:asciiTheme="minorEastAsia" w:eastAsiaTheme="minorEastAsia" w:hAnsiTheme="minorEastAsia"/>
          <w:b/>
          <w:bCs/>
          <w:color w:val="000000" w:themeColor="text1"/>
          <w:sz w:val="24"/>
        </w:rPr>
        <w:t>二〇二二年四月二十二日</w:t>
      </w:r>
    </w:p>
    <w:sectPr w:rsidR="003B6DC6" w:rsidRPr="00593AD2"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42" w:rsidRDefault="00B15A42">
      <w:r>
        <w:separator/>
      </w:r>
    </w:p>
  </w:endnote>
  <w:endnote w:type="continuationSeparator" w:id="0">
    <w:p w:rsidR="00B15A42" w:rsidRDefault="00B1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5D" w:rsidRPr="001D0DB0" w:rsidRDefault="00025C5D" w:rsidP="001D0DB0">
    <w:pPr>
      <w:pStyle w:val="a6"/>
      <w:jc w:val="center"/>
    </w:pPr>
    <w:r>
      <w:rPr>
        <w:rFonts w:hint="eastAsia"/>
        <w:kern w:val="0"/>
        <w:szCs w:val="21"/>
      </w:rPr>
      <w:t>第</w:t>
    </w:r>
    <w:r w:rsidR="00DE59DF">
      <w:rPr>
        <w:kern w:val="0"/>
        <w:szCs w:val="21"/>
      </w:rPr>
      <w:fldChar w:fldCharType="begin"/>
    </w:r>
    <w:r>
      <w:rPr>
        <w:kern w:val="0"/>
        <w:szCs w:val="21"/>
      </w:rPr>
      <w:instrText xml:space="preserve"> PAGE </w:instrText>
    </w:r>
    <w:r w:rsidR="00DE59DF">
      <w:rPr>
        <w:kern w:val="0"/>
        <w:szCs w:val="21"/>
      </w:rPr>
      <w:fldChar w:fldCharType="separate"/>
    </w:r>
    <w:r w:rsidR="002E1928">
      <w:rPr>
        <w:noProof/>
        <w:kern w:val="0"/>
        <w:szCs w:val="21"/>
      </w:rPr>
      <w:t>1</w:t>
    </w:r>
    <w:r w:rsidR="00DE59DF">
      <w:rPr>
        <w:kern w:val="0"/>
        <w:szCs w:val="21"/>
      </w:rPr>
      <w:fldChar w:fldCharType="end"/>
    </w:r>
    <w:r>
      <w:rPr>
        <w:rFonts w:hint="eastAsia"/>
        <w:kern w:val="0"/>
        <w:szCs w:val="21"/>
      </w:rPr>
      <w:t>页共</w:t>
    </w:r>
    <w:r w:rsidR="00DE59DF">
      <w:rPr>
        <w:kern w:val="0"/>
        <w:szCs w:val="21"/>
      </w:rPr>
      <w:fldChar w:fldCharType="begin"/>
    </w:r>
    <w:r>
      <w:rPr>
        <w:kern w:val="0"/>
        <w:szCs w:val="21"/>
      </w:rPr>
      <w:instrText xml:space="preserve"> NUMPAGES </w:instrText>
    </w:r>
    <w:r w:rsidR="00DE59DF">
      <w:rPr>
        <w:kern w:val="0"/>
        <w:szCs w:val="21"/>
      </w:rPr>
      <w:fldChar w:fldCharType="separate"/>
    </w:r>
    <w:r w:rsidR="002E1928">
      <w:rPr>
        <w:noProof/>
        <w:kern w:val="0"/>
        <w:szCs w:val="21"/>
      </w:rPr>
      <w:t>17</w:t>
    </w:r>
    <w:r w:rsidR="00DE59D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42" w:rsidRDefault="00B15A42">
      <w:r>
        <w:separator/>
      </w:r>
    </w:p>
  </w:footnote>
  <w:footnote w:type="continuationSeparator" w:id="0">
    <w:p w:rsidR="00B15A42" w:rsidRDefault="00B15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5D" w:rsidRDefault="00025C5D" w:rsidP="008379E2">
    <w:pPr>
      <w:pStyle w:val="a4"/>
      <w:pBdr>
        <w:bottom w:val="single" w:sz="6" w:space="0" w:color="auto"/>
      </w:pBdr>
      <w:jc w:val="right"/>
    </w:pPr>
    <w:r>
      <w:rPr>
        <w:sz w:val="21"/>
        <w:szCs w:val="21"/>
      </w:rPr>
      <w:t>上投摩根天添盈货币市场基金</w:t>
    </w:r>
    <w:r>
      <w:rPr>
        <w:sz w:val="21"/>
        <w:szCs w:val="21"/>
      </w:rPr>
      <w:t>2022</w:t>
    </w:r>
    <w:r>
      <w:rPr>
        <w:sz w:val="21"/>
        <w:szCs w:val="21"/>
      </w:rPr>
      <w:t>年第</w:t>
    </w:r>
    <w:r>
      <w:rPr>
        <w:sz w:val="21"/>
        <w:szCs w:val="21"/>
      </w:rPr>
      <w:t>1</w:t>
    </w:r>
    <w:r>
      <w:rPr>
        <w:sz w:val="21"/>
        <w:szCs w:val="21"/>
      </w:rPr>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15:restartNumberingAfterBreak="0">
    <w:nsid w:val="76E15721"/>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5C5D"/>
    <w:rsid w:val="00035596"/>
    <w:rsid w:val="000417E0"/>
    <w:rsid w:val="00044724"/>
    <w:rsid w:val="0004699A"/>
    <w:rsid w:val="00052CA4"/>
    <w:rsid w:val="00054470"/>
    <w:rsid w:val="0005518A"/>
    <w:rsid w:val="000570EB"/>
    <w:rsid w:val="00057D26"/>
    <w:rsid w:val="00063BA4"/>
    <w:rsid w:val="0006697D"/>
    <w:rsid w:val="00070092"/>
    <w:rsid w:val="0007109E"/>
    <w:rsid w:val="00072602"/>
    <w:rsid w:val="00075BBB"/>
    <w:rsid w:val="00075CA2"/>
    <w:rsid w:val="0007770D"/>
    <w:rsid w:val="000A225E"/>
    <w:rsid w:val="000A39AB"/>
    <w:rsid w:val="000A466F"/>
    <w:rsid w:val="000B2044"/>
    <w:rsid w:val="000B2266"/>
    <w:rsid w:val="000C469F"/>
    <w:rsid w:val="000D0F44"/>
    <w:rsid w:val="000D6294"/>
    <w:rsid w:val="000E0F6E"/>
    <w:rsid w:val="000F3C21"/>
    <w:rsid w:val="000F4826"/>
    <w:rsid w:val="000F5947"/>
    <w:rsid w:val="00101278"/>
    <w:rsid w:val="00102307"/>
    <w:rsid w:val="001038EF"/>
    <w:rsid w:val="00103B93"/>
    <w:rsid w:val="001074D6"/>
    <w:rsid w:val="00113777"/>
    <w:rsid w:val="00114C97"/>
    <w:rsid w:val="001302DB"/>
    <w:rsid w:val="00136502"/>
    <w:rsid w:val="001539FE"/>
    <w:rsid w:val="00157B55"/>
    <w:rsid w:val="00162222"/>
    <w:rsid w:val="001635C7"/>
    <w:rsid w:val="001669F2"/>
    <w:rsid w:val="0016721A"/>
    <w:rsid w:val="0018401C"/>
    <w:rsid w:val="00185622"/>
    <w:rsid w:val="00186667"/>
    <w:rsid w:val="00191B28"/>
    <w:rsid w:val="00193BCF"/>
    <w:rsid w:val="00195C6F"/>
    <w:rsid w:val="00196812"/>
    <w:rsid w:val="00197ED0"/>
    <w:rsid w:val="001A2524"/>
    <w:rsid w:val="001B42BE"/>
    <w:rsid w:val="001B72D6"/>
    <w:rsid w:val="001B7CC6"/>
    <w:rsid w:val="001C5D80"/>
    <w:rsid w:val="001D0D4C"/>
    <w:rsid w:val="001D0DB0"/>
    <w:rsid w:val="001D3FAC"/>
    <w:rsid w:val="001D65C8"/>
    <w:rsid w:val="001D6ECD"/>
    <w:rsid w:val="001D75D9"/>
    <w:rsid w:val="001F0286"/>
    <w:rsid w:val="001F5907"/>
    <w:rsid w:val="00205D49"/>
    <w:rsid w:val="0020640F"/>
    <w:rsid w:val="0021251E"/>
    <w:rsid w:val="00220437"/>
    <w:rsid w:val="00232095"/>
    <w:rsid w:val="00233014"/>
    <w:rsid w:val="0024424F"/>
    <w:rsid w:val="002507FE"/>
    <w:rsid w:val="002525C7"/>
    <w:rsid w:val="002611C3"/>
    <w:rsid w:val="002622E8"/>
    <w:rsid w:val="00267283"/>
    <w:rsid w:val="00274FAC"/>
    <w:rsid w:val="002A4B7F"/>
    <w:rsid w:val="002B45A4"/>
    <w:rsid w:val="002D3ADF"/>
    <w:rsid w:val="002E040C"/>
    <w:rsid w:val="002E0F4A"/>
    <w:rsid w:val="002E1928"/>
    <w:rsid w:val="002F0E9D"/>
    <w:rsid w:val="002F1496"/>
    <w:rsid w:val="002F6539"/>
    <w:rsid w:val="00307062"/>
    <w:rsid w:val="00311ADA"/>
    <w:rsid w:val="00311AEB"/>
    <w:rsid w:val="00322B07"/>
    <w:rsid w:val="0032323A"/>
    <w:rsid w:val="00323377"/>
    <w:rsid w:val="00327FB0"/>
    <w:rsid w:val="0033599F"/>
    <w:rsid w:val="00340292"/>
    <w:rsid w:val="00340456"/>
    <w:rsid w:val="00340C3A"/>
    <w:rsid w:val="00343648"/>
    <w:rsid w:val="00343AF0"/>
    <w:rsid w:val="00346359"/>
    <w:rsid w:val="00346B82"/>
    <w:rsid w:val="0035022C"/>
    <w:rsid w:val="0035215C"/>
    <w:rsid w:val="00362E2A"/>
    <w:rsid w:val="00371E26"/>
    <w:rsid w:val="00373AAB"/>
    <w:rsid w:val="00383631"/>
    <w:rsid w:val="00384942"/>
    <w:rsid w:val="0039077A"/>
    <w:rsid w:val="00394455"/>
    <w:rsid w:val="00394BC1"/>
    <w:rsid w:val="00395D2C"/>
    <w:rsid w:val="003A0EC1"/>
    <w:rsid w:val="003A1E1E"/>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55AA7"/>
    <w:rsid w:val="00460000"/>
    <w:rsid w:val="00461A70"/>
    <w:rsid w:val="004702DF"/>
    <w:rsid w:val="00470F55"/>
    <w:rsid w:val="00471444"/>
    <w:rsid w:val="00473E10"/>
    <w:rsid w:val="00473EC9"/>
    <w:rsid w:val="00474896"/>
    <w:rsid w:val="004771B9"/>
    <w:rsid w:val="004950A3"/>
    <w:rsid w:val="00496B2E"/>
    <w:rsid w:val="004A0C6B"/>
    <w:rsid w:val="004A2432"/>
    <w:rsid w:val="004A357E"/>
    <w:rsid w:val="004A46A0"/>
    <w:rsid w:val="004A5B68"/>
    <w:rsid w:val="004B1C09"/>
    <w:rsid w:val="004C5B7C"/>
    <w:rsid w:val="004D22E1"/>
    <w:rsid w:val="004D51CC"/>
    <w:rsid w:val="004D72C7"/>
    <w:rsid w:val="004E041A"/>
    <w:rsid w:val="004E3452"/>
    <w:rsid w:val="004E4E63"/>
    <w:rsid w:val="00500487"/>
    <w:rsid w:val="00506EF6"/>
    <w:rsid w:val="005109AB"/>
    <w:rsid w:val="005141F5"/>
    <w:rsid w:val="0051505A"/>
    <w:rsid w:val="00515166"/>
    <w:rsid w:val="0051578D"/>
    <w:rsid w:val="005212AE"/>
    <w:rsid w:val="00532457"/>
    <w:rsid w:val="00532749"/>
    <w:rsid w:val="00533490"/>
    <w:rsid w:val="0054464B"/>
    <w:rsid w:val="00546747"/>
    <w:rsid w:val="0054785C"/>
    <w:rsid w:val="00555883"/>
    <w:rsid w:val="00560F94"/>
    <w:rsid w:val="005633AD"/>
    <w:rsid w:val="00564C24"/>
    <w:rsid w:val="00570F8C"/>
    <w:rsid w:val="00575970"/>
    <w:rsid w:val="00582960"/>
    <w:rsid w:val="00592D0A"/>
    <w:rsid w:val="00593AD2"/>
    <w:rsid w:val="00594DCA"/>
    <w:rsid w:val="00595285"/>
    <w:rsid w:val="005A60B7"/>
    <w:rsid w:val="005B527B"/>
    <w:rsid w:val="005C0C60"/>
    <w:rsid w:val="005D1BAF"/>
    <w:rsid w:val="005D596C"/>
    <w:rsid w:val="005D6807"/>
    <w:rsid w:val="005E05CC"/>
    <w:rsid w:val="005E2087"/>
    <w:rsid w:val="005E4C7D"/>
    <w:rsid w:val="005E6FA5"/>
    <w:rsid w:val="005F17EC"/>
    <w:rsid w:val="005F41D2"/>
    <w:rsid w:val="005F668B"/>
    <w:rsid w:val="005F6B28"/>
    <w:rsid w:val="00613327"/>
    <w:rsid w:val="006214E4"/>
    <w:rsid w:val="006254A5"/>
    <w:rsid w:val="006317E8"/>
    <w:rsid w:val="00631E43"/>
    <w:rsid w:val="0063302E"/>
    <w:rsid w:val="00633177"/>
    <w:rsid w:val="006331F2"/>
    <w:rsid w:val="00636261"/>
    <w:rsid w:val="00636B17"/>
    <w:rsid w:val="0064191E"/>
    <w:rsid w:val="00664834"/>
    <w:rsid w:val="00672BEF"/>
    <w:rsid w:val="00673BA5"/>
    <w:rsid w:val="006911A1"/>
    <w:rsid w:val="006A0876"/>
    <w:rsid w:val="006A1E40"/>
    <w:rsid w:val="006A2D00"/>
    <w:rsid w:val="006B4C67"/>
    <w:rsid w:val="006B4FD5"/>
    <w:rsid w:val="006B56E1"/>
    <w:rsid w:val="006D27DD"/>
    <w:rsid w:val="006D4647"/>
    <w:rsid w:val="006D4C22"/>
    <w:rsid w:val="006E4EB5"/>
    <w:rsid w:val="006F1C55"/>
    <w:rsid w:val="006F3CEE"/>
    <w:rsid w:val="006F58CA"/>
    <w:rsid w:val="006F622C"/>
    <w:rsid w:val="00704607"/>
    <w:rsid w:val="00707CB2"/>
    <w:rsid w:val="00710487"/>
    <w:rsid w:val="00714B3D"/>
    <w:rsid w:val="00714FD1"/>
    <w:rsid w:val="007277D1"/>
    <w:rsid w:val="00727EA0"/>
    <w:rsid w:val="0073105A"/>
    <w:rsid w:val="00734B8E"/>
    <w:rsid w:val="00737060"/>
    <w:rsid w:val="00741288"/>
    <w:rsid w:val="0074455F"/>
    <w:rsid w:val="00746FAF"/>
    <w:rsid w:val="007521F9"/>
    <w:rsid w:val="00756489"/>
    <w:rsid w:val="00756EA2"/>
    <w:rsid w:val="00757F37"/>
    <w:rsid w:val="007600BC"/>
    <w:rsid w:val="00762326"/>
    <w:rsid w:val="00762E87"/>
    <w:rsid w:val="00764CF7"/>
    <w:rsid w:val="007723FD"/>
    <w:rsid w:val="00772687"/>
    <w:rsid w:val="00774E1E"/>
    <w:rsid w:val="00780252"/>
    <w:rsid w:val="007806BE"/>
    <w:rsid w:val="00782061"/>
    <w:rsid w:val="00783AD8"/>
    <w:rsid w:val="00785897"/>
    <w:rsid w:val="00785C32"/>
    <w:rsid w:val="007A3F82"/>
    <w:rsid w:val="007B082A"/>
    <w:rsid w:val="007B1C3E"/>
    <w:rsid w:val="007C42E5"/>
    <w:rsid w:val="007E0C02"/>
    <w:rsid w:val="007E5ADE"/>
    <w:rsid w:val="007F1DE3"/>
    <w:rsid w:val="007F7BD7"/>
    <w:rsid w:val="0080026E"/>
    <w:rsid w:val="008011BF"/>
    <w:rsid w:val="008056FA"/>
    <w:rsid w:val="00810ECA"/>
    <w:rsid w:val="008115B6"/>
    <w:rsid w:val="00813897"/>
    <w:rsid w:val="00814461"/>
    <w:rsid w:val="00824D84"/>
    <w:rsid w:val="00825EA5"/>
    <w:rsid w:val="00833555"/>
    <w:rsid w:val="008347B3"/>
    <w:rsid w:val="00834D9F"/>
    <w:rsid w:val="00835BDD"/>
    <w:rsid w:val="008379E2"/>
    <w:rsid w:val="008509A1"/>
    <w:rsid w:val="00852119"/>
    <w:rsid w:val="0085498E"/>
    <w:rsid w:val="0086245E"/>
    <w:rsid w:val="00877329"/>
    <w:rsid w:val="00880EE6"/>
    <w:rsid w:val="00882323"/>
    <w:rsid w:val="00893021"/>
    <w:rsid w:val="008B23BD"/>
    <w:rsid w:val="008C579A"/>
    <w:rsid w:val="008D0A39"/>
    <w:rsid w:val="008D55F2"/>
    <w:rsid w:val="008E4638"/>
    <w:rsid w:val="008E71D2"/>
    <w:rsid w:val="008F44F3"/>
    <w:rsid w:val="009004F7"/>
    <w:rsid w:val="00902E3F"/>
    <w:rsid w:val="00903E98"/>
    <w:rsid w:val="00903F06"/>
    <w:rsid w:val="00906C9B"/>
    <w:rsid w:val="00910FB5"/>
    <w:rsid w:val="00911C0E"/>
    <w:rsid w:val="009153D7"/>
    <w:rsid w:val="009223B5"/>
    <w:rsid w:val="00924D28"/>
    <w:rsid w:val="00927F83"/>
    <w:rsid w:val="0094213C"/>
    <w:rsid w:val="0094236C"/>
    <w:rsid w:val="00943AFD"/>
    <w:rsid w:val="0097021E"/>
    <w:rsid w:val="00971C19"/>
    <w:rsid w:val="00971D35"/>
    <w:rsid w:val="00973773"/>
    <w:rsid w:val="00976A1A"/>
    <w:rsid w:val="00984794"/>
    <w:rsid w:val="0099296A"/>
    <w:rsid w:val="009965A5"/>
    <w:rsid w:val="009A56D7"/>
    <w:rsid w:val="009A755D"/>
    <w:rsid w:val="009B15FD"/>
    <w:rsid w:val="009B2693"/>
    <w:rsid w:val="009B3C3F"/>
    <w:rsid w:val="009B73A7"/>
    <w:rsid w:val="009B7B0C"/>
    <w:rsid w:val="009C1A42"/>
    <w:rsid w:val="009D19C1"/>
    <w:rsid w:val="009D60EB"/>
    <w:rsid w:val="009D74FC"/>
    <w:rsid w:val="009E07F4"/>
    <w:rsid w:val="009E2527"/>
    <w:rsid w:val="009E2BAA"/>
    <w:rsid w:val="009E3E0B"/>
    <w:rsid w:val="009F1592"/>
    <w:rsid w:val="009F480F"/>
    <w:rsid w:val="00A01505"/>
    <w:rsid w:val="00A01DDC"/>
    <w:rsid w:val="00A1530B"/>
    <w:rsid w:val="00A16747"/>
    <w:rsid w:val="00A16D78"/>
    <w:rsid w:val="00A24DC0"/>
    <w:rsid w:val="00A42A96"/>
    <w:rsid w:val="00A455A0"/>
    <w:rsid w:val="00A457E5"/>
    <w:rsid w:val="00A50D92"/>
    <w:rsid w:val="00A608C4"/>
    <w:rsid w:val="00A62DD4"/>
    <w:rsid w:val="00A65A66"/>
    <w:rsid w:val="00A7219D"/>
    <w:rsid w:val="00A805BC"/>
    <w:rsid w:val="00A8086F"/>
    <w:rsid w:val="00A80F9F"/>
    <w:rsid w:val="00A81075"/>
    <w:rsid w:val="00A87550"/>
    <w:rsid w:val="00A95FA9"/>
    <w:rsid w:val="00AA5B03"/>
    <w:rsid w:val="00AA68D4"/>
    <w:rsid w:val="00AB24CA"/>
    <w:rsid w:val="00AB373C"/>
    <w:rsid w:val="00AB5159"/>
    <w:rsid w:val="00AC2B47"/>
    <w:rsid w:val="00AC3D9E"/>
    <w:rsid w:val="00AC6C3D"/>
    <w:rsid w:val="00AD1ADB"/>
    <w:rsid w:val="00AE17F1"/>
    <w:rsid w:val="00AE2FB9"/>
    <w:rsid w:val="00AE342F"/>
    <w:rsid w:val="00AE4F96"/>
    <w:rsid w:val="00AE6D9A"/>
    <w:rsid w:val="00AE7435"/>
    <w:rsid w:val="00AF2397"/>
    <w:rsid w:val="00AF27F9"/>
    <w:rsid w:val="00AF3D19"/>
    <w:rsid w:val="00B040BC"/>
    <w:rsid w:val="00B0441A"/>
    <w:rsid w:val="00B044FC"/>
    <w:rsid w:val="00B06458"/>
    <w:rsid w:val="00B15A42"/>
    <w:rsid w:val="00B213AC"/>
    <w:rsid w:val="00B25119"/>
    <w:rsid w:val="00B27004"/>
    <w:rsid w:val="00B33F45"/>
    <w:rsid w:val="00B33FA5"/>
    <w:rsid w:val="00B415B8"/>
    <w:rsid w:val="00B420AC"/>
    <w:rsid w:val="00B4354A"/>
    <w:rsid w:val="00B54CC5"/>
    <w:rsid w:val="00B60E27"/>
    <w:rsid w:val="00B64D62"/>
    <w:rsid w:val="00B6626F"/>
    <w:rsid w:val="00B83944"/>
    <w:rsid w:val="00B94B49"/>
    <w:rsid w:val="00BA7AF1"/>
    <w:rsid w:val="00BB03CC"/>
    <w:rsid w:val="00BB252C"/>
    <w:rsid w:val="00BB5126"/>
    <w:rsid w:val="00BB735C"/>
    <w:rsid w:val="00BB7518"/>
    <w:rsid w:val="00BC0205"/>
    <w:rsid w:val="00BC14F5"/>
    <w:rsid w:val="00BC2146"/>
    <w:rsid w:val="00BD6918"/>
    <w:rsid w:val="00BE1FC8"/>
    <w:rsid w:val="00BE439F"/>
    <w:rsid w:val="00BE5584"/>
    <w:rsid w:val="00BE7933"/>
    <w:rsid w:val="00BF1111"/>
    <w:rsid w:val="00BF3886"/>
    <w:rsid w:val="00C009AF"/>
    <w:rsid w:val="00C2005E"/>
    <w:rsid w:val="00C205E4"/>
    <w:rsid w:val="00C262B2"/>
    <w:rsid w:val="00C2782D"/>
    <w:rsid w:val="00C3040F"/>
    <w:rsid w:val="00C31708"/>
    <w:rsid w:val="00C36C15"/>
    <w:rsid w:val="00C4213A"/>
    <w:rsid w:val="00C4371A"/>
    <w:rsid w:val="00C4627A"/>
    <w:rsid w:val="00C637D1"/>
    <w:rsid w:val="00C640B8"/>
    <w:rsid w:val="00C7033B"/>
    <w:rsid w:val="00C75870"/>
    <w:rsid w:val="00C83157"/>
    <w:rsid w:val="00C916DD"/>
    <w:rsid w:val="00C927D5"/>
    <w:rsid w:val="00CA0730"/>
    <w:rsid w:val="00CA1C04"/>
    <w:rsid w:val="00CA3808"/>
    <w:rsid w:val="00CA592F"/>
    <w:rsid w:val="00CA65DD"/>
    <w:rsid w:val="00CB0E8A"/>
    <w:rsid w:val="00CC05B9"/>
    <w:rsid w:val="00CC3F83"/>
    <w:rsid w:val="00CC57FC"/>
    <w:rsid w:val="00CC7DB0"/>
    <w:rsid w:val="00CD5F24"/>
    <w:rsid w:val="00CE0E18"/>
    <w:rsid w:val="00CE193A"/>
    <w:rsid w:val="00CE5ABB"/>
    <w:rsid w:val="00CE6A71"/>
    <w:rsid w:val="00CF6DF0"/>
    <w:rsid w:val="00CF7E28"/>
    <w:rsid w:val="00D02B35"/>
    <w:rsid w:val="00D06255"/>
    <w:rsid w:val="00D15D82"/>
    <w:rsid w:val="00D1705E"/>
    <w:rsid w:val="00D20E97"/>
    <w:rsid w:val="00D25602"/>
    <w:rsid w:val="00D272EB"/>
    <w:rsid w:val="00D30BD3"/>
    <w:rsid w:val="00D33791"/>
    <w:rsid w:val="00D33BA8"/>
    <w:rsid w:val="00D364EB"/>
    <w:rsid w:val="00D40363"/>
    <w:rsid w:val="00D451BC"/>
    <w:rsid w:val="00D51E96"/>
    <w:rsid w:val="00D568BB"/>
    <w:rsid w:val="00D63B9E"/>
    <w:rsid w:val="00D65D90"/>
    <w:rsid w:val="00D66016"/>
    <w:rsid w:val="00D769BA"/>
    <w:rsid w:val="00D8034F"/>
    <w:rsid w:val="00D81755"/>
    <w:rsid w:val="00D8617C"/>
    <w:rsid w:val="00D87D00"/>
    <w:rsid w:val="00D94E23"/>
    <w:rsid w:val="00DA1983"/>
    <w:rsid w:val="00DA2F1E"/>
    <w:rsid w:val="00DA5831"/>
    <w:rsid w:val="00DB2873"/>
    <w:rsid w:val="00DC2192"/>
    <w:rsid w:val="00DC4482"/>
    <w:rsid w:val="00DD5028"/>
    <w:rsid w:val="00DE59DF"/>
    <w:rsid w:val="00DF1198"/>
    <w:rsid w:val="00E009CD"/>
    <w:rsid w:val="00E12082"/>
    <w:rsid w:val="00E13C0E"/>
    <w:rsid w:val="00E17226"/>
    <w:rsid w:val="00E17870"/>
    <w:rsid w:val="00E21589"/>
    <w:rsid w:val="00E24D9E"/>
    <w:rsid w:val="00E257C8"/>
    <w:rsid w:val="00E26581"/>
    <w:rsid w:val="00E2722E"/>
    <w:rsid w:val="00E3447D"/>
    <w:rsid w:val="00E431CE"/>
    <w:rsid w:val="00E445F8"/>
    <w:rsid w:val="00E503E4"/>
    <w:rsid w:val="00E55E02"/>
    <w:rsid w:val="00E571C4"/>
    <w:rsid w:val="00E63B3D"/>
    <w:rsid w:val="00E64479"/>
    <w:rsid w:val="00E65A8C"/>
    <w:rsid w:val="00E67D99"/>
    <w:rsid w:val="00E75556"/>
    <w:rsid w:val="00E75EFA"/>
    <w:rsid w:val="00E76F1F"/>
    <w:rsid w:val="00E80BE2"/>
    <w:rsid w:val="00E8309D"/>
    <w:rsid w:val="00E90A9C"/>
    <w:rsid w:val="00E9326F"/>
    <w:rsid w:val="00E93AA5"/>
    <w:rsid w:val="00E95356"/>
    <w:rsid w:val="00E966E5"/>
    <w:rsid w:val="00EA3D96"/>
    <w:rsid w:val="00EA6B69"/>
    <w:rsid w:val="00EA6B7B"/>
    <w:rsid w:val="00EB25E4"/>
    <w:rsid w:val="00EB3D8B"/>
    <w:rsid w:val="00ED1B77"/>
    <w:rsid w:val="00ED5511"/>
    <w:rsid w:val="00ED57D1"/>
    <w:rsid w:val="00EF3B7C"/>
    <w:rsid w:val="00EF56FA"/>
    <w:rsid w:val="00EF6216"/>
    <w:rsid w:val="00EF6E42"/>
    <w:rsid w:val="00F0613C"/>
    <w:rsid w:val="00F11244"/>
    <w:rsid w:val="00F14A7B"/>
    <w:rsid w:val="00F1658B"/>
    <w:rsid w:val="00F2540D"/>
    <w:rsid w:val="00F26602"/>
    <w:rsid w:val="00F31380"/>
    <w:rsid w:val="00F333BF"/>
    <w:rsid w:val="00F34499"/>
    <w:rsid w:val="00F406E3"/>
    <w:rsid w:val="00F40C82"/>
    <w:rsid w:val="00F5114E"/>
    <w:rsid w:val="00F53B1A"/>
    <w:rsid w:val="00F54568"/>
    <w:rsid w:val="00F56343"/>
    <w:rsid w:val="00F57249"/>
    <w:rsid w:val="00F62DE3"/>
    <w:rsid w:val="00F77131"/>
    <w:rsid w:val="00F85D7E"/>
    <w:rsid w:val="00F95038"/>
    <w:rsid w:val="00FA4C13"/>
    <w:rsid w:val="00FB0D19"/>
    <w:rsid w:val="00FB345F"/>
    <w:rsid w:val="00FB4DA5"/>
    <w:rsid w:val="00FB56E0"/>
    <w:rsid w:val="00FC57A1"/>
    <w:rsid w:val="00FC6D26"/>
    <w:rsid w:val="00FD3820"/>
    <w:rsid w:val="00FE6E6D"/>
    <w:rsid w:val="00FF0DAE"/>
    <w:rsid w:val="00FF3092"/>
    <w:rsid w:val="00FF4B06"/>
    <w:rsid w:val="00FF7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B5925761-9D6D-4930-9DFF-4CA4A40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94"/>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6B56E1"/>
    <w:pPr>
      <w:snapToGrid w:val="0"/>
      <w:jc w:val="left"/>
    </w:pPr>
    <w:rPr>
      <w:sz w:val="18"/>
      <w:szCs w:val="18"/>
    </w:rPr>
  </w:style>
  <w:style w:type="character" w:customStyle="1" w:styleId="af2">
    <w:name w:val="脚注文本 字符"/>
    <w:basedOn w:val="a1"/>
    <w:link w:val="af1"/>
    <w:rsid w:val="006B56E1"/>
    <w:rPr>
      <w:kern w:val="2"/>
      <w:sz w:val="18"/>
      <w:szCs w:val="18"/>
    </w:rPr>
  </w:style>
  <w:style w:type="character" w:styleId="af3">
    <w:name w:val="footnote reference"/>
    <w:rsid w:val="006B56E1"/>
    <w:rPr>
      <w:vertAlign w:val="superscript"/>
    </w:rPr>
  </w:style>
  <w:style w:type="character" w:styleId="af4">
    <w:name w:val="Strong"/>
    <w:basedOn w:val="a1"/>
    <w:uiPriority w:val="22"/>
    <w:qFormat/>
    <w:rsid w:val="009B7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1307</Words>
  <Characters>7454</Characters>
  <Application>Microsoft Office Word</Application>
  <DocSecurity>0</DocSecurity>
  <Lines>62</Lines>
  <Paragraphs>17</Paragraphs>
  <ScaleCrop>false</ScaleCrop>
  <Company>jysld</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8</cp:revision>
  <cp:lastPrinted>2009-01-22T10:11:00Z</cp:lastPrinted>
  <dcterms:created xsi:type="dcterms:W3CDTF">2017-07-25T14:30:00Z</dcterms:created>
  <dcterms:modified xsi:type="dcterms:W3CDTF">2022-04-21T03:00:00Z</dcterms:modified>
</cp:coreProperties>
</file>