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E3F" w:rsidRPr="00593AD2"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bookmarkStart w:id="0" w:name="_GoBack"/>
      <w:bookmarkEnd w:id="0"/>
    </w:p>
    <w:p w:rsidR="002B45A4" w:rsidRPr="00593AD2" w:rsidRDefault="002B45A4"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575970" w:rsidRPr="00593AD2" w:rsidRDefault="00575970"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B60E27" w:rsidRPr="00593AD2" w:rsidRDefault="00B60E27"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B60E27" w:rsidRPr="00593AD2" w:rsidRDefault="00B60E27" w:rsidP="0002085F">
      <w:pPr>
        <w:spacing w:line="360" w:lineRule="auto"/>
        <w:jc w:val="center"/>
        <w:rPr>
          <w:rFonts w:asciiTheme="minorEastAsia" w:eastAsiaTheme="minorEastAsia" w:hAnsiTheme="minorEastAsia"/>
          <w:b/>
          <w:color w:val="000000" w:themeColor="text1"/>
          <w:sz w:val="36"/>
          <w:szCs w:val="36"/>
        </w:rPr>
      </w:pPr>
      <w:r w:rsidRPr="00593AD2">
        <w:rPr>
          <w:rFonts w:asciiTheme="minorEastAsia" w:eastAsiaTheme="minorEastAsia" w:hAnsiTheme="minorEastAsia" w:hint="eastAsia"/>
          <w:b/>
          <w:color w:val="000000" w:themeColor="text1"/>
          <w:sz w:val="36"/>
          <w:szCs w:val="36"/>
        </w:rPr>
        <w:t>上投摩根天添盈货币市场基金</w:t>
      </w:r>
    </w:p>
    <w:p w:rsidR="00B60E27" w:rsidRPr="00593AD2" w:rsidRDefault="00B60E27" w:rsidP="0002085F">
      <w:pPr>
        <w:spacing w:line="360" w:lineRule="auto"/>
        <w:jc w:val="center"/>
        <w:rPr>
          <w:rFonts w:asciiTheme="minorEastAsia" w:eastAsiaTheme="minorEastAsia" w:hAnsiTheme="minorEastAsia"/>
          <w:b/>
          <w:color w:val="000000" w:themeColor="text1"/>
          <w:sz w:val="36"/>
          <w:szCs w:val="36"/>
        </w:rPr>
      </w:pPr>
      <w:r w:rsidRPr="00593AD2">
        <w:rPr>
          <w:rFonts w:asciiTheme="minorEastAsia" w:eastAsiaTheme="minorEastAsia" w:hAnsiTheme="minorEastAsia" w:hint="eastAsia"/>
          <w:b/>
          <w:color w:val="000000" w:themeColor="text1"/>
          <w:sz w:val="36"/>
          <w:szCs w:val="36"/>
        </w:rPr>
        <w:t>2022年第1季度报告</w:t>
      </w:r>
    </w:p>
    <w:p w:rsidR="002B45A4" w:rsidRPr="00593AD2" w:rsidRDefault="00D87D00" w:rsidP="0002085F">
      <w:pPr>
        <w:spacing w:line="360" w:lineRule="auto"/>
        <w:jc w:val="center"/>
        <w:rPr>
          <w:rFonts w:asciiTheme="minorEastAsia" w:eastAsiaTheme="minorEastAsia" w:hAnsiTheme="minorEastAsia"/>
          <w:b/>
          <w:color w:val="000000" w:themeColor="text1"/>
          <w:sz w:val="36"/>
          <w:szCs w:val="36"/>
        </w:rPr>
      </w:pPr>
      <w:r w:rsidRPr="00593AD2">
        <w:rPr>
          <w:rFonts w:asciiTheme="minorEastAsia" w:eastAsiaTheme="minorEastAsia" w:hAnsiTheme="minorEastAsia"/>
          <w:b/>
          <w:color w:val="000000" w:themeColor="text1"/>
          <w:sz w:val="36"/>
          <w:szCs w:val="36"/>
        </w:rPr>
        <w:t>2022年3月31日</w:t>
      </w: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rPr>
          <w:rFonts w:asciiTheme="minorEastAsia" w:eastAsiaTheme="minorEastAsia" w:hAnsiTheme="minorEastAsia"/>
          <w:b/>
          <w:color w:val="000000" w:themeColor="text1"/>
          <w:sz w:val="24"/>
        </w:rPr>
      </w:pPr>
    </w:p>
    <w:p w:rsidR="00F77131" w:rsidRPr="00593AD2" w:rsidRDefault="00F77131" w:rsidP="0002085F">
      <w:pPr>
        <w:spacing w:line="360" w:lineRule="auto"/>
        <w:ind w:firstLineChars="900" w:firstLine="2168"/>
        <w:rPr>
          <w:rFonts w:asciiTheme="minorEastAsia" w:eastAsiaTheme="minorEastAsia" w:hAnsiTheme="minorEastAsia"/>
          <w:b/>
          <w:color w:val="000000" w:themeColor="text1"/>
          <w:sz w:val="24"/>
        </w:rPr>
      </w:pPr>
      <w:r w:rsidRPr="00593AD2">
        <w:rPr>
          <w:rFonts w:asciiTheme="minorEastAsia" w:eastAsiaTheme="minorEastAsia" w:hAnsiTheme="minorEastAsia" w:hint="eastAsia"/>
          <w:b/>
          <w:color w:val="000000" w:themeColor="text1"/>
          <w:sz w:val="24"/>
        </w:rPr>
        <w:t>基金管理人：</w:t>
      </w:r>
      <w:r w:rsidRPr="00593AD2">
        <w:rPr>
          <w:rFonts w:asciiTheme="minorEastAsia" w:eastAsiaTheme="minorEastAsia" w:hAnsiTheme="minorEastAsia"/>
          <w:b/>
          <w:color w:val="000000" w:themeColor="text1"/>
          <w:sz w:val="24"/>
        </w:rPr>
        <w:t>上投摩根基金管理有限公司</w:t>
      </w:r>
    </w:p>
    <w:p w:rsidR="00F77131" w:rsidRPr="00593AD2" w:rsidRDefault="00F77131" w:rsidP="0002085F">
      <w:pPr>
        <w:spacing w:line="360" w:lineRule="auto"/>
        <w:ind w:firstLineChars="900" w:firstLine="2168"/>
        <w:rPr>
          <w:rFonts w:asciiTheme="minorEastAsia" w:eastAsiaTheme="minorEastAsia" w:hAnsiTheme="minorEastAsia"/>
          <w:b/>
          <w:color w:val="000000" w:themeColor="text1"/>
          <w:sz w:val="24"/>
        </w:rPr>
      </w:pPr>
      <w:r w:rsidRPr="00593AD2">
        <w:rPr>
          <w:rFonts w:asciiTheme="minorEastAsia" w:eastAsiaTheme="minorEastAsia" w:hAnsiTheme="minorEastAsia" w:hint="eastAsia"/>
          <w:b/>
          <w:color w:val="000000" w:themeColor="text1"/>
          <w:sz w:val="24"/>
        </w:rPr>
        <w:t>基金托管人：</w:t>
      </w:r>
      <w:r w:rsidRPr="00593AD2">
        <w:rPr>
          <w:rFonts w:asciiTheme="minorEastAsia" w:eastAsiaTheme="minorEastAsia" w:hAnsiTheme="minorEastAsia"/>
          <w:b/>
          <w:color w:val="000000" w:themeColor="text1"/>
          <w:sz w:val="24"/>
        </w:rPr>
        <w:t>中信银行股份有限公司</w:t>
      </w:r>
    </w:p>
    <w:p w:rsidR="00902E3F" w:rsidRPr="00593AD2" w:rsidRDefault="00F77131" w:rsidP="0002085F">
      <w:pPr>
        <w:spacing w:line="360" w:lineRule="auto"/>
        <w:ind w:firstLineChars="900" w:firstLine="2168"/>
        <w:rPr>
          <w:rFonts w:asciiTheme="minorEastAsia" w:eastAsiaTheme="minorEastAsia" w:hAnsiTheme="minorEastAsia"/>
          <w:b/>
          <w:color w:val="000000" w:themeColor="text1"/>
          <w:sz w:val="24"/>
        </w:rPr>
        <w:sectPr w:rsidR="00902E3F" w:rsidRPr="00593AD2" w:rsidSect="005633AD">
          <w:headerReference w:type="default" r:id="rId7"/>
          <w:footerReference w:type="default" r:id="rId8"/>
          <w:pgSz w:w="11926" w:h="15840"/>
          <w:pgMar w:top="1418" w:right="1418" w:bottom="851" w:left="1418" w:header="851" w:footer="992" w:gutter="0"/>
          <w:cols w:space="720"/>
          <w:noEndnote/>
        </w:sectPr>
      </w:pPr>
      <w:r w:rsidRPr="00593AD2">
        <w:rPr>
          <w:rFonts w:asciiTheme="minorEastAsia" w:eastAsiaTheme="minorEastAsia" w:hAnsiTheme="minorEastAsia" w:hint="eastAsia"/>
          <w:b/>
          <w:color w:val="000000" w:themeColor="text1"/>
          <w:sz w:val="24"/>
        </w:rPr>
        <w:t>报告送出日期：</w:t>
      </w:r>
      <w:r w:rsidR="00EF56FA" w:rsidRPr="00593AD2">
        <w:rPr>
          <w:rFonts w:asciiTheme="minorEastAsia" w:eastAsiaTheme="minorEastAsia" w:hAnsiTheme="minorEastAsia"/>
          <w:b/>
          <w:color w:val="000000" w:themeColor="text1"/>
          <w:sz w:val="24"/>
        </w:rPr>
        <w:t>二〇二二年四月二十二日</w:t>
      </w:r>
    </w:p>
    <w:p w:rsidR="00902E3F" w:rsidRPr="00593AD2" w:rsidRDefault="00902E3F" w:rsidP="00631E43">
      <w:pPr>
        <w:pStyle w:val="1"/>
        <w:spacing w:beforeLines="100" w:before="240" w:afterLines="100" w:after="240" w:line="360" w:lineRule="auto"/>
        <w:jc w:val="center"/>
        <w:rPr>
          <w:rFonts w:asciiTheme="minorEastAsia" w:eastAsiaTheme="minorEastAsia" w:hAnsiTheme="minorEastAsia" w:cs="Arial"/>
          <w:b w:val="0"/>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lastRenderedPageBreak/>
        <w:t>§</w:t>
      </w:r>
      <w:r w:rsidRPr="00593AD2">
        <w:rPr>
          <w:rFonts w:asciiTheme="minorEastAsia" w:eastAsiaTheme="minorEastAsia" w:hAnsiTheme="minorEastAsia" w:cs="Arial"/>
          <w:color w:val="000000" w:themeColor="text1"/>
          <w:kern w:val="0"/>
          <w:sz w:val="24"/>
          <w:szCs w:val="24"/>
        </w:rPr>
        <w:t xml:space="preserve">1  </w:t>
      </w:r>
      <w:r w:rsidRPr="00593AD2">
        <w:rPr>
          <w:rFonts w:asciiTheme="minorEastAsia" w:eastAsiaTheme="minorEastAsia" w:hAnsiTheme="minorEastAsia" w:cs="Arial" w:hint="eastAsia"/>
          <w:color w:val="000000" w:themeColor="text1"/>
          <w:kern w:val="0"/>
          <w:sz w:val="24"/>
          <w:szCs w:val="24"/>
        </w:rPr>
        <w:t>重要提示</w:t>
      </w:r>
    </w:p>
    <w:p w:rsidR="008509A1" w:rsidRDefault="00BE7933">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 xml:space="preserve">基金管理人的董事会及董事保证本报告所载资料不存在虚假记载、误导性陈述或重大遗漏，并对其内容的真实性、准确性和完整性承担个别及连带责任。 </w:t>
      </w:r>
    </w:p>
    <w:p w:rsidR="008509A1" w:rsidRDefault="00BE7933">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 xml:space="preserve">基金托管人中信银行股份有限公司根据本基金合同规定，于2022年4月21日复核了本报告中的财务指标、净值表现和投资组合报告等内容，保证复核内容不存在虚假记载、误导性陈述或者重大遗漏。 </w:t>
      </w:r>
    </w:p>
    <w:p w:rsidR="008509A1" w:rsidRDefault="00BE7933">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 xml:space="preserve">基金管理人承诺以诚实信用、勤勉尽责的原则管理和运用基金资产，但不保证基金一定盈利。 </w:t>
      </w:r>
    </w:p>
    <w:p w:rsidR="008509A1" w:rsidRDefault="00BE7933">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 xml:space="preserve">基金的过往业绩并不代表其未来表现。投资有风险，投资者在作出投资决策前应仔细阅读本基金的招募说明书。 </w:t>
      </w:r>
    </w:p>
    <w:p w:rsidR="008509A1" w:rsidRDefault="00BE7933">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本报告中财务资料未经审计。</w:t>
      </w:r>
    </w:p>
    <w:p w:rsidR="00186667" w:rsidRPr="00593AD2" w:rsidRDefault="00A805BC" w:rsidP="00307062">
      <w:pPr>
        <w:adjustRightInd w:val="0"/>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本报告期自2022年1月1日起至3月31日止。</w:t>
      </w:r>
    </w:p>
    <w:p w:rsidR="00902E3F" w:rsidRPr="00593AD2" w:rsidRDefault="00902E3F" w:rsidP="00631E43">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t>§</w:t>
      </w:r>
      <w:r w:rsidRPr="00593AD2">
        <w:rPr>
          <w:rFonts w:asciiTheme="minorEastAsia" w:eastAsiaTheme="minorEastAsia" w:hAnsiTheme="minorEastAsia" w:cs="Arial"/>
          <w:color w:val="000000" w:themeColor="text1"/>
          <w:kern w:val="0"/>
          <w:sz w:val="24"/>
          <w:szCs w:val="24"/>
        </w:rPr>
        <w:t xml:space="preserve">2  </w:t>
      </w:r>
      <w:r w:rsidRPr="00593AD2">
        <w:rPr>
          <w:rFonts w:asciiTheme="minorEastAsia" w:eastAsiaTheme="minorEastAsia" w:hAnsiTheme="minorEastAsia" w:cs="Arial" w:hint="eastAsia"/>
          <w:color w:val="000000" w:themeColor="text1"/>
          <w:kern w:val="0"/>
          <w:sz w:val="24"/>
          <w:szCs w:val="24"/>
        </w:rPr>
        <w:t>基金产品概况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300"/>
        <w:gridCol w:w="2300"/>
        <w:gridCol w:w="2301"/>
      </w:tblGrid>
      <w:tr w:rsidR="00593AD2" w:rsidRPr="00593AD2" w:rsidTr="009D19C1">
        <w:trPr>
          <w:jc w:val="center"/>
        </w:trPr>
        <w:tc>
          <w:tcPr>
            <w:tcW w:w="2835" w:type="dxa"/>
          </w:tcPr>
          <w:p w:rsidR="00A805BC" w:rsidRPr="00593AD2" w:rsidRDefault="00A805BC" w:rsidP="00196812">
            <w:pPr>
              <w:adjustRightInd w:val="0"/>
              <w:spacing w:before="29" w:line="360" w:lineRule="auto"/>
              <w:ind w:left="17"/>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基金简称</w:t>
            </w:r>
          </w:p>
        </w:tc>
        <w:tc>
          <w:tcPr>
            <w:tcW w:w="6901" w:type="dxa"/>
            <w:gridSpan w:val="3"/>
          </w:tcPr>
          <w:p w:rsidR="00A805BC" w:rsidRPr="00593AD2" w:rsidRDefault="00A805BC" w:rsidP="00196812">
            <w:pPr>
              <w:adjustRightInd w:val="0"/>
              <w:spacing w:before="29" w:line="360" w:lineRule="auto"/>
              <w:ind w:left="17"/>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上投摩根天添盈货币</w:t>
            </w:r>
          </w:p>
        </w:tc>
      </w:tr>
      <w:tr w:rsidR="00593AD2" w:rsidRPr="00593AD2" w:rsidTr="009D19C1">
        <w:trPr>
          <w:jc w:val="center"/>
        </w:trPr>
        <w:tc>
          <w:tcPr>
            <w:tcW w:w="2835" w:type="dxa"/>
            <w:tcBorders>
              <w:top w:val="single" w:sz="4" w:space="0" w:color="auto"/>
              <w:left w:val="single" w:sz="4" w:space="0" w:color="auto"/>
              <w:bottom w:val="single" w:sz="4" w:space="0" w:color="auto"/>
              <w:right w:val="single" w:sz="4" w:space="0" w:color="auto"/>
            </w:tcBorders>
            <w:hideMark/>
          </w:tcPr>
          <w:p w:rsidR="00D06255" w:rsidRPr="00593AD2" w:rsidRDefault="00D06255" w:rsidP="00196812">
            <w:pPr>
              <w:adjustRightInd w:val="0"/>
              <w:spacing w:before="29" w:line="360" w:lineRule="auto"/>
              <w:ind w:left="17"/>
              <w:jc w:val="left"/>
              <w:rPr>
                <w:rFonts w:asciiTheme="minorEastAsia" w:eastAsiaTheme="minorEastAsia" w:hAnsiTheme="minorEastAsia" w:cs="宋体"/>
                <w:color w:val="000000" w:themeColor="text1"/>
                <w:kern w:val="0"/>
                <w:sz w:val="24"/>
              </w:rPr>
            </w:pPr>
            <w:r w:rsidRPr="00593AD2">
              <w:rPr>
                <w:rFonts w:asciiTheme="minorEastAsia" w:eastAsiaTheme="minorEastAsia" w:hAnsiTheme="minorEastAsia" w:cs="宋体" w:hint="eastAsia"/>
                <w:color w:val="000000" w:themeColor="text1"/>
                <w:kern w:val="0"/>
                <w:sz w:val="24"/>
              </w:rPr>
              <w:t>基金主代码</w:t>
            </w:r>
          </w:p>
        </w:tc>
        <w:tc>
          <w:tcPr>
            <w:tcW w:w="6901" w:type="dxa"/>
            <w:gridSpan w:val="3"/>
            <w:tcBorders>
              <w:top w:val="single" w:sz="4" w:space="0" w:color="auto"/>
              <w:left w:val="single" w:sz="4" w:space="0" w:color="auto"/>
              <w:bottom w:val="single" w:sz="4" w:space="0" w:color="auto"/>
              <w:right w:val="single" w:sz="4" w:space="0" w:color="auto"/>
            </w:tcBorders>
            <w:hideMark/>
          </w:tcPr>
          <w:p w:rsidR="00D06255" w:rsidRPr="00593AD2" w:rsidRDefault="00D06255" w:rsidP="00196812">
            <w:pPr>
              <w:adjustRightInd w:val="0"/>
              <w:spacing w:before="29" w:line="360" w:lineRule="auto"/>
              <w:ind w:left="17"/>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hint="eastAsia"/>
                <w:color w:val="000000" w:themeColor="text1"/>
                <w:kern w:val="0"/>
                <w:sz w:val="24"/>
              </w:rPr>
              <w:t>000855</w:t>
            </w:r>
          </w:p>
        </w:tc>
      </w:tr>
      <w:tr w:rsidR="00593AD2" w:rsidRPr="00593AD2" w:rsidTr="009D19C1">
        <w:trPr>
          <w:jc w:val="center"/>
        </w:trPr>
        <w:tc>
          <w:tcPr>
            <w:tcW w:w="2835" w:type="dxa"/>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t>基金运作方式</w:t>
            </w:r>
          </w:p>
        </w:tc>
        <w:tc>
          <w:tcPr>
            <w:tcW w:w="6901" w:type="dxa"/>
            <w:gridSpan w:val="3"/>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契约型开放式</w:t>
            </w:r>
          </w:p>
        </w:tc>
      </w:tr>
      <w:tr w:rsidR="00593AD2" w:rsidRPr="00593AD2" w:rsidTr="009D19C1">
        <w:trPr>
          <w:jc w:val="center"/>
        </w:trPr>
        <w:tc>
          <w:tcPr>
            <w:tcW w:w="2835" w:type="dxa"/>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t>基金合同生效日</w:t>
            </w:r>
          </w:p>
        </w:tc>
        <w:tc>
          <w:tcPr>
            <w:tcW w:w="6901" w:type="dxa"/>
            <w:gridSpan w:val="3"/>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2014年11月25日</w:t>
            </w:r>
          </w:p>
        </w:tc>
      </w:tr>
      <w:tr w:rsidR="00593AD2" w:rsidRPr="00593AD2" w:rsidTr="009D19C1">
        <w:trPr>
          <w:jc w:val="center"/>
        </w:trPr>
        <w:tc>
          <w:tcPr>
            <w:tcW w:w="2835" w:type="dxa"/>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t>报告期末基金份额总额</w:t>
            </w:r>
          </w:p>
        </w:tc>
        <w:tc>
          <w:tcPr>
            <w:tcW w:w="6901" w:type="dxa"/>
            <w:gridSpan w:val="3"/>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6,644,610,463.60</w:t>
            </w:r>
            <w:r w:rsidRPr="00593AD2">
              <w:rPr>
                <w:rFonts w:asciiTheme="minorEastAsia" w:eastAsiaTheme="minorEastAsia" w:hAnsiTheme="minorEastAsia" w:hint="eastAsia"/>
                <w:color w:val="000000" w:themeColor="text1"/>
                <w:kern w:val="0"/>
                <w:sz w:val="24"/>
              </w:rPr>
              <w:t>份</w:t>
            </w:r>
          </w:p>
        </w:tc>
      </w:tr>
      <w:tr w:rsidR="00593AD2" w:rsidRPr="00593AD2" w:rsidTr="009D19C1">
        <w:trPr>
          <w:jc w:val="center"/>
        </w:trPr>
        <w:tc>
          <w:tcPr>
            <w:tcW w:w="2835" w:type="dxa"/>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t>投资目标</w:t>
            </w:r>
          </w:p>
        </w:tc>
        <w:tc>
          <w:tcPr>
            <w:tcW w:w="6901" w:type="dxa"/>
            <w:gridSpan w:val="3"/>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 xml:space="preserve">在有效控制投资风险和保持较高流动性的前提下，为投资者提供资金的流动性储备，进一步优化现金管理，并力求获得高于业绩比较基准的稳定回报。 </w:t>
            </w:r>
          </w:p>
        </w:tc>
      </w:tr>
      <w:tr w:rsidR="00593AD2" w:rsidRPr="00593AD2" w:rsidTr="009D19C1">
        <w:trPr>
          <w:jc w:val="center"/>
        </w:trPr>
        <w:tc>
          <w:tcPr>
            <w:tcW w:w="2835" w:type="dxa"/>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t>投资策略</w:t>
            </w:r>
          </w:p>
        </w:tc>
        <w:tc>
          <w:tcPr>
            <w:tcW w:w="6901" w:type="dxa"/>
            <w:gridSpan w:val="3"/>
          </w:tcPr>
          <w:p w:rsidR="008509A1" w:rsidRDefault="00BE793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kern w:val="0"/>
                <w:sz w:val="24"/>
              </w:rPr>
              <w:t>本基金将综合考虑各类可投资品种的收益性、流动性及风险性特征，对各类资产进行合理的配置和选择。在保证基金资产的安全性和流动性基础上，力争为投资者创造稳定的投资收益。本基金以短期金融工具作为投资对象，基于对各细分市场的市场规模、</w:t>
            </w:r>
            <w:r>
              <w:rPr>
                <w:rFonts w:asciiTheme="minorEastAsia" w:eastAsiaTheme="minorEastAsia" w:hAnsiTheme="minorEastAsia"/>
                <w:color w:val="000000" w:themeColor="text1"/>
                <w:kern w:val="0"/>
                <w:sz w:val="24"/>
              </w:rPr>
              <w:lastRenderedPageBreak/>
              <w:t>交易情况、各交易品种的流动性、相对收益、信用风险以及投资组合平均剩余期限要求等重要指标的分析，确定（调整）投资组合的类别资产配置比例。利率变化是影响债券价格的最重要因素，本基金将通过对国内外宏观经济走势、货币政策和财政政策、市场结构变化和短期资金供给等因素的综合分析，形成对未来货币市场利率变动的预期，并依此确定和调整组合的平均剩余期限。在个券选择层面，本基金将综合考虑安全性、流动性和收益性等因素，通过分析各个金融产品的剩余期限与收益率的配比状况、信用等级、流动性指标等因素进行证券选择，选择风险收益配比最合理的证券作为投资对象。</w:t>
            </w:r>
          </w:p>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其他投资策略：包括收益率曲线策略、流动性管理策略、息差策略、套利策略。</w:t>
            </w:r>
          </w:p>
        </w:tc>
      </w:tr>
      <w:tr w:rsidR="00593AD2" w:rsidRPr="00593AD2" w:rsidTr="009D19C1">
        <w:trPr>
          <w:jc w:val="center"/>
        </w:trPr>
        <w:tc>
          <w:tcPr>
            <w:tcW w:w="2835" w:type="dxa"/>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lastRenderedPageBreak/>
              <w:t>业绩比较基准</w:t>
            </w:r>
          </w:p>
        </w:tc>
        <w:tc>
          <w:tcPr>
            <w:tcW w:w="6901" w:type="dxa"/>
            <w:gridSpan w:val="3"/>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同期七天通知存款利率（税后）</w:t>
            </w:r>
          </w:p>
        </w:tc>
      </w:tr>
      <w:tr w:rsidR="00593AD2" w:rsidRPr="00593AD2" w:rsidTr="009D19C1">
        <w:trPr>
          <w:jc w:val="center"/>
        </w:trPr>
        <w:tc>
          <w:tcPr>
            <w:tcW w:w="2835" w:type="dxa"/>
          </w:tcPr>
          <w:p w:rsidR="00340456" w:rsidRPr="00593AD2" w:rsidRDefault="00340456" w:rsidP="00196812">
            <w:pPr>
              <w:adjustRightInd w:val="0"/>
              <w:spacing w:before="29" w:line="360" w:lineRule="auto"/>
              <w:ind w:left="17"/>
              <w:jc w:val="left"/>
              <w:rPr>
                <w:rFonts w:asciiTheme="minorEastAsia" w:eastAsiaTheme="minorEastAsia" w:hAnsiTheme="minorEastAsia" w:cs="宋体"/>
                <w:color w:val="000000" w:themeColor="text1"/>
                <w:kern w:val="0"/>
                <w:sz w:val="24"/>
              </w:rPr>
            </w:pPr>
            <w:r w:rsidRPr="00593AD2">
              <w:rPr>
                <w:rFonts w:asciiTheme="minorEastAsia" w:eastAsiaTheme="minorEastAsia" w:hAnsiTheme="minorEastAsia" w:cs="宋体" w:hint="eastAsia"/>
                <w:color w:val="000000" w:themeColor="text1"/>
                <w:kern w:val="0"/>
                <w:sz w:val="24"/>
              </w:rPr>
              <w:t>风险收益特征</w:t>
            </w:r>
          </w:p>
        </w:tc>
        <w:tc>
          <w:tcPr>
            <w:tcW w:w="6901" w:type="dxa"/>
            <w:gridSpan w:val="3"/>
          </w:tcPr>
          <w:p w:rsidR="008509A1" w:rsidRDefault="00BE7933">
            <w:pPr>
              <w:adjustRightInd w:val="0"/>
              <w:spacing w:before="29" w:line="360" w:lineRule="auto"/>
              <w:ind w:left="17"/>
              <w:jc w:val="lef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本基金为货币市场基金，是证券投资基金中的低风险品种。本基金的风险和预期收益低于股票型基金、混合型基金和债券型基金。</w:t>
            </w:r>
          </w:p>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hint="eastAsia"/>
                <w:color w:val="000000" w:themeColor="text1"/>
                <w:kern w:val="0"/>
                <w:sz w:val="24"/>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93AD2" w:rsidRPr="00593AD2" w:rsidTr="009D19C1">
        <w:trPr>
          <w:jc w:val="center"/>
        </w:trPr>
        <w:tc>
          <w:tcPr>
            <w:tcW w:w="2835" w:type="dxa"/>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t>基金管理人</w:t>
            </w:r>
          </w:p>
        </w:tc>
        <w:tc>
          <w:tcPr>
            <w:tcW w:w="6901" w:type="dxa"/>
            <w:gridSpan w:val="3"/>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上投摩根基金管理有限公司</w:t>
            </w:r>
          </w:p>
        </w:tc>
      </w:tr>
      <w:tr w:rsidR="00593AD2" w:rsidRPr="00593AD2" w:rsidTr="009D19C1">
        <w:trPr>
          <w:jc w:val="center"/>
        </w:trPr>
        <w:tc>
          <w:tcPr>
            <w:tcW w:w="2835" w:type="dxa"/>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t>基金托管人</w:t>
            </w:r>
          </w:p>
        </w:tc>
        <w:tc>
          <w:tcPr>
            <w:tcW w:w="6901" w:type="dxa"/>
            <w:gridSpan w:val="3"/>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中信银行股份有限公司</w:t>
            </w:r>
          </w:p>
        </w:tc>
      </w:tr>
      <w:tr w:rsidR="00593AD2" w:rsidRPr="00593AD2" w:rsidTr="009D19C1">
        <w:trPr>
          <w:jc w:val="center"/>
        </w:trPr>
        <w:tc>
          <w:tcPr>
            <w:tcW w:w="2835" w:type="dxa"/>
          </w:tcPr>
          <w:p w:rsidR="00340456" w:rsidRPr="00593AD2" w:rsidRDefault="009D19C1" w:rsidP="00196812">
            <w:pPr>
              <w:adjustRightInd w:val="0"/>
              <w:spacing w:before="29" w:line="360" w:lineRule="auto"/>
              <w:ind w:left="17"/>
              <w:jc w:val="left"/>
              <w:rPr>
                <w:rFonts w:asciiTheme="minorEastAsia" w:eastAsiaTheme="minorEastAsia" w:hAnsiTheme="minorEastAsia" w:cs="宋体"/>
                <w:color w:val="000000" w:themeColor="text1"/>
                <w:kern w:val="0"/>
                <w:sz w:val="24"/>
              </w:rPr>
            </w:pPr>
            <w:r w:rsidRPr="00FF721F">
              <w:rPr>
                <w:rFonts w:asciiTheme="minorEastAsia" w:eastAsiaTheme="minorEastAsia" w:hAnsiTheme="minorEastAsia" w:cs="宋体" w:hint="eastAsia"/>
                <w:color w:val="000000" w:themeColor="text1"/>
                <w:kern w:val="0"/>
                <w:sz w:val="24"/>
              </w:rPr>
              <w:t>下属</w:t>
            </w:r>
            <w:r w:rsidR="00FF721F" w:rsidRPr="00FF721F">
              <w:rPr>
                <w:rFonts w:asciiTheme="minorEastAsia" w:eastAsiaTheme="minorEastAsia" w:hAnsiTheme="minorEastAsia" w:cs="宋体" w:hint="eastAsia"/>
                <w:color w:val="000000" w:themeColor="text1"/>
                <w:kern w:val="0"/>
                <w:sz w:val="24"/>
              </w:rPr>
              <w:t>分</w:t>
            </w:r>
            <w:r w:rsidR="00340456" w:rsidRPr="00FF721F">
              <w:rPr>
                <w:rFonts w:asciiTheme="minorEastAsia" w:eastAsiaTheme="minorEastAsia" w:hAnsiTheme="minorEastAsia" w:cs="宋体" w:hint="eastAsia"/>
                <w:color w:val="000000" w:themeColor="text1"/>
                <w:kern w:val="0"/>
                <w:sz w:val="24"/>
              </w:rPr>
              <w:t>级基金的</w:t>
            </w:r>
            <w:r w:rsidR="00340456" w:rsidRPr="00593AD2">
              <w:rPr>
                <w:rFonts w:asciiTheme="minorEastAsia" w:eastAsiaTheme="minorEastAsia" w:hAnsiTheme="minorEastAsia" w:hint="eastAsia"/>
                <w:color w:val="000000" w:themeColor="text1"/>
                <w:sz w:val="24"/>
              </w:rPr>
              <w:t>基金简称</w:t>
            </w:r>
          </w:p>
        </w:tc>
        <w:tc>
          <w:tcPr>
            <w:tcW w:w="2300" w:type="dxa"/>
            <w:vAlign w:val="center"/>
          </w:tcPr>
          <w:p w:rsidR="00340456" w:rsidRPr="00593AD2" w:rsidRDefault="00340456" w:rsidP="00196812">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上投摩根天添盈货币A类</w:t>
            </w:r>
          </w:p>
        </w:tc>
        <w:tc>
          <w:tcPr>
            <w:tcW w:w="2300" w:type="dxa"/>
            <w:vAlign w:val="center"/>
          </w:tcPr>
          <w:p w:rsidR="00340456" w:rsidRPr="00593AD2" w:rsidRDefault="00340456" w:rsidP="00196812">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上投摩根天添盈货币B类</w:t>
            </w:r>
          </w:p>
        </w:tc>
        <w:tc>
          <w:tcPr>
            <w:tcW w:w="2301" w:type="dxa"/>
            <w:vAlign w:val="center"/>
          </w:tcPr>
          <w:p w:rsidR="00340456" w:rsidRPr="00593AD2" w:rsidRDefault="00340456" w:rsidP="00025C5D">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上投摩根天添盈货币E类</w:t>
            </w:r>
          </w:p>
        </w:tc>
      </w:tr>
      <w:tr w:rsidR="00593AD2" w:rsidRPr="00593AD2" w:rsidTr="009D19C1">
        <w:trPr>
          <w:jc w:val="center"/>
        </w:trPr>
        <w:tc>
          <w:tcPr>
            <w:tcW w:w="2835" w:type="dxa"/>
          </w:tcPr>
          <w:p w:rsidR="00340456" w:rsidRPr="00593AD2" w:rsidRDefault="009D19C1" w:rsidP="00196812">
            <w:pPr>
              <w:adjustRightInd w:val="0"/>
              <w:spacing w:before="29" w:line="360" w:lineRule="auto"/>
              <w:ind w:left="17"/>
              <w:jc w:val="left"/>
              <w:rPr>
                <w:rFonts w:asciiTheme="minorEastAsia" w:eastAsiaTheme="minorEastAsia" w:hAnsiTheme="minorEastAsia"/>
                <w:color w:val="000000" w:themeColor="text1"/>
                <w:sz w:val="24"/>
              </w:rPr>
            </w:pPr>
            <w:r w:rsidRPr="00FF721F">
              <w:rPr>
                <w:rFonts w:asciiTheme="minorEastAsia" w:eastAsiaTheme="minorEastAsia" w:hAnsiTheme="minorEastAsia" w:cs="宋体" w:hint="eastAsia"/>
                <w:color w:val="000000" w:themeColor="text1"/>
                <w:kern w:val="0"/>
                <w:sz w:val="24"/>
              </w:rPr>
              <w:t>下属</w:t>
            </w:r>
            <w:r w:rsidR="00FF721F" w:rsidRPr="00FF721F">
              <w:rPr>
                <w:rFonts w:asciiTheme="minorEastAsia" w:eastAsiaTheme="minorEastAsia" w:hAnsiTheme="minorEastAsia" w:cs="宋体" w:hint="eastAsia"/>
                <w:color w:val="000000" w:themeColor="text1"/>
                <w:kern w:val="0"/>
                <w:sz w:val="24"/>
              </w:rPr>
              <w:t>分</w:t>
            </w:r>
            <w:r w:rsidR="00340456" w:rsidRPr="00FF721F">
              <w:rPr>
                <w:rFonts w:asciiTheme="minorEastAsia" w:eastAsiaTheme="minorEastAsia" w:hAnsiTheme="minorEastAsia" w:cs="宋体" w:hint="eastAsia"/>
                <w:color w:val="000000" w:themeColor="text1"/>
                <w:kern w:val="0"/>
                <w:sz w:val="24"/>
              </w:rPr>
              <w:t>级基金</w:t>
            </w:r>
            <w:r w:rsidR="00340456" w:rsidRPr="00593AD2">
              <w:rPr>
                <w:rFonts w:asciiTheme="minorEastAsia" w:eastAsiaTheme="minorEastAsia" w:hAnsiTheme="minorEastAsia" w:hint="eastAsia"/>
                <w:color w:val="000000" w:themeColor="text1"/>
                <w:sz w:val="24"/>
              </w:rPr>
              <w:t>的交易代码</w:t>
            </w:r>
          </w:p>
        </w:tc>
        <w:tc>
          <w:tcPr>
            <w:tcW w:w="2300" w:type="dxa"/>
            <w:vAlign w:val="center"/>
          </w:tcPr>
          <w:p w:rsidR="00340456" w:rsidRPr="00593AD2" w:rsidRDefault="00340456" w:rsidP="00196812">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000855</w:t>
            </w:r>
          </w:p>
        </w:tc>
        <w:tc>
          <w:tcPr>
            <w:tcW w:w="2300" w:type="dxa"/>
            <w:vAlign w:val="center"/>
          </w:tcPr>
          <w:p w:rsidR="00340456" w:rsidRPr="00593AD2" w:rsidRDefault="00340456" w:rsidP="00196812">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000856</w:t>
            </w:r>
          </w:p>
        </w:tc>
        <w:tc>
          <w:tcPr>
            <w:tcW w:w="2301" w:type="dxa"/>
            <w:vAlign w:val="center"/>
          </w:tcPr>
          <w:p w:rsidR="00340456" w:rsidRPr="00593AD2" w:rsidRDefault="00340456" w:rsidP="001669F2">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000857</w:t>
            </w:r>
          </w:p>
        </w:tc>
      </w:tr>
      <w:tr w:rsidR="00593AD2" w:rsidRPr="00593AD2" w:rsidTr="009D19C1">
        <w:trPr>
          <w:jc w:val="center"/>
        </w:trPr>
        <w:tc>
          <w:tcPr>
            <w:tcW w:w="2835" w:type="dxa"/>
          </w:tcPr>
          <w:p w:rsidR="00340456" w:rsidRPr="00593AD2" w:rsidRDefault="009D19C1"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报告</w:t>
            </w:r>
            <w:r w:rsidRPr="00FF721F">
              <w:rPr>
                <w:rFonts w:asciiTheme="minorEastAsia" w:eastAsiaTheme="minorEastAsia" w:hAnsiTheme="minorEastAsia" w:cs="宋体" w:hint="eastAsia"/>
                <w:color w:val="000000" w:themeColor="text1"/>
                <w:kern w:val="0"/>
                <w:sz w:val="24"/>
              </w:rPr>
              <w:t>期末下属</w:t>
            </w:r>
            <w:r w:rsidR="00FF721F" w:rsidRPr="00FF721F">
              <w:rPr>
                <w:rFonts w:asciiTheme="minorEastAsia" w:eastAsiaTheme="minorEastAsia" w:hAnsiTheme="minorEastAsia" w:cs="宋体" w:hint="eastAsia"/>
                <w:color w:val="000000" w:themeColor="text1"/>
                <w:kern w:val="0"/>
                <w:sz w:val="24"/>
              </w:rPr>
              <w:t>分</w:t>
            </w:r>
            <w:r w:rsidR="00340456" w:rsidRPr="00593AD2">
              <w:rPr>
                <w:rFonts w:asciiTheme="minorEastAsia" w:eastAsiaTheme="minorEastAsia" w:hAnsiTheme="minorEastAsia" w:hint="eastAsia"/>
                <w:color w:val="000000" w:themeColor="text1"/>
                <w:sz w:val="24"/>
              </w:rPr>
              <w:t>级基金的份额总额</w:t>
            </w:r>
          </w:p>
        </w:tc>
        <w:tc>
          <w:tcPr>
            <w:tcW w:w="2300" w:type="dxa"/>
            <w:vAlign w:val="center"/>
          </w:tcPr>
          <w:p w:rsidR="00340456" w:rsidRPr="00593AD2" w:rsidRDefault="00340456" w:rsidP="00196812">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6,259,014,801.40</w:t>
            </w:r>
            <w:r w:rsidRPr="00593AD2">
              <w:rPr>
                <w:rFonts w:asciiTheme="minorEastAsia" w:eastAsiaTheme="minorEastAsia" w:hAnsiTheme="minorEastAsia" w:hint="eastAsia"/>
                <w:color w:val="000000" w:themeColor="text1"/>
                <w:sz w:val="24"/>
              </w:rPr>
              <w:t>份</w:t>
            </w:r>
          </w:p>
        </w:tc>
        <w:tc>
          <w:tcPr>
            <w:tcW w:w="2300" w:type="dxa"/>
            <w:vAlign w:val="center"/>
          </w:tcPr>
          <w:p w:rsidR="00340456" w:rsidRPr="00593AD2" w:rsidRDefault="00340456" w:rsidP="00196812">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w:t>
            </w:r>
            <w:r w:rsidRPr="00593AD2">
              <w:rPr>
                <w:rFonts w:asciiTheme="minorEastAsia" w:eastAsiaTheme="minorEastAsia" w:hAnsiTheme="minorEastAsia" w:hint="eastAsia"/>
                <w:color w:val="000000" w:themeColor="text1"/>
                <w:sz w:val="24"/>
              </w:rPr>
              <w:t>份</w:t>
            </w:r>
          </w:p>
        </w:tc>
        <w:tc>
          <w:tcPr>
            <w:tcW w:w="2301" w:type="dxa"/>
            <w:vAlign w:val="center"/>
          </w:tcPr>
          <w:p w:rsidR="00340456" w:rsidRPr="00593AD2" w:rsidRDefault="00340456" w:rsidP="00025C5D">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385,595,662.20</w:t>
            </w:r>
            <w:r w:rsidRPr="00593AD2">
              <w:rPr>
                <w:rFonts w:asciiTheme="minorEastAsia" w:eastAsiaTheme="minorEastAsia" w:hAnsiTheme="minorEastAsia" w:hint="eastAsia"/>
                <w:color w:val="000000" w:themeColor="text1"/>
                <w:sz w:val="24"/>
              </w:rPr>
              <w:t>份</w:t>
            </w:r>
          </w:p>
        </w:tc>
      </w:tr>
    </w:tbl>
    <w:p w:rsidR="00902E3F" w:rsidRPr="00593AD2" w:rsidRDefault="00902E3F" w:rsidP="00631E43">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t>§</w:t>
      </w:r>
      <w:r w:rsidRPr="00593AD2">
        <w:rPr>
          <w:rFonts w:asciiTheme="minorEastAsia" w:eastAsiaTheme="minorEastAsia" w:hAnsiTheme="minorEastAsia" w:cs="Arial"/>
          <w:color w:val="000000" w:themeColor="text1"/>
          <w:kern w:val="0"/>
          <w:sz w:val="24"/>
          <w:szCs w:val="24"/>
        </w:rPr>
        <w:t xml:space="preserve">3  </w:t>
      </w:r>
      <w:r w:rsidRPr="00593AD2">
        <w:rPr>
          <w:rFonts w:asciiTheme="minorEastAsia" w:eastAsiaTheme="minorEastAsia" w:hAnsiTheme="minorEastAsia" w:cs="Arial" w:hint="eastAsia"/>
          <w:color w:val="000000" w:themeColor="text1"/>
          <w:kern w:val="0"/>
          <w:sz w:val="24"/>
          <w:szCs w:val="24"/>
        </w:rPr>
        <w:t>主要财务指标和基金净值表现</w:t>
      </w:r>
    </w:p>
    <w:p w:rsidR="00902E3F" w:rsidRPr="00593AD2" w:rsidRDefault="00902E3F" w:rsidP="009A755D">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3.1 </w:t>
      </w:r>
      <w:r w:rsidRPr="00593AD2">
        <w:rPr>
          <w:rFonts w:asciiTheme="minorEastAsia" w:eastAsiaTheme="minorEastAsia" w:hAnsiTheme="minorEastAsia" w:cs="Arial" w:hint="eastAsia"/>
          <w:b/>
          <w:color w:val="000000" w:themeColor="text1"/>
          <w:kern w:val="0"/>
          <w:sz w:val="24"/>
        </w:rPr>
        <w:t>主要财务指标</w:t>
      </w:r>
    </w:p>
    <w:p w:rsidR="00902E3F" w:rsidRPr="00593AD2" w:rsidRDefault="00902E3F" w:rsidP="0019681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单位：人民币元</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3"/>
        <w:gridCol w:w="2410"/>
        <w:gridCol w:w="1984"/>
        <w:gridCol w:w="1827"/>
      </w:tblGrid>
      <w:tr w:rsidR="00593AD2" w:rsidRPr="00593AD2" w:rsidTr="0033599F">
        <w:trPr>
          <w:jc w:val="center"/>
        </w:trPr>
        <w:tc>
          <w:tcPr>
            <w:tcW w:w="3373" w:type="dxa"/>
            <w:vMerge w:val="restart"/>
            <w:vAlign w:val="center"/>
          </w:tcPr>
          <w:p w:rsidR="00F31380" w:rsidRPr="00593AD2" w:rsidRDefault="00F31380" w:rsidP="00196812">
            <w:pPr>
              <w:adjustRightInd w:val="0"/>
              <w:spacing w:before="29" w:line="360" w:lineRule="auto"/>
              <w:ind w:left="17"/>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主要财务指标</w:t>
            </w:r>
          </w:p>
        </w:tc>
        <w:tc>
          <w:tcPr>
            <w:tcW w:w="6221" w:type="dxa"/>
            <w:gridSpan w:val="3"/>
            <w:vAlign w:val="center"/>
          </w:tcPr>
          <w:p w:rsidR="00F31380" w:rsidRPr="00593AD2" w:rsidRDefault="00F31380" w:rsidP="00196812">
            <w:pPr>
              <w:adjustRightInd w:val="0"/>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报告期(</w:t>
            </w:r>
            <w:r w:rsidRPr="00593AD2">
              <w:rPr>
                <w:rFonts w:asciiTheme="minorEastAsia" w:eastAsiaTheme="minorEastAsia" w:hAnsiTheme="minorEastAsia" w:cs="宋体"/>
                <w:color w:val="000000" w:themeColor="text1"/>
                <w:sz w:val="24"/>
              </w:rPr>
              <w:t>2022年1月1日-2022年3月31日</w:t>
            </w:r>
            <w:r w:rsidRPr="00593AD2">
              <w:rPr>
                <w:rFonts w:asciiTheme="minorEastAsia" w:eastAsiaTheme="minorEastAsia" w:hAnsiTheme="minorEastAsia" w:cs="宋体" w:hint="eastAsia"/>
                <w:color w:val="000000" w:themeColor="text1"/>
                <w:sz w:val="24"/>
              </w:rPr>
              <w:t>)</w:t>
            </w:r>
          </w:p>
        </w:tc>
      </w:tr>
      <w:tr w:rsidR="00593AD2" w:rsidRPr="00593AD2" w:rsidTr="00D20E97">
        <w:trPr>
          <w:jc w:val="center"/>
        </w:trPr>
        <w:tc>
          <w:tcPr>
            <w:tcW w:w="3373" w:type="dxa"/>
            <w:vMerge/>
            <w:vAlign w:val="center"/>
          </w:tcPr>
          <w:p w:rsidR="00025C5D" w:rsidRPr="00593AD2" w:rsidRDefault="00025C5D" w:rsidP="00196812">
            <w:pPr>
              <w:adjustRightInd w:val="0"/>
              <w:spacing w:before="29" w:line="360" w:lineRule="auto"/>
              <w:ind w:left="17"/>
              <w:jc w:val="center"/>
              <w:rPr>
                <w:rFonts w:asciiTheme="minorEastAsia" w:eastAsiaTheme="minorEastAsia" w:hAnsiTheme="minorEastAsia" w:cs="宋体"/>
                <w:color w:val="000000" w:themeColor="text1"/>
                <w:kern w:val="0"/>
                <w:sz w:val="24"/>
              </w:rPr>
            </w:pPr>
          </w:p>
        </w:tc>
        <w:tc>
          <w:tcPr>
            <w:tcW w:w="2410" w:type="dxa"/>
            <w:vAlign w:val="center"/>
          </w:tcPr>
          <w:p w:rsidR="00025C5D" w:rsidRPr="00593AD2" w:rsidRDefault="00025C5D" w:rsidP="00196812">
            <w:pPr>
              <w:adjustRightInd w:val="0"/>
              <w:spacing w:before="29" w:line="360" w:lineRule="auto"/>
              <w:ind w:left="17"/>
              <w:jc w:val="center"/>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上投摩根天添盈货币A类</w:t>
            </w:r>
          </w:p>
        </w:tc>
        <w:tc>
          <w:tcPr>
            <w:tcW w:w="1984" w:type="dxa"/>
            <w:vAlign w:val="center"/>
          </w:tcPr>
          <w:p w:rsidR="00025C5D" w:rsidRPr="00593AD2" w:rsidRDefault="00025C5D" w:rsidP="00196812">
            <w:pPr>
              <w:adjustRightInd w:val="0"/>
              <w:spacing w:before="29" w:line="360" w:lineRule="auto"/>
              <w:ind w:left="17"/>
              <w:jc w:val="center"/>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上投摩根天添盈货币B类</w:t>
            </w:r>
          </w:p>
        </w:tc>
        <w:tc>
          <w:tcPr>
            <w:tcW w:w="1827" w:type="dxa"/>
            <w:vAlign w:val="center"/>
          </w:tcPr>
          <w:p w:rsidR="00025C5D" w:rsidRPr="00593AD2" w:rsidRDefault="00025C5D" w:rsidP="00025C5D">
            <w:pPr>
              <w:adjustRightInd w:val="0"/>
              <w:spacing w:before="29" w:line="360" w:lineRule="auto"/>
              <w:ind w:left="17"/>
              <w:jc w:val="center"/>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上投摩根天添盈货币E类</w:t>
            </w:r>
          </w:p>
        </w:tc>
      </w:tr>
      <w:tr w:rsidR="00593AD2" w:rsidRPr="00593AD2" w:rsidTr="00D20E97">
        <w:trPr>
          <w:trHeight w:val="840"/>
          <w:jc w:val="center"/>
        </w:trPr>
        <w:tc>
          <w:tcPr>
            <w:tcW w:w="3373" w:type="dxa"/>
          </w:tcPr>
          <w:p w:rsidR="00025C5D" w:rsidRPr="00593AD2" w:rsidRDefault="00025C5D" w:rsidP="00196812">
            <w:pPr>
              <w:adjustRightInd w:val="0"/>
              <w:spacing w:before="29" w:line="360" w:lineRule="auto"/>
              <w:ind w:left="17"/>
              <w:rPr>
                <w:rFonts w:asciiTheme="minorEastAsia" w:eastAsiaTheme="minorEastAsia" w:hAnsiTheme="minorEastAsia"/>
                <w:color w:val="000000" w:themeColor="text1"/>
                <w:kern w:val="0"/>
                <w:sz w:val="24"/>
              </w:rPr>
            </w:pPr>
            <w:r w:rsidRPr="00593AD2">
              <w:rPr>
                <w:rFonts w:asciiTheme="minorEastAsia" w:eastAsiaTheme="minorEastAsia" w:hAnsiTheme="minorEastAsia" w:cs="方正仿宋简体"/>
                <w:color w:val="000000" w:themeColor="text1"/>
                <w:kern w:val="0"/>
                <w:sz w:val="24"/>
              </w:rPr>
              <w:t>1.</w:t>
            </w:r>
            <w:r w:rsidRPr="00593AD2">
              <w:rPr>
                <w:rFonts w:asciiTheme="minorEastAsia" w:eastAsiaTheme="minorEastAsia" w:hAnsiTheme="minorEastAsia" w:cs="宋体" w:hint="eastAsia"/>
                <w:color w:val="000000" w:themeColor="text1"/>
                <w:kern w:val="0"/>
                <w:sz w:val="24"/>
              </w:rPr>
              <w:t>本期已实现收益</w:t>
            </w:r>
          </w:p>
        </w:tc>
        <w:tc>
          <w:tcPr>
            <w:tcW w:w="2410" w:type="dxa"/>
            <w:vAlign w:val="bottom"/>
          </w:tcPr>
          <w:p w:rsidR="00025C5D" w:rsidRPr="00593AD2" w:rsidRDefault="00025C5D" w:rsidP="00196812">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31,915,607.36</w:t>
            </w:r>
          </w:p>
        </w:tc>
        <w:tc>
          <w:tcPr>
            <w:tcW w:w="1984" w:type="dxa"/>
            <w:vAlign w:val="bottom"/>
          </w:tcPr>
          <w:p w:rsidR="00025C5D" w:rsidRPr="00593AD2" w:rsidRDefault="00025C5D" w:rsidP="00196812">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w:t>
            </w:r>
          </w:p>
        </w:tc>
        <w:tc>
          <w:tcPr>
            <w:tcW w:w="1827" w:type="dxa"/>
            <w:vAlign w:val="bottom"/>
          </w:tcPr>
          <w:p w:rsidR="00025C5D" w:rsidRPr="00593AD2" w:rsidRDefault="00025C5D" w:rsidP="00025C5D">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2,053,886.17</w:t>
            </w:r>
          </w:p>
        </w:tc>
      </w:tr>
      <w:tr w:rsidR="00593AD2" w:rsidRPr="00593AD2" w:rsidTr="00D20E97">
        <w:trPr>
          <w:jc w:val="center"/>
        </w:trPr>
        <w:tc>
          <w:tcPr>
            <w:tcW w:w="3373" w:type="dxa"/>
          </w:tcPr>
          <w:p w:rsidR="00025C5D" w:rsidRPr="00593AD2" w:rsidRDefault="00025C5D" w:rsidP="00196812">
            <w:pPr>
              <w:adjustRightInd w:val="0"/>
              <w:spacing w:before="29" w:line="360" w:lineRule="auto"/>
              <w:ind w:left="17"/>
              <w:rPr>
                <w:rFonts w:asciiTheme="minorEastAsia" w:eastAsiaTheme="minorEastAsia" w:hAnsiTheme="minorEastAsia"/>
                <w:color w:val="000000" w:themeColor="text1"/>
                <w:kern w:val="0"/>
                <w:sz w:val="24"/>
              </w:rPr>
            </w:pPr>
            <w:r w:rsidRPr="00593AD2">
              <w:rPr>
                <w:rFonts w:asciiTheme="minorEastAsia" w:eastAsiaTheme="minorEastAsia" w:hAnsiTheme="minorEastAsia" w:cs="方正仿宋简体"/>
                <w:color w:val="000000" w:themeColor="text1"/>
                <w:kern w:val="0"/>
                <w:sz w:val="24"/>
              </w:rPr>
              <w:t>2.</w:t>
            </w:r>
            <w:r w:rsidRPr="00593AD2">
              <w:rPr>
                <w:rFonts w:asciiTheme="minorEastAsia" w:eastAsiaTheme="minorEastAsia" w:hAnsiTheme="minorEastAsia" w:cs="宋体" w:hint="eastAsia"/>
                <w:color w:val="000000" w:themeColor="text1"/>
                <w:kern w:val="0"/>
                <w:sz w:val="24"/>
              </w:rPr>
              <w:t>本期利润</w:t>
            </w:r>
          </w:p>
        </w:tc>
        <w:tc>
          <w:tcPr>
            <w:tcW w:w="2410" w:type="dxa"/>
            <w:vAlign w:val="bottom"/>
          </w:tcPr>
          <w:p w:rsidR="00025C5D" w:rsidRPr="00593AD2" w:rsidRDefault="00025C5D" w:rsidP="00196812">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31,915,607.36</w:t>
            </w:r>
          </w:p>
        </w:tc>
        <w:tc>
          <w:tcPr>
            <w:tcW w:w="1984" w:type="dxa"/>
            <w:vAlign w:val="bottom"/>
          </w:tcPr>
          <w:p w:rsidR="00025C5D" w:rsidRPr="00593AD2" w:rsidRDefault="00025C5D" w:rsidP="00196812">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w:t>
            </w:r>
          </w:p>
        </w:tc>
        <w:tc>
          <w:tcPr>
            <w:tcW w:w="1827" w:type="dxa"/>
            <w:vAlign w:val="bottom"/>
          </w:tcPr>
          <w:p w:rsidR="00025C5D" w:rsidRPr="00593AD2" w:rsidRDefault="00025C5D" w:rsidP="00025C5D">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2,053,886.17</w:t>
            </w:r>
          </w:p>
        </w:tc>
      </w:tr>
      <w:tr w:rsidR="00593AD2" w:rsidRPr="00593AD2" w:rsidTr="00D20E97">
        <w:trPr>
          <w:jc w:val="center"/>
        </w:trPr>
        <w:tc>
          <w:tcPr>
            <w:tcW w:w="3373" w:type="dxa"/>
          </w:tcPr>
          <w:p w:rsidR="00025C5D" w:rsidRPr="00593AD2" w:rsidRDefault="00025C5D" w:rsidP="00196812">
            <w:pPr>
              <w:adjustRightInd w:val="0"/>
              <w:spacing w:before="29" w:line="360" w:lineRule="auto"/>
              <w:ind w:left="17"/>
              <w:rPr>
                <w:rFonts w:asciiTheme="minorEastAsia" w:eastAsiaTheme="minorEastAsia" w:hAnsiTheme="minorEastAsia"/>
                <w:color w:val="000000" w:themeColor="text1"/>
                <w:kern w:val="0"/>
                <w:sz w:val="24"/>
              </w:rPr>
            </w:pPr>
            <w:r w:rsidRPr="00593AD2">
              <w:rPr>
                <w:rFonts w:asciiTheme="minorEastAsia" w:eastAsiaTheme="minorEastAsia" w:hAnsiTheme="minorEastAsia" w:cs="方正仿宋简体" w:hint="eastAsia"/>
                <w:color w:val="000000" w:themeColor="text1"/>
                <w:kern w:val="0"/>
                <w:sz w:val="24"/>
              </w:rPr>
              <w:t>3</w:t>
            </w:r>
            <w:r w:rsidRPr="00593AD2">
              <w:rPr>
                <w:rFonts w:asciiTheme="minorEastAsia" w:eastAsiaTheme="minorEastAsia" w:hAnsiTheme="minorEastAsia" w:cs="方正仿宋简体"/>
                <w:color w:val="000000" w:themeColor="text1"/>
                <w:kern w:val="0"/>
                <w:sz w:val="24"/>
              </w:rPr>
              <w:t>.</w:t>
            </w:r>
            <w:r w:rsidRPr="00593AD2">
              <w:rPr>
                <w:rFonts w:asciiTheme="minorEastAsia" w:eastAsiaTheme="minorEastAsia" w:hAnsiTheme="minorEastAsia" w:cs="宋体" w:hint="eastAsia"/>
                <w:color w:val="000000" w:themeColor="text1"/>
                <w:kern w:val="0"/>
                <w:sz w:val="24"/>
              </w:rPr>
              <w:t>期末基金资产净值</w:t>
            </w:r>
          </w:p>
        </w:tc>
        <w:tc>
          <w:tcPr>
            <w:tcW w:w="2410" w:type="dxa"/>
          </w:tcPr>
          <w:p w:rsidR="00025C5D" w:rsidRPr="00593AD2" w:rsidRDefault="00025C5D" w:rsidP="00196812">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6,259,014,801.40</w:t>
            </w:r>
          </w:p>
        </w:tc>
        <w:tc>
          <w:tcPr>
            <w:tcW w:w="1984" w:type="dxa"/>
          </w:tcPr>
          <w:p w:rsidR="00025C5D" w:rsidRPr="00593AD2" w:rsidRDefault="00025C5D" w:rsidP="00196812">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w:t>
            </w:r>
          </w:p>
        </w:tc>
        <w:tc>
          <w:tcPr>
            <w:tcW w:w="1827" w:type="dxa"/>
          </w:tcPr>
          <w:p w:rsidR="00025C5D" w:rsidRPr="00593AD2" w:rsidRDefault="00025C5D" w:rsidP="00025C5D">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385,595,662.20</w:t>
            </w:r>
          </w:p>
        </w:tc>
      </w:tr>
    </w:tbl>
    <w:p w:rsidR="008509A1" w:rsidRDefault="00BE7933">
      <w:pPr>
        <w:autoSpaceDE w:val="0"/>
        <w:autoSpaceDN w:val="0"/>
        <w:adjustRightInd w:val="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注：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893021" w:rsidRPr="00593AD2" w:rsidRDefault="00893021"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上述基金业绩指标不包括交易基金的各项费用（例如基金转换费等），计入费用后实际收益水平要低于所列数字。</w:t>
      </w:r>
    </w:p>
    <w:p w:rsidR="00902E3F" w:rsidRPr="00593AD2"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593AD2" w:rsidRDefault="00902E3F" w:rsidP="009A755D">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3.2 </w:t>
      </w:r>
      <w:r w:rsidRPr="00593AD2">
        <w:rPr>
          <w:rFonts w:asciiTheme="minorEastAsia" w:eastAsiaTheme="minorEastAsia" w:hAnsiTheme="minorEastAsia" w:cs="Arial" w:hint="eastAsia"/>
          <w:b/>
          <w:color w:val="000000" w:themeColor="text1"/>
          <w:kern w:val="0"/>
          <w:sz w:val="24"/>
        </w:rPr>
        <w:t>基金净值表现</w:t>
      </w:r>
    </w:p>
    <w:p w:rsidR="00902E3F" w:rsidRPr="00593AD2" w:rsidRDefault="00902E3F" w:rsidP="009A755D">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3.2.1 </w:t>
      </w:r>
      <w:r w:rsidRPr="00593AD2">
        <w:rPr>
          <w:rFonts w:asciiTheme="minorEastAsia" w:eastAsiaTheme="minorEastAsia" w:hAnsiTheme="minorEastAsia" w:cs="Arial" w:hint="eastAsia"/>
          <w:b/>
          <w:color w:val="000000" w:themeColor="text1"/>
          <w:kern w:val="0"/>
          <w:sz w:val="24"/>
        </w:rPr>
        <w:t>本报告期基金份额净值收益率及其与同期业绩比较基准收益率的比较</w:t>
      </w:r>
    </w:p>
    <w:p w:rsidR="00DA1983" w:rsidRPr="00593AD2" w:rsidRDefault="00186667" w:rsidP="009A755D">
      <w:pPr>
        <w:pStyle w:val="20"/>
        <w:spacing w:line="360" w:lineRule="auto"/>
        <w:ind w:firstLineChars="0" w:firstLine="0"/>
        <w:rPr>
          <w:rFonts w:asciiTheme="minorEastAsia" w:eastAsiaTheme="minorEastAsia" w:hAnsiTheme="minorEastAsia"/>
          <w:b/>
          <w:color w:val="000000" w:themeColor="text1"/>
        </w:rPr>
      </w:pPr>
      <w:r w:rsidRPr="00593AD2">
        <w:rPr>
          <w:rFonts w:asciiTheme="minorEastAsia" w:eastAsiaTheme="minorEastAsia" w:hAnsiTheme="minorEastAsia" w:hint="eastAsia"/>
          <w:b/>
          <w:color w:val="000000" w:themeColor="text1"/>
        </w:rPr>
        <w:t>1</w:t>
      </w:r>
      <w:r w:rsidR="00570F8C" w:rsidRPr="00593AD2">
        <w:rPr>
          <w:rFonts w:asciiTheme="minorEastAsia" w:eastAsiaTheme="minorEastAsia" w:hAnsiTheme="minorEastAsia" w:hint="eastAsia"/>
          <w:b/>
          <w:color w:val="000000" w:themeColor="text1"/>
        </w:rPr>
        <w:t>、</w:t>
      </w:r>
      <w:r w:rsidR="0024424F" w:rsidRPr="00593AD2">
        <w:rPr>
          <w:rFonts w:asciiTheme="minorEastAsia" w:eastAsiaTheme="minorEastAsia" w:hAnsiTheme="minorEastAsia" w:hint="eastAsia"/>
          <w:b/>
          <w:color w:val="000000" w:themeColor="text1"/>
        </w:rPr>
        <w:t>上投摩根天添盈货币A类:</w:t>
      </w:r>
    </w:p>
    <w:tbl>
      <w:tblPr>
        <w:tblStyle w:val="ad"/>
        <w:tblW w:w="0" w:type="auto"/>
        <w:tblLayout w:type="fixed"/>
        <w:tblLook w:val="04A0" w:firstRow="1" w:lastRow="0" w:firstColumn="1" w:lastColumn="0" w:noHBand="0" w:noVBand="1"/>
      </w:tblPr>
      <w:tblGrid>
        <w:gridCol w:w="1328"/>
        <w:gridCol w:w="1329"/>
        <w:gridCol w:w="1329"/>
        <w:gridCol w:w="1329"/>
        <w:gridCol w:w="1329"/>
        <w:gridCol w:w="1329"/>
        <w:gridCol w:w="1329"/>
      </w:tblGrid>
      <w:tr w:rsidR="00593AD2" w:rsidRPr="00593AD2" w:rsidTr="00636B17">
        <w:tc>
          <w:tcPr>
            <w:tcW w:w="1328" w:type="dxa"/>
            <w:vAlign w:val="center"/>
          </w:tcPr>
          <w:p w:rsidR="008B23BD" w:rsidRPr="00593AD2"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阶段</w:t>
            </w:r>
          </w:p>
        </w:tc>
        <w:tc>
          <w:tcPr>
            <w:tcW w:w="1329" w:type="dxa"/>
            <w:vAlign w:val="center"/>
          </w:tcPr>
          <w:p w:rsidR="008B23BD" w:rsidRPr="00593AD2"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净值收益率①</w:t>
            </w:r>
          </w:p>
        </w:tc>
        <w:tc>
          <w:tcPr>
            <w:tcW w:w="1329" w:type="dxa"/>
            <w:vAlign w:val="center"/>
          </w:tcPr>
          <w:p w:rsidR="008B23BD" w:rsidRPr="00593AD2"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净值收益率标准差②</w:t>
            </w:r>
          </w:p>
        </w:tc>
        <w:tc>
          <w:tcPr>
            <w:tcW w:w="1329" w:type="dxa"/>
            <w:vAlign w:val="center"/>
          </w:tcPr>
          <w:p w:rsidR="008B23BD" w:rsidRPr="00593AD2"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业绩比较基准收益率③</w:t>
            </w:r>
          </w:p>
        </w:tc>
        <w:tc>
          <w:tcPr>
            <w:tcW w:w="1329" w:type="dxa"/>
            <w:vAlign w:val="center"/>
          </w:tcPr>
          <w:p w:rsidR="008B23BD" w:rsidRPr="00593AD2"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业绩比较基准收益率标准差④</w:t>
            </w:r>
          </w:p>
        </w:tc>
        <w:tc>
          <w:tcPr>
            <w:tcW w:w="1329" w:type="dxa"/>
            <w:vAlign w:val="center"/>
          </w:tcPr>
          <w:p w:rsidR="008B23BD" w:rsidRPr="00593AD2"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①-③</w:t>
            </w:r>
          </w:p>
        </w:tc>
        <w:tc>
          <w:tcPr>
            <w:tcW w:w="1329" w:type="dxa"/>
            <w:vAlign w:val="center"/>
          </w:tcPr>
          <w:p w:rsidR="008B23BD" w:rsidRPr="00593AD2"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②-④</w:t>
            </w:r>
          </w:p>
        </w:tc>
      </w:tr>
      <w:tr w:rsidR="008509A1">
        <w:tc>
          <w:tcPr>
            <w:tcW w:w="1328" w:type="dxa"/>
            <w:vAlign w:val="center"/>
          </w:tcPr>
          <w:p w:rsidR="008509A1" w:rsidRDefault="00BE7933">
            <w:pPr>
              <w:jc w:val="left"/>
            </w:pPr>
            <w:r>
              <w:rPr>
                <w:rFonts w:asciiTheme="minorEastAsia" w:eastAsiaTheme="minorEastAsia" w:hAnsiTheme="minorEastAsia"/>
                <w:color w:val="000000" w:themeColor="text1"/>
              </w:rPr>
              <w:t>过去三个月</w:t>
            </w:r>
          </w:p>
        </w:tc>
        <w:tc>
          <w:tcPr>
            <w:tcW w:w="1329" w:type="dxa"/>
            <w:vAlign w:val="center"/>
          </w:tcPr>
          <w:p w:rsidR="008509A1" w:rsidRDefault="00BE7933">
            <w:pPr>
              <w:jc w:val="center"/>
            </w:pPr>
            <w:r>
              <w:rPr>
                <w:rFonts w:asciiTheme="minorEastAsia" w:eastAsiaTheme="minorEastAsia" w:hAnsiTheme="minorEastAsia"/>
                <w:color w:val="000000" w:themeColor="text1"/>
              </w:rPr>
              <w:t>0.4853%</w:t>
            </w:r>
          </w:p>
        </w:tc>
        <w:tc>
          <w:tcPr>
            <w:tcW w:w="1329" w:type="dxa"/>
            <w:vAlign w:val="center"/>
          </w:tcPr>
          <w:p w:rsidR="008509A1" w:rsidRDefault="00BE7933">
            <w:pPr>
              <w:jc w:val="center"/>
            </w:pPr>
            <w:r>
              <w:rPr>
                <w:rFonts w:asciiTheme="minorEastAsia" w:eastAsiaTheme="minorEastAsia" w:hAnsiTheme="minorEastAsia"/>
                <w:color w:val="000000" w:themeColor="text1"/>
              </w:rPr>
              <w:t>0.0006%</w:t>
            </w:r>
          </w:p>
        </w:tc>
        <w:tc>
          <w:tcPr>
            <w:tcW w:w="1329" w:type="dxa"/>
            <w:vAlign w:val="center"/>
          </w:tcPr>
          <w:p w:rsidR="008509A1" w:rsidRDefault="00BE7933">
            <w:pPr>
              <w:jc w:val="center"/>
            </w:pPr>
            <w:r>
              <w:rPr>
                <w:rFonts w:asciiTheme="minorEastAsia" w:eastAsiaTheme="minorEastAsia" w:hAnsiTheme="minorEastAsia"/>
                <w:color w:val="000000" w:themeColor="text1"/>
              </w:rPr>
              <w:t>0.3329%</w:t>
            </w:r>
          </w:p>
        </w:tc>
        <w:tc>
          <w:tcPr>
            <w:tcW w:w="1329" w:type="dxa"/>
            <w:vAlign w:val="center"/>
          </w:tcPr>
          <w:p w:rsidR="008509A1" w:rsidRDefault="00BE7933">
            <w:pPr>
              <w:jc w:val="center"/>
            </w:pPr>
            <w:r>
              <w:rPr>
                <w:rFonts w:asciiTheme="minorEastAsia" w:eastAsiaTheme="minorEastAsia" w:hAnsiTheme="minorEastAsia"/>
                <w:color w:val="000000" w:themeColor="text1"/>
              </w:rPr>
              <w:t>0.0000%</w:t>
            </w:r>
          </w:p>
        </w:tc>
        <w:tc>
          <w:tcPr>
            <w:tcW w:w="1329" w:type="dxa"/>
            <w:vAlign w:val="center"/>
          </w:tcPr>
          <w:p w:rsidR="008509A1" w:rsidRDefault="00BE7933">
            <w:pPr>
              <w:jc w:val="center"/>
            </w:pPr>
            <w:r>
              <w:rPr>
                <w:rFonts w:asciiTheme="minorEastAsia" w:eastAsiaTheme="minorEastAsia" w:hAnsiTheme="minorEastAsia"/>
                <w:color w:val="000000" w:themeColor="text1"/>
              </w:rPr>
              <w:t>0.1524%</w:t>
            </w:r>
          </w:p>
        </w:tc>
        <w:tc>
          <w:tcPr>
            <w:tcW w:w="1329" w:type="dxa"/>
            <w:vAlign w:val="center"/>
          </w:tcPr>
          <w:p w:rsidR="008509A1" w:rsidRDefault="00BE7933">
            <w:pPr>
              <w:jc w:val="center"/>
            </w:pPr>
            <w:r>
              <w:rPr>
                <w:rFonts w:asciiTheme="minorEastAsia" w:eastAsiaTheme="minorEastAsia" w:hAnsiTheme="minorEastAsia"/>
                <w:color w:val="000000" w:themeColor="text1"/>
              </w:rPr>
              <w:t>0.0006%</w:t>
            </w:r>
          </w:p>
        </w:tc>
      </w:tr>
      <w:tr w:rsidR="008509A1">
        <w:tc>
          <w:tcPr>
            <w:tcW w:w="1328" w:type="dxa"/>
            <w:vAlign w:val="center"/>
          </w:tcPr>
          <w:p w:rsidR="008509A1" w:rsidRDefault="00BE7933">
            <w:pPr>
              <w:jc w:val="left"/>
            </w:pPr>
            <w:r>
              <w:rPr>
                <w:rFonts w:asciiTheme="minorEastAsia" w:eastAsiaTheme="minorEastAsia" w:hAnsiTheme="minorEastAsia"/>
                <w:color w:val="000000" w:themeColor="text1"/>
              </w:rPr>
              <w:t>过去六个月</w:t>
            </w:r>
          </w:p>
        </w:tc>
        <w:tc>
          <w:tcPr>
            <w:tcW w:w="1329" w:type="dxa"/>
            <w:vAlign w:val="center"/>
          </w:tcPr>
          <w:p w:rsidR="008509A1" w:rsidRDefault="00BE7933">
            <w:pPr>
              <w:jc w:val="center"/>
            </w:pPr>
            <w:r>
              <w:rPr>
                <w:rFonts w:asciiTheme="minorEastAsia" w:eastAsiaTheme="minorEastAsia" w:hAnsiTheme="minorEastAsia"/>
                <w:color w:val="000000" w:themeColor="text1"/>
              </w:rPr>
              <w:t>1.0014%</w:t>
            </w:r>
          </w:p>
        </w:tc>
        <w:tc>
          <w:tcPr>
            <w:tcW w:w="1329" w:type="dxa"/>
            <w:vAlign w:val="center"/>
          </w:tcPr>
          <w:p w:rsidR="008509A1" w:rsidRDefault="00BE7933">
            <w:pPr>
              <w:jc w:val="center"/>
            </w:pPr>
            <w:r>
              <w:rPr>
                <w:rFonts w:asciiTheme="minorEastAsia" w:eastAsiaTheme="minorEastAsia" w:hAnsiTheme="minorEastAsia"/>
                <w:color w:val="000000" w:themeColor="text1"/>
              </w:rPr>
              <w:t>0.0006%</w:t>
            </w:r>
          </w:p>
        </w:tc>
        <w:tc>
          <w:tcPr>
            <w:tcW w:w="1329" w:type="dxa"/>
            <w:vAlign w:val="center"/>
          </w:tcPr>
          <w:p w:rsidR="008509A1" w:rsidRDefault="00BE7933">
            <w:pPr>
              <w:jc w:val="center"/>
            </w:pPr>
            <w:r>
              <w:rPr>
                <w:rFonts w:asciiTheme="minorEastAsia" w:eastAsiaTheme="minorEastAsia" w:hAnsiTheme="minorEastAsia"/>
                <w:color w:val="000000" w:themeColor="text1"/>
              </w:rPr>
              <w:t>0.6732%</w:t>
            </w:r>
          </w:p>
        </w:tc>
        <w:tc>
          <w:tcPr>
            <w:tcW w:w="1329" w:type="dxa"/>
            <w:vAlign w:val="center"/>
          </w:tcPr>
          <w:p w:rsidR="008509A1" w:rsidRDefault="00BE7933">
            <w:pPr>
              <w:jc w:val="center"/>
            </w:pPr>
            <w:r>
              <w:rPr>
                <w:rFonts w:asciiTheme="minorEastAsia" w:eastAsiaTheme="minorEastAsia" w:hAnsiTheme="minorEastAsia"/>
                <w:color w:val="000000" w:themeColor="text1"/>
              </w:rPr>
              <w:t>0.0000%</w:t>
            </w:r>
          </w:p>
        </w:tc>
        <w:tc>
          <w:tcPr>
            <w:tcW w:w="1329" w:type="dxa"/>
            <w:vAlign w:val="center"/>
          </w:tcPr>
          <w:p w:rsidR="008509A1" w:rsidRDefault="00BE7933">
            <w:pPr>
              <w:jc w:val="center"/>
            </w:pPr>
            <w:r>
              <w:rPr>
                <w:rFonts w:asciiTheme="minorEastAsia" w:eastAsiaTheme="minorEastAsia" w:hAnsiTheme="minorEastAsia"/>
                <w:color w:val="000000" w:themeColor="text1"/>
              </w:rPr>
              <w:t>0.3282%</w:t>
            </w:r>
          </w:p>
        </w:tc>
        <w:tc>
          <w:tcPr>
            <w:tcW w:w="1329" w:type="dxa"/>
            <w:vAlign w:val="center"/>
          </w:tcPr>
          <w:p w:rsidR="008509A1" w:rsidRDefault="00BE7933">
            <w:pPr>
              <w:jc w:val="center"/>
            </w:pPr>
            <w:r>
              <w:rPr>
                <w:rFonts w:asciiTheme="minorEastAsia" w:eastAsiaTheme="minorEastAsia" w:hAnsiTheme="minorEastAsia"/>
                <w:color w:val="000000" w:themeColor="text1"/>
              </w:rPr>
              <w:t>0.0006%</w:t>
            </w:r>
          </w:p>
        </w:tc>
      </w:tr>
      <w:tr w:rsidR="008509A1">
        <w:tc>
          <w:tcPr>
            <w:tcW w:w="1328" w:type="dxa"/>
            <w:vAlign w:val="center"/>
          </w:tcPr>
          <w:p w:rsidR="008509A1" w:rsidRDefault="00BE7933">
            <w:pPr>
              <w:jc w:val="left"/>
            </w:pPr>
            <w:r>
              <w:rPr>
                <w:rFonts w:asciiTheme="minorEastAsia" w:eastAsiaTheme="minorEastAsia" w:hAnsiTheme="minorEastAsia"/>
                <w:color w:val="000000" w:themeColor="text1"/>
              </w:rPr>
              <w:t>过去一年</w:t>
            </w:r>
          </w:p>
        </w:tc>
        <w:tc>
          <w:tcPr>
            <w:tcW w:w="1329" w:type="dxa"/>
            <w:vAlign w:val="center"/>
          </w:tcPr>
          <w:p w:rsidR="008509A1" w:rsidRDefault="00BE7933">
            <w:pPr>
              <w:jc w:val="center"/>
            </w:pPr>
            <w:r>
              <w:rPr>
                <w:rFonts w:asciiTheme="minorEastAsia" w:eastAsiaTheme="minorEastAsia" w:hAnsiTheme="minorEastAsia"/>
                <w:color w:val="000000" w:themeColor="text1"/>
              </w:rPr>
              <w:t>2.0901%</w:t>
            </w:r>
          </w:p>
        </w:tc>
        <w:tc>
          <w:tcPr>
            <w:tcW w:w="1329" w:type="dxa"/>
            <w:vAlign w:val="center"/>
          </w:tcPr>
          <w:p w:rsidR="008509A1" w:rsidRDefault="00BE7933">
            <w:pPr>
              <w:jc w:val="center"/>
            </w:pPr>
            <w:r>
              <w:rPr>
                <w:rFonts w:asciiTheme="minorEastAsia" w:eastAsiaTheme="minorEastAsia" w:hAnsiTheme="minorEastAsia"/>
                <w:color w:val="000000" w:themeColor="text1"/>
              </w:rPr>
              <w:t>0.0006%</w:t>
            </w:r>
          </w:p>
        </w:tc>
        <w:tc>
          <w:tcPr>
            <w:tcW w:w="1329" w:type="dxa"/>
            <w:vAlign w:val="center"/>
          </w:tcPr>
          <w:p w:rsidR="008509A1" w:rsidRDefault="00BE7933">
            <w:pPr>
              <w:jc w:val="center"/>
            </w:pPr>
            <w:r>
              <w:rPr>
                <w:rFonts w:asciiTheme="minorEastAsia" w:eastAsiaTheme="minorEastAsia" w:hAnsiTheme="minorEastAsia"/>
                <w:color w:val="000000" w:themeColor="text1"/>
              </w:rPr>
              <w:t>1.3500%</w:t>
            </w:r>
          </w:p>
        </w:tc>
        <w:tc>
          <w:tcPr>
            <w:tcW w:w="1329" w:type="dxa"/>
            <w:vAlign w:val="center"/>
          </w:tcPr>
          <w:p w:rsidR="008509A1" w:rsidRDefault="00BE7933">
            <w:pPr>
              <w:jc w:val="center"/>
            </w:pPr>
            <w:r>
              <w:rPr>
                <w:rFonts w:asciiTheme="minorEastAsia" w:eastAsiaTheme="minorEastAsia" w:hAnsiTheme="minorEastAsia"/>
                <w:color w:val="000000" w:themeColor="text1"/>
              </w:rPr>
              <w:t>0.0000%</w:t>
            </w:r>
          </w:p>
        </w:tc>
        <w:tc>
          <w:tcPr>
            <w:tcW w:w="1329" w:type="dxa"/>
            <w:vAlign w:val="center"/>
          </w:tcPr>
          <w:p w:rsidR="008509A1" w:rsidRDefault="00BE7933">
            <w:pPr>
              <w:jc w:val="center"/>
            </w:pPr>
            <w:r>
              <w:rPr>
                <w:rFonts w:asciiTheme="minorEastAsia" w:eastAsiaTheme="minorEastAsia" w:hAnsiTheme="minorEastAsia"/>
                <w:color w:val="000000" w:themeColor="text1"/>
              </w:rPr>
              <w:t>0.7401%</w:t>
            </w:r>
          </w:p>
        </w:tc>
        <w:tc>
          <w:tcPr>
            <w:tcW w:w="1329" w:type="dxa"/>
            <w:vAlign w:val="center"/>
          </w:tcPr>
          <w:p w:rsidR="008509A1" w:rsidRDefault="00BE7933">
            <w:pPr>
              <w:jc w:val="center"/>
            </w:pPr>
            <w:r>
              <w:rPr>
                <w:rFonts w:asciiTheme="minorEastAsia" w:eastAsiaTheme="minorEastAsia" w:hAnsiTheme="minorEastAsia"/>
                <w:color w:val="000000" w:themeColor="text1"/>
              </w:rPr>
              <w:t>0.0006%</w:t>
            </w:r>
          </w:p>
        </w:tc>
      </w:tr>
      <w:tr w:rsidR="008509A1">
        <w:tc>
          <w:tcPr>
            <w:tcW w:w="1328" w:type="dxa"/>
            <w:vAlign w:val="center"/>
          </w:tcPr>
          <w:p w:rsidR="008509A1" w:rsidRDefault="00BE7933">
            <w:pPr>
              <w:jc w:val="left"/>
            </w:pPr>
            <w:r>
              <w:rPr>
                <w:rFonts w:asciiTheme="minorEastAsia" w:eastAsiaTheme="minorEastAsia" w:hAnsiTheme="minorEastAsia"/>
                <w:color w:val="000000" w:themeColor="text1"/>
              </w:rPr>
              <w:t>过去三年</w:t>
            </w:r>
          </w:p>
        </w:tc>
        <w:tc>
          <w:tcPr>
            <w:tcW w:w="1329" w:type="dxa"/>
            <w:vAlign w:val="center"/>
          </w:tcPr>
          <w:p w:rsidR="008509A1" w:rsidRDefault="00BE7933">
            <w:pPr>
              <w:jc w:val="center"/>
            </w:pPr>
            <w:r>
              <w:rPr>
                <w:rFonts w:asciiTheme="minorEastAsia" w:eastAsiaTheme="minorEastAsia" w:hAnsiTheme="minorEastAsia"/>
                <w:color w:val="000000" w:themeColor="text1"/>
              </w:rPr>
              <w:t>6.4325%</w:t>
            </w:r>
          </w:p>
        </w:tc>
        <w:tc>
          <w:tcPr>
            <w:tcW w:w="1329" w:type="dxa"/>
            <w:vAlign w:val="center"/>
          </w:tcPr>
          <w:p w:rsidR="008509A1" w:rsidRDefault="00BE7933">
            <w:pPr>
              <w:jc w:val="center"/>
            </w:pPr>
            <w:r>
              <w:rPr>
                <w:rFonts w:asciiTheme="minorEastAsia" w:eastAsiaTheme="minorEastAsia" w:hAnsiTheme="minorEastAsia"/>
                <w:color w:val="000000" w:themeColor="text1"/>
              </w:rPr>
              <w:t>0.0009%</w:t>
            </w:r>
          </w:p>
        </w:tc>
        <w:tc>
          <w:tcPr>
            <w:tcW w:w="1329" w:type="dxa"/>
            <w:vAlign w:val="center"/>
          </w:tcPr>
          <w:p w:rsidR="008509A1" w:rsidRDefault="00BE7933">
            <w:pPr>
              <w:jc w:val="center"/>
            </w:pPr>
            <w:r>
              <w:rPr>
                <w:rFonts w:asciiTheme="minorEastAsia" w:eastAsiaTheme="minorEastAsia" w:hAnsiTheme="minorEastAsia"/>
                <w:color w:val="000000" w:themeColor="text1"/>
              </w:rPr>
              <w:t>4.0537%</w:t>
            </w:r>
          </w:p>
        </w:tc>
        <w:tc>
          <w:tcPr>
            <w:tcW w:w="1329" w:type="dxa"/>
            <w:vAlign w:val="center"/>
          </w:tcPr>
          <w:p w:rsidR="008509A1" w:rsidRDefault="00BE7933">
            <w:pPr>
              <w:jc w:val="center"/>
            </w:pPr>
            <w:r>
              <w:rPr>
                <w:rFonts w:asciiTheme="minorEastAsia" w:eastAsiaTheme="minorEastAsia" w:hAnsiTheme="minorEastAsia"/>
                <w:color w:val="000000" w:themeColor="text1"/>
              </w:rPr>
              <w:t>0.0000%</w:t>
            </w:r>
          </w:p>
        </w:tc>
        <w:tc>
          <w:tcPr>
            <w:tcW w:w="1329" w:type="dxa"/>
            <w:vAlign w:val="center"/>
          </w:tcPr>
          <w:p w:rsidR="008509A1" w:rsidRDefault="00BE7933">
            <w:pPr>
              <w:jc w:val="center"/>
            </w:pPr>
            <w:r>
              <w:rPr>
                <w:rFonts w:asciiTheme="minorEastAsia" w:eastAsiaTheme="minorEastAsia" w:hAnsiTheme="minorEastAsia"/>
                <w:color w:val="000000" w:themeColor="text1"/>
              </w:rPr>
              <w:t>2.3788%</w:t>
            </w:r>
          </w:p>
        </w:tc>
        <w:tc>
          <w:tcPr>
            <w:tcW w:w="1329" w:type="dxa"/>
            <w:vAlign w:val="center"/>
          </w:tcPr>
          <w:p w:rsidR="008509A1" w:rsidRDefault="00BE7933">
            <w:pPr>
              <w:jc w:val="center"/>
            </w:pPr>
            <w:r>
              <w:rPr>
                <w:rFonts w:asciiTheme="minorEastAsia" w:eastAsiaTheme="minorEastAsia" w:hAnsiTheme="minorEastAsia"/>
                <w:color w:val="000000" w:themeColor="text1"/>
              </w:rPr>
              <w:t>0.0009%</w:t>
            </w:r>
          </w:p>
        </w:tc>
      </w:tr>
      <w:tr w:rsidR="008509A1">
        <w:tc>
          <w:tcPr>
            <w:tcW w:w="1328" w:type="dxa"/>
            <w:vAlign w:val="center"/>
          </w:tcPr>
          <w:p w:rsidR="008509A1" w:rsidRDefault="00BE7933">
            <w:pPr>
              <w:jc w:val="left"/>
            </w:pPr>
            <w:r>
              <w:rPr>
                <w:rFonts w:asciiTheme="minorEastAsia" w:eastAsiaTheme="minorEastAsia" w:hAnsiTheme="minorEastAsia"/>
                <w:color w:val="000000" w:themeColor="text1"/>
              </w:rPr>
              <w:t>过去五年</w:t>
            </w:r>
          </w:p>
        </w:tc>
        <w:tc>
          <w:tcPr>
            <w:tcW w:w="1329" w:type="dxa"/>
            <w:vAlign w:val="center"/>
          </w:tcPr>
          <w:p w:rsidR="008509A1" w:rsidRDefault="00BE7933">
            <w:pPr>
              <w:jc w:val="center"/>
            </w:pPr>
            <w:r>
              <w:rPr>
                <w:rFonts w:asciiTheme="minorEastAsia" w:eastAsiaTheme="minorEastAsia" w:hAnsiTheme="minorEastAsia"/>
                <w:color w:val="000000" w:themeColor="text1"/>
              </w:rPr>
              <w:t>13.4861%</w:t>
            </w:r>
          </w:p>
        </w:tc>
        <w:tc>
          <w:tcPr>
            <w:tcW w:w="1329" w:type="dxa"/>
            <w:vAlign w:val="center"/>
          </w:tcPr>
          <w:p w:rsidR="008509A1" w:rsidRDefault="00BE7933">
            <w:pPr>
              <w:jc w:val="center"/>
            </w:pPr>
            <w:r>
              <w:rPr>
                <w:rFonts w:asciiTheme="minorEastAsia" w:eastAsiaTheme="minorEastAsia" w:hAnsiTheme="minorEastAsia"/>
                <w:color w:val="000000" w:themeColor="text1"/>
              </w:rPr>
              <w:t>0.0020%</w:t>
            </w:r>
          </w:p>
        </w:tc>
        <w:tc>
          <w:tcPr>
            <w:tcW w:w="1329" w:type="dxa"/>
            <w:vAlign w:val="center"/>
          </w:tcPr>
          <w:p w:rsidR="008509A1" w:rsidRDefault="00BE7933">
            <w:pPr>
              <w:jc w:val="center"/>
            </w:pPr>
            <w:r>
              <w:rPr>
                <w:rFonts w:asciiTheme="minorEastAsia" w:eastAsiaTheme="minorEastAsia" w:hAnsiTheme="minorEastAsia"/>
                <w:color w:val="000000" w:themeColor="text1"/>
              </w:rPr>
              <w:t>6.7537%</w:t>
            </w:r>
          </w:p>
        </w:tc>
        <w:tc>
          <w:tcPr>
            <w:tcW w:w="1329" w:type="dxa"/>
            <w:vAlign w:val="center"/>
          </w:tcPr>
          <w:p w:rsidR="008509A1" w:rsidRDefault="00BE7933">
            <w:pPr>
              <w:jc w:val="center"/>
            </w:pPr>
            <w:r>
              <w:rPr>
                <w:rFonts w:asciiTheme="minorEastAsia" w:eastAsiaTheme="minorEastAsia" w:hAnsiTheme="minorEastAsia"/>
                <w:color w:val="000000" w:themeColor="text1"/>
              </w:rPr>
              <w:t>0.0000%</w:t>
            </w:r>
          </w:p>
        </w:tc>
        <w:tc>
          <w:tcPr>
            <w:tcW w:w="1329" w:type="dxa"/>
            <w:vAlign w:val="center"/>
          </w:tcPr>
          <w:p w:rsidR="008509A1" w:rsidRDefault="00BE7933">
            <w:pPr>
              <w:jc w:val="center"/>
            </w:pPr>
            <w:r>
              <w:rPr>
                <w:rFonts w:asciiTheme="minorEastAsia" w:eastAsiaTheme="minorEastAsia" w:hAnsiTheme="minorEastAsia"/>
                <w:color w:val="000000" w:themeColor="text1"/>
              </w:rPr>
              <w:t>6.7324%</w:t>
            </w:r>
          </w:p>
        </w:tc>
        <w:tc>
          <w:tcPr>
            <w:tcW w:w="1329" w:type="dxa"/>
            <w:vAlign w:val="center"/>
          </w:tcPr>
          <w:p w:rsidR="008509A1" w:rsidRDefault="00BE7933">
            <w:pPr>
              <w:jc w:val="center"/>
            </w:pPr>
            <w:r>
              <w:rPr>
                <w:rFonts w:asciiTheme="minorEastAsia" w:eastAsiaTheme="minorEastAsia" w:hAnsiTheme="minorEastAsia"/>
                <w:color w:val="000000" w:themeColor="text1"/>
              </w:rPr>
              <w:t>0.0020%</w:t>
            </w:r>
          </w:p>
        </w:tc>
      </w:tr>
      <w:tr w:rsidR="008509A1">
        <w:tc>
          <w:tcPr>
            <w:tcW w:w="1328" w:type="dxa"/>
            <w:vAlign w:val="center"/>
          </w:tcPr>
          <w:p w:rsidR="008509A1" w:rsidRDefault="00BE7933">
            <w:pPr>
              <w:jc w:val="left"/>
            </w:pPr>
            <w:r>
              <w:rPr>
                <w:rFonts w:asciiTheme="minorEastAsia" w:eastAsiaTheme="minorEastAsia" w:hAnsiTheme="minorEastAsia"/>
                <w:color w:val="000000" w:themeColor="text1"/>
              </w:rPr>
              <w:t>自基金合同生效起至今</w:t>
            </w:r>
          </w:p>
        </w:tc>
        <w:tc>
          <w:tcPr>
            <w:tcW w:w="1329" w:type="dxa"/>
            <w:vAlign w:val="center"/>
          </w:tcPr>
          <w:p w:rsidR="008509A1" w:rsidRDefault="00BE7933">
            <w:pPr>
              <w:jc w:val="center"/>
            </w:pPr>
            <w:r>
              <w:rPr>
                <w:rFonts w:asciiTheme="minorEastAsia" w:eastAsiaTheme="minorEastAsia" w:hAnsiTheme="minorEastAsia"/>
                <w:color w:val="000000" w:themeColor="text1"/>
              </w:rPr>
              <w:t>20.3125%</w:t>
            </w:r>
          </w:p>
        </w:tc>
        <w:tc>
          <w:tcPr>
            <w:tcW w:w="1329" w:type="dxa"/>
            <w:vAlign w:val="center"/>
          </w:tcPr>
          <w:p w:rsidR="008509A1" w:rsidRDefault="00BE7933">
            <w:pPr>
              <w:jc w:val="center"/>
            </w:pPr>
            <w:r>
              <w:rPr>
                <w:rFonts w:asciiTheme="minorEastAsia" w:eastAsiaTheme="minorEastAsia" w:hAnsiTheme="minorEastAsia"/>
                <w:color w:val="000000" w:themeColor="text1"/>
              </w:rPr>
              <w:t>0.0023%</w:t>
            </w:r>
          </w:p>
        </w:tc>
        <w:tc>
          <w:tcPr>
            <w:tcW w:w="1329" w:type="dxa"/>
            <w:vAlign w:val="center"/>
          </w:tcPr>
          <w:p w:rsidR="008509A1" w:rsidRDefault="00BE7933">
            <w:pPr>
              <w:jc w:val="center"/>
            </w:pPr>
            <w:r>
              <w:rPr>
                <w:rFonts w:asciiTheme="minorEastAsia" w:eastAsiaTheme="minorEastAsia" w:hAnsiTheme="minorEastAsia"/>
                <w:color w:val="000000" w:themeColor="text1"/>
              </w:rPr>
              <w:t>9.9271%</w:t>
            </w:r>
          </w:p>
        </w:tc>
        <w:tc>
          <w:tcPr>
            <w:tcW w:w="1329" w:type="dxa"/>
            <w:vAlign w:val="center"/>
          </w:tcPr>
          <w:p w:rsidR="008509A1" w:rsidRDefault="00BE7933">
            <w:pPr>
              <w:jc w:val="center"/>
            </w:pPr>
            <w:r>
              <w:rPr>
                <w:rFonts w:asciiTheme="minorEastAsia" w:eastAsiaTheme="minorEastAsia" w:hAnsiTheme="minorEastAsia"/>
                <w:color w:val="000000" w:themeColor="text1"/>
              </w:rPr>
              <w:t>0.0000%</w:t>
            </w:r>
          </w:p>
        </w:tc>
        <w:tc>
          <w:tcPr>
            <w:tcW w:w="1329" w:type="dxa"/>
            <w:vAlign w:val="center"/>
          </w:tcPr>
          <w:p w:rsidR="008509A1" w:rsidRDefault="00BE7933">
            <w:pPr>
              <w:jc w:val="center"/>
            </w:pPr>
            <w:r>
              <w:rPr>
                <w:rFonts w:asciiTheme="minorEastAsia" w:eastAsiaTheme="minorEastAsia" w:hAnsiTheme="minorEastAsia"/>
                <w:color w:val="000000" w:themeColor="text1"/>
              </w:rPr>
              <w:t>10.3854%</w:t>
            </w:r>
          </w:p>
        </w:tc>
        <w:tc>
          <w:tcPr>
            <w:tcW w:w="1329" w:type="dxa"/>
            <w:vAlign w:val="center"/>
          </w:tcPr>
          <w:p w:rsidR="008509A1" w:rsidRDefault="00BE7933">
            <w:pPr>
              <w:jc w:val="center"/>
            </w:pPr>
            <w:r>
              <w:rPr>
                <w:rFonts w:asciiTheme="minorEastAsia" w:eastAsiaTheme="minorEastAsia" w:hAnsiTheme="minorEastAsia"/>
                <w:color w:val="000000" w:themeColor="text1"/>
              </w:rPr>
              <w:t>0.0023%</w:t>
            </w:r>
          </w:p>
        </w:tc>
      </w:tr>
    </w:tbl>
    <w:p w:rsidR="00186667" w:rsidRPr="00593AD2" w:rsidRDefault="00186667" w:rsidP="00196812">
      <w:pPr>
        <w:tabs>
          <w:tab w:val="left" w:pos="1800"/>
        </w:tabs>
        <w:adjustRightInd w:val="0"/>
        <w:spacing w:line="360" w:lineRule="auto"/>
        <w:rPr>
          <w:rFonts w:asciiTheme="minorEastAsia" w:eastAsiaTheme="minorEastAsia" w:hAnsiTheme="minorEastAsia"/>
          <w:color w:val="000000" w:themeColor="text1"/>
          <w:sz w:val="24"/>
        </w:rPr>
      </w:pPr>
    </w:p>
    <w:p w:rsidR="00186667" w:rsidRPr="00593AD2" w:rsidRDefault="00186667" w:rsidP="009A755D">
      <w:pPr>
        <w:pStyle w:val="20"/>
        <w:spacing w:line="360" w:lineRule="auto"/>
        <w:ind w:firstLineChars="0" w:firstLine="0"/>
        <w:rPr>
          <w:rFonts w:asciiTheme="minorEastAsia" w:eastAsiaTheme="minorEastAsia" w:hAnsiTheme="minorEastAsia"/>
          <w:b/>
          <w:color w:val="000000" w:themeColor="text1"/>
        </w:rPr>
      </w:pPr>
      <w:r w:rsidRPr="00593AD2">
        <w:rPr>
          <w:rFonts w:asciiTheme="minorEastAsia" w:eastAsiaTheme="minorEastAsia" w:hAnsiTheme="minorEastAsia" w:hint="eastAsia"/>
          <w:b/>
          <w:color w:val="000000" w:themeColor="text1"/>
        </w:rPr>
        <w:t>2</w:t>
      </w:r>
      <w:r w:rsidR="00570F8C" w:rsidRPr="00593AD2">
        <w:rPr>
          <w:rFonts w:asciiTheme="minorEastAsia" w:eastAsiaTheme="minorEastAsia" w:hAnsiTheme="minorEastAsia" w:hint="eastAsia"/>
          <w:b/>
          <w:color w:val="000000" w:themeColor="text1"/>
        </w:rPr>
        <w:t>、</w:t>
      </w:r>
      <w:r w:rsidR="000B2044" w:rsidRPr="00593AD2">
        <w:rPr>
          <w:rFonts w:asciiTheme="minorEastAsia" w:eastAsiaTheme="minorEastAsia" w:hAnsiTheme="minorEastAsia" w:hint="eastAsia"/>
          <w:b/>
          <w:color w:val="000000" w:themeColor="text1"/>
        </w:rPr>
        <w:t>上投摩根天添盈货币B类：</w:t>
      </w:r>
    </w:p>
    <w:p w:rsidR="000B2044" w:rsidRPr="00593AD2" w:rsidRDefault="000B2044"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自2018年6月22日起，本基金B类基金份额为零且停止计算B类基金份额每万份收益。</w:t>
      </w:r>
    </w:p>
    <w:p w:rsidR="00025C5D" w:rsidRPr="00593AD2" w:rsidRDefault="00025C5D" w:rsidP="004527E3">
      <w:pPr>
        <w:autoSpaceDE w:val="0"/>
        <w:autoSpaceDN w:val="0"/>
        <w:adjustRightInd w:val="0"/>
        <w:spacing w:line="360" w:lineRule="auto"/>
        <w:jc w:val="left"/>
        <w:rPr>
          <w:rFonts w:asciiTheme="minorEastAsia" w:eastAsiaTheme="minorEastAsia" w:hAnsiTheme="minorEastAsia"/>
          <w:color w:val="000000" w:themeColor="text1"/>
          <w:sz w:val="24"/>
        </w:rPr>
      </w:pPr>
    </w:p>
    <w:p w:rsidR="00025C5D" w:rsidRPr="00593AD2" w:rsidRDefault="00025C5D" w:rsidP="00025C5D">
      <w:pPr>
        <w:pStyle w:val="20"/>
        <w:spacing w:line="360" w:lineRule="auto"/>
        <w:ind w:firstLineChars="0" w:firstLine="0"/>
        <w:rPr>
          <w:rFonts w:asciiTheme="minorEastAsia" w:eastAsiaTheme="minorEastAsia" w:hAnsiTheme="minorEastAsia"/>
          <w:b/>
          <w:color w:val="000000" w:themeColor="text1"/>
        </w:rPr>
      </w:pPr>
      <w:r w:rsidRPr="00593AD2">
        <w:rPr>
          <w:rFonts w:asciiTheme="minorEastAsia" w:eastAsiaTheme="minorEastAsia" w:hAnsiTheme="minorEastAsia" w:hint="eastAsia"/>
          <w:b/>
          <w:color w:val="000000" w:themeColor="text1"/>
        </w:rPr>
        <w:t>3、上投摩根天添盈货币E类：</w:t>
      </w:r>
    </w:p>
    <w:tbl>
      <w:tblPr>
        <w:tblStyle w:val="ad"/>
        <w:tblW w:w="0" w:type="auto"/>
        <w:tblLayout w:type="fixed"/>
        <w:tblLook w:val="04A0" w:firstRow="1" w:lastRow="0" w:firstColumn="1" w:lastColumn="0" w:noHBand="0" w:noVBand="1"/>
      </w:tblPr>
      <w:tblGrid>
        <w:gridCol w:w="1328"/>
        <w:gridCol w:w="1329"/>
        <w:gridCol w:w="1329"/>
        <w:gridCol w:w="1329"/>
        <w:gridCol w:w="1329"/>
        <w:gridCol w:w="1329"/>
        <w:gridCol w:w="1329"/>
      </w:tblGrid>
      <w:tr w:rsidR="00593AD2" w:rsidRPr="00593AD2" w:rsidTr="00025C5D">
        <w:tc>
          <w:tcPr>
            <w:tcW w:w="1328" w:type="dxa"/>
            <w:vAlign w:val="center"/>
          </w:tcPr>
          <w:p w:rsidR="00025C5D" w:rsidRPr="00593AD2" w:rsidRDefault="00025C5D" w:rsidP="00025C5D">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阶段</w:t>
            </w:r>
          </w:p>
        </w:tc>
        <w:tc>
          <w:tcPr>
            <w:tcW w:w="1329" w:type="dxa"/>
            <w:vAlign w:val="center"/>
          </w:tcPr>
          <w:p w:rsidR="00025C5D" w:rsidRPr="00593AD2" w:rsidRDefault="00025C5D" w:rsidP="00025C5D">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净值收益率①</w:t>
            </w:r>
          </w:p>
        </w:tc>
        <w:tc>
          <w:tcPr>
            <w:tcW w:w="1329" w:type="dxa"/>
            <w:vAlign w:val="center"/>
          </w:tcPr>
          <w:p w:rsidR="00025C5D" w:rsidRPr="00593AD2" w:rsidRDefault="00025C5D" w:rsidP="00025C5D">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净值收益率标准差②</w:t>
            </w:r>
          </w:p>
        </w:tc>
        <w:tc>
          <w:tcPr>
            <w:tcW w:w="1329" w:type="dxa"/>
            <w:vAlign w:val="center"/>
          </w:tcPr>
          <w:p w:rsidR="00025C5D" w:rsidRPr="00593AD2" w:rsidRDefault="00025C5D" w:rsidP="00025C5D">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业绩比较基准收益率③</w:t>
            </w:r>
          </w:p>
        </w:tc>
        <w:tc>
          <w:tcPr>
            <w:tcW w:w="1329" w:type="dxa"/>
            <w:vAlign w:val="center"/>
          </w:tcPr>
          <w:p w:rsidR="00025C5D" w:rsidRPr="00593AD2" w:rsidRDefault="00025C5D" w:rsidP="00025C5D">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业绩比较基准收益率标准差④</w:t>
            </w:r>
          </w:p>
        </w:tc>
        <w:tc>
          <w:tcPr>
            <w:tcW w:w="1329" w:type="dxa"/>
            <w:vAlign w:val="center"/>
          </w:tcPr>
          <w:p w:rsidR="00025C5D" w:rsidRPr="00593AD2" w:rsidRDefault="00025C5D" w:rsidP="00025C5D">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①-③</w:t>
            </w:r>
          </w:p>
        </w:tc>
        <w:tc>
          <w:tcPr>
            <w:tcW w:w="1329" w:type="dxa"/>
            <w:vAlign w:val="center"/>
          </w:tcPr>
          <w:p w:rsidR="00025C5D" w:rsidRPr="00593AD2" w:rsidRDefault="00025C5D" w:rsidP="00025C5D">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②-④</w:t>
            </w:r>
          </w:p>
        </w:tc>
      </w:tr>
      <w:tr w:rsidR="008509A1">
        <w:tc>
          <w:tcPr>
            <w:tcW w:w="1328" w:type="dxa"/>
            <w:vAlign w:val="center"/>
          </w:tcPr>
          <w:p w:rsidR="008509A1" w:rsidRDefault="00BE7933">
            <w:pPr>
              <w:jc w:val="left"/>
            </w:pPr>
            <w:r>
              <w:rPr>
                <w:rFonts w:asciiTheme="minorEastAsia" w:eastAsiaTheme="minorEastAsia" w:hAnsiTheme="minorEastAsia"/>
                <w:color w:val="000000" w:themeColor="text1"/>
              </w:rPr>
              <w:t>过去三个月</w:t>
            </w:r>
          </w:p>
        </w:tc>
        <w:tc>
          <w:tcPr>
            <w:tcW w:w="1329" w:type="dxa"/>
            <w:vAlign w:val="center"/>
          </w:tcPr>
          <w:p w:rsidR="008509A1" w:rsidRDefault="00BE7933">
            <w:pPr>
              <w:jc w:val="center"/>
            </w:pPr>
            <w:r>
              <w:rPr>
                <w:rFonts w:asciiTheme="minorEastAsia" w:eastAsiaTheme="minorEastAsia" w:hAnsiTheme="minorEastAsia"/>
                <w:color w:val="000000" w:themeColor="text1"/>
              </w:rPr>
              <w:t>0.5448%</w:t>
            </w:r>
          </w:p>
        </w:tc>
        <w:tc>
          <w:tcPr>
            <w:tcW w:w="1329" w:type="dxa"/>
            <w:vAlign w:val="center"/>
          </w:tcPr>
          <w:p w:rsidR="008509A1" w:rsidRDefault="00BE7933">
            <w:pPr>
              <w:jc w:val="center"/>
            </w:pPr>
            <w:r>
              <w:rPr>
                <w:rFonts w:asciiTheme="minorEastAsia" w:eastAsiaTheme="minorEastAsia" w:hAnsiTheme="minorEastAsia"/>
                <w:color w:val="000000" w:themeColor="text1"/>
              </w:rPr>
              <w:t>0.0006%</w:t>
            </w:r>
          </w:p>
        </w:tc>
        <w:tc>
          <w:tcPr>
            <w:tcW w:w="1329" w:type="dxa"/>
            <w:vAlign w:val="center"/>
          </w:tcPr>
          <w:p w:rsidR="008509A1" w:rsidRDefault="00BE7933">
            <w:pPr>
              <w:jc w:val="center"/>
            </w:pPr>
            <w:r>
              <w:rPr>
                <w:rFonts w:asciiTheme="minorEastAsia" w:eastAsiaTheme="minorEastAsia" w:hAnsiTheme="minorEastAsia"/>
                <w:color w:val="000000" w:themeColor="text1"/>
              </w:rPr>
              <w:t>0.3329%</w:t>
            </w:r>
          </w:p>
        </w:tc>
        <w:tc>
          <w:tcPr>
            <w:tcW w:w="1329" w:type="dxa"/>
            <w:vAlign w:val="center"/>
          </w:tcPr>
          <w:p w:rsidR="008509A1" w:rsidRDefault="00BE7933">
            <w:pPr>
              <w:jc w:val="center"/>
            </w:pPr>
            <w:r>
              <w:rPr>
                <w:rFonts w:asciiTheme="minorEastAsia" w:eastAsiaTheme="minorEastAsia" w:hAnsiTheme="minorEastAsia"/>
                <w:color w:val="000000" w:themeColor="text1"/>
              </w:rPr>
              <w:t>0.0000%</w:t>
            </w:r>
          </w:p>
        </w:tc>
        <w:tc>
          <w:tcPr>
            <w:tcW w:w="1329" w:type="dxa"/>
            <w:vAlign w:val="center"/>
          </w:tcPr>
          <w:p w:rsidR="008509A1" w:rsidRDefault="00BE7933">
            <w:pPr>
              <w:jc w:val="center"/>
            </w:pPr>
            <w:r>
              <w:rPr>
                <w:rFonts w:asciiTheme="minorEastAsia" w:eastAsiaTheme="minorEastAsia" w:hAnsiTheme="minorEastAsia"/>
                <w:color w:val="000000" w:themeColor="text1"/>
              </w:rPr>
              <w:t>0.2119%</w:t>
            </w:r>
          </w:p>
        </w:tc>
        <w:tc>
          <w:tcPr>
            <w:tcW w:w="1329" w:type="dxa"/>
            <w:vAlign w:val="center"/>
          </w:tcPr>
          <w:p w:rsidR="008509A1" w:rsidRDefault="00BE7933">
            <w:pPr>
              <w:jc w:val="center"/>
            </w:pPr>
            <w:r>
              <w:rPr>
                <w:rFonts w:asciiTheme="minorEastAsia" w:eastAsiaTheme="minorEastAsia" w:hAnsiTheme="minorEastAsia"/>
                <w:color w:val="000000" w:themeColor="text1"/>
              </w:rPr>
              <w:t>0.0006%</w:t>
            </w:r>
          </w:p>
        </w:tc>
      </w:tr>
      <w:tr w:rsidR="008509A1">
        <w:tc>
          <w:tcPr>
            <w:tcW w:w="1328" w:type="dxa"/>
            <w:vAlign w:val="center"/>
          </w:tcPr>
          <w:p w:rsidR="008509A1" w:rsidRDefault="00BE7933">
            <w:pPr>
              <w:jc w:val="left"/>
            </w:pPr>
            <w:r>
              <w:rPr>
                <w:rFonts w:asciiTheme="minorEastAsia" w:eastAsiaTheme="minorEastAsia" w:hAnsiTheme="minorEastAsia"/>
                <w:color w:val="000000" w:themeColor="text1"/>
              </w:rPr>
              <w:t>过去六个月</w:t>
            </w:r>
          </w:p>
        </w:tc>
        <w:tc>
          <w:tcPr>
            <w:tcW w:w="1329" w:type="dxa"/>
            <w:vAlign w:val="center"/>
          </w:tcPr>
          <w:p w:rsidR="008509A1" w:rsidRDefault="00BE7933">
            <w:pPr>
              <w:jc w:val="center"/>
            </w:pPr>
            <w:r>
              <w:rPr>
                <w:rFonts w:asciiTheme="minorEastAsia" w:eastAsiaTheme="minorEastAsia" w:hAnsiTheme="minorEastAsia"/>
                <w:color w:val="000000" w:themeColor="text1"/>
              </w:rPr>
              <w:t>1.1130%</w:t>
            </w:r>
          </w:p>
        </w:tc>
        <w:tc>
          <w:tcPr>
            <w:tcW w:w="1329" w:type="dxa"/>
            <w:vAlign w:val="center"/>
          </w:tcPr>
          <w:p w:rsidR="008509A1" w:rsidRDefault="00BE7933">
            <w:pPr>
              <w:jc w:val="center"/>
            </w:pPr>
            <w:r>
              <w:rPr>
                <w:rFonts w:asciiTheme="minorEastAsia" w:eastAsiaTheme="minorEastAsia" w:hAnsiTheme="minorEastAsia"/>
                <w:color w:val="000000" w:themeColor="text1"/>
              </w:rPr>
              <w:t>0.0006%</w:t>
            </w:r>
          </w:p>
        </w:tc>
        <w:tc>
          <w:tcPr>
            <w:tcW w:w="1329" w:type="dxa"/>
            <w:vAlign w:val="center"/>
          </w:tcPr>
          <w:p w:rsidR="008509A1" w:rsidRDefault="00BE7933">
            <w:pPr>
              <w:jc w:val="center"/>
            </w:pPr>
            <w:r>
              <w:rPr>
                <w:rFonts w:asciiTheme="minorEastAsia" w:eastAsiaTheme="minorEastAsia" w:hAnsiTheme="minorEastAsia"/>
                <w:color w:val="000000" w:themeColor="text1"/>
              </w:rPr>
              <w:t>0.6732%</w:t>
            </w:r>
          </w:p>
        </w:tc>
        <w:tc>
          <w:tcPr>
            <w:tcW w:w="1329" w:type="dxa"/>
            <w:vAlign w:val="center"/>
          </w:tcPr>
          <w:p w:rsidR="008509A1" w:rsidRDefault="00BE7933">
            <w:pPr>
              <w:jc w:val="center"/>
            </w:pPr>
            <w:r>
              <w:rPr>
                <w:rFonts w:asciiTheme="minorEastAsia" w:eastAsiaTheme="minorEastAsia" w:hAnsiTheme="minorEastAsia"/>
                <w:color w:val="000000" w:themeColor="text1"/>
              </w:rPr>
              <w:t>0.0000%</w:t>
            </w:r>
          </w:p>
        </w:tc>
        <w:tc>
          <w:tcPr>
            <w:tcW w:w="1329" w:type="dxa"/>
            <w:vAlign w:val="center"/>
          </w:tcPr>
          <w:p w:rsidR="008509A1" w:rsidRDefault="00BE7933">
            <w:pPr>
              <w:jc w:val="center"/>
            </w:pPr>
            <w:r>
              <w:rPr>
                <w:rFonts w:asciiTheme="minorEastAsia" w:eastAsiaTheme="minorEastAsia" w:hAnsiTheme="minorEastAsia"/>
                <w:color w:val="000000" w:themeColor="text1"/>
              </w:rPr>
              <w:t>0.4398%</w:t>
            </w:r>
          </w:p>
        </w:tc>
        <w:tc>
          <w:tcPr>
            <w:tcW w:w="1329" w:type="dxa"/>
            <w:vAlign w:val="center"/>
          </w:tcPr>
          <w:p w:rsidR="008509A1" w:rsidRDefault="00BE7933">
            <w:pPr>
              <w:jc w:val="center"/>
            </w:pPr>
            <w:r>
              <w:rPr>
                <w:rFonts w:asciiTheme="minorEastAsia" w:eastAsiaTheme="minorEastAsia" w:hAnsiTheme="minorEastAsia"/>
                <w:color w:val="000000" w:themeColor="text1"/>
              </w:rPr>
              <w:t>0.0006%</w:t>
            </w:r>
          </w:p>
        </w:tc>
      </w:tr>
      <w:tr w:rsidR="008509A1">
        <w:tc>
          <w:tcPr>
            <w:tcW w:w="1328" w:type="dxa"/>
            <w:vAlign w:val="center"/>
          </w:tcPr>
          <w:p w:rsidR="008509A1" w:rsidRDefault="00BE7933">
            <w:pPr>
              <w:jc w:val="left"/>
            </w:pPr>
            <w:r>
              <w:rPr>
                <w:rFonts w:asciiTheme="minorEastAsia" w:eastAsiaTheme="minorEastAsia" w:hAnsiTheme="minorEastAsia"/>
                <w:color w:val="000000" w:themeColor="text1"/>
              </w:rPr>
              <w:t>过去一年</w:t>
            </w:r>
          </w:p>
        </w:tc>
        <w:tc>
          <w:tcPr>
            <w:tcW w:w="1329" w:type="dxa"/>
            <w:vAlign w:val="center"/>
          </w:tcPr>
          <w:p w:rsidR="008509A1" w:rsidRDefault="00BE7933">
            <w:pPr>
              <w:jc w:val="center"/>
            </w:pPr>
            <w:r>
              <w:rPr>
                <w:rFonts w:asciiTheme="minorEastAsia" w:eastAsiaTheme="minorEastAsia" w:hAnsiTheme="minorEastAsia"/>
                <w:color w:val="000000" w:themeColor="text1"/>
              </w:rPr>
              <w:t>2.2799%</w:t>
            </w:r>
          </w:p>
        </w:tc>
        <w:tc>
          <w:tcPr>
            <w:tcW w:w="1329" w:type="dxa"/>
            <w:vAlign w:val="center"/>
          </w:tcPr>
          <w:p w:rsidR="008509A1" w:rsidRDefault="00BE7933">
            <w:pPr>
              <w:jc w:val="center"/>
            </w:pPr>
            <w:r>
              <w:rPr>
                <w:rFonts w:asciiTheme="minorEastAsia" w:eastAsiaTheme="minorEastAsia" w:hAnsiTheme="minorEastAsia"/>
                <w:color w:val="000000" w:themeColor="text1"/>
              </w:rPr>
              <w:t>0.0005%</w:t>
            </w:r>
          </w:p>
        </w:tc>
        <w:tc>
          <w:tcPr>
            <w:tcW w:w="1329" w:type="dxa"/>
            <w:vAlign w:val="center"/>
          </w:tcPr>
          <w:p w:rsidR="008509A1" w:rsidRDefault="00BE7933">
            <w:pPr>
              <w:jc w:val="center"/>
            </w:pPr>
            <w:r>
              <w:rPr>
                <w:rFonts w:asciiTheme="minorEastAsia" w:eastAsiaTheme="minorEastAsia" w:hAnsiTheme="minorEastAsia"/>
                <w:color w:val="000000" w:themeColor="text1"/>
              </w:rPr>
              <w:t>1.3500%</w:t>
            </w:r>
          </w:p>
        </w:tc>
        <w:tc>
          <w:tcPr>
            <w:tcW w:w="1329" w:type="dxa"/>
            <w:vAlign w:val="center"/>
          </w:tcPr>
          <w:p w:rsidR="008509A1" w:rsidRDefault="00BE7933">
            <w:pPr>
              <w:jc w:val="center"/>
            </w:pPr>
            <w:r>
              <w:rPr>
                <w:rFonts w:asciiTheme="minorEastAsia" w:eastAsiaTheme="minorEastAsia" w:hAnsiTheme="minorEastAsia"/>
                <w:color w:val="000000" w:themeColor="text1"/>
              </w:rPr>
              <w:t>0.0000%</w:t>
            </w:r>
          </w:p>
        </w:tc>
        <w:tc>
          <w:tcPr>
            <w:tcW w:w="1329" w:type="dxa"/>
            <w:vAlign w:val="center"/>
          </w:tcPr>
          <w:p w:rsidR="008509A1" w:rsidRDefault="00BE7933">
            <w:pPr>
              <w:jc w:val="center"/>
            </w:pPr>
            <w:r>
              <w:rPr>
                <w:rFonts w:asciiTheme="minorEastAsia" w:eastAsiaTheme="minorEastAsia" w:hAnsiTheme="minorEastAsia"/>
                <w:color w:val="000000" w:themeColor="text1"/>
              </w:rPr>
              <w:t>0.9299%</w:t>
            </w:r>
          </w:p>
        </w:tc>
        <w:tc>
          <w:tcPr>
            <w:tcW w:w="1329" w:type="dxa"/>
            <w:vAlign w:val="center"/>
          </w:tcPr>
          <w:p w:rsidR="008509A1" w:rsidRDefault="00BE7933">
            <w:pPr>
              <w:jc w:val="center"/>
            </w:pPr>
            <w:r>
              <w:rPr>
                <w:rFonts w:asciiTheme="minorEastAsia" w:eastAsiaTheme="minorEastAsia" w:hAnsiTheme="minorEastAsia"/>
                <w:color w:val="000000" w:themeColor="text1"/>
              </w:rPr>
              <w:t>0.0005%</w:t>
            </w:r>
          </w:p>
        </w:tc>
      </w:tr>
      <w:tr w:rsidR="008509A1">
        <w:tc>
          <w:tcPr>
            <w:tcW w:w="1328" w:type="dxa"/>
            <w:vAlign w:val="center"/>
          </w:tcPr>
          <w:p w:rsidR="008509A1" w:rsidRDefault="00BE7933">
            <w:pPr>
              <w:jc w:val="left"/>
            </w:pPr>
            <w:r>
              <w:rPr>
                <w:rFonts w:asciiTheme="minorEastAsia" w:eastAsiaTheme="minorEastAsia" w:hAnsiTheme="minorEastAsia"/>
                <w:color w:val="000000" w:themeColor="text1"/>
              </w:rPr>
              <w:t>过去三年</w:t>
            </w:r>
          </w:p>
        </w:tc>
        <w:tc>
          <w:tcPr>
            <w:tcW w:w="1329" w:type="dxa"/>
            <w:vAlign w:val="center"/>
          </w:tcPr>
          <w:p w:rsidR="008509A1" w:rsidRDefault="00BE7933">
            <w:pPr>
              <w:jc w:val="center"/>
            </w:pPr>
            <w:r>
              <w:rPr>
                <w:rFonts w:asciiTheme="minorEastAsia" w:eastAsiaTheme="minorEastAsia" w:hAnsiTheme="minorEastAsia"/>
                <w:color w:val="000000" w:themeColor="text1"/>
              </w:rPr>
              <w:t>6.9508%</w:t>
            </w:r>
          </w:p>
        </w:tc>
        <w:tc>
          <w:tcPr>
            <w:tcW w:w="1329" w:type="dxa"/>
            <w:vAlign w:val="center"/>
          </w:tcPr>
          <w:p w:rsidR="008509A1" w:rsidRDefault="00BE7933">
            <w:pPr>
              <w:jc w:val="center"/>
            </w:pPr>
            <w:r>
              <w:rPr>
                <w:rFonts w:asciiTheme="minorEastAsia" w:eastAsiaTheme="minorEastAsia" w:hAnsiTheme="minorEastAsia"/>
                <w:color w:val="000000" w:themeColor="text1"/>
              </w:rPr>
              <w:t>0.0009%</w:t>
            </w:r>
          </w:p>
        </w:tc>
        <w:tc>
          <w:tcPr>
            <w:tcW w:w="1329" w:type="dxa"/>
            <w:vAlign w:val="center"/>
          </w:tcPr>
          <w:p w:rsidR="008509A1" w:rsidRDefault="00BE7933">
            <w:pPr>
              <w:jc w:val="center"/>
            </w:pPr>
            <w:r>
              <w:rPr>
                <w:rFonts w:asciiTheme="minorEastAsia" w:eastAsiaTheme="minorEastAsia" w:hAnsiTheme="minorEastAsia"/>
                <w:color w:val="000000" w:themeColor="text1"/>
              </w:rPr>
              <w:t>4.0537%</w:t>
            </w:r>
          </w:p>
        </w:tc>
        <w:tc>
          <w:tcPr>
            <w:tcW w:w="1329" w:type="dxa"/>
            <w:vAlign w:val="center"/>
          </w:tcPr>
          <w:p w:rsidR="008509A1" w:rsidRDefault="00BE7933">
            <w:pPr>
              <w:jc w:val="center"/>
            </w:pPr>
            <w:r>
              <w:rPr>
                <w:rFonts w:asciiTheme="minorEastAsia" w:eastAsiaTheme="minorEastAsia" w:hAnsiTheme="minorEastAsia"/>
                <w:color w:val="000000" w:themeColor="text1"/>
              </w:rPr>
              <w:t>0.0000%</w:t>
            </w:r>
          </w:p>
        </w:tc>
        <w:tc>
          <w:tcPr>
            <w:tcW w:w="1329" w:type="dxa"/>
            <w:vAlign w:val="center"/>
          </w:tcPr>
          <w:p w:rsidR="008509A1" w:rsidRDefault="00BE7933">
            <w:pPr>
              <w:jc w:val="center"/>
            </w:pPr>
            <w:r>
              <w:rPr>
                <w:rFonts w:asciiTheme="minorEastAsia" w:eastAsiaTheme="minorEastAsia" w:hAnsiTheme="minorEastAsia"/>
                <w:color w:val="000000" w:themeColor="text1"/>
              </w:rPr>
              <w:t>2.8971%</w:t>
            </w:r>
          </w:p>
        </w:tc>
        <w:tc>
          <w:tcPr>
            <w:tcW w:w="1329" w:type="dxa"/>
            <w:vAlign w:val="center"/>
          </w:tcPr>
          <w:p w:rsidR="008509A1" w:rsidRDefault="00BE7933">
            <w:pPr>
              <w:jc w:val="center"/>
            </w:pPr>
            <w:r>
              <w:rPr>
                <w:rFonts w:asciiTheme="minorEastAsia" w:eastAsiaTheme="minorEastAsia" w:hAnsiTheme="minorEastAsia"/>
                <w:color w:val="000000" w:themeColor="text1"/>
              </w:rPr>
              <w:t>0.0009%</w:t>
            </w:r>
          </w:p>
        </w:tc>
      </w:tr>
      <w:tr w:rsidR="008509A1">
        <w:tc>
          <w:tcPr>
            <w:tcW w:w="1328" w:type="dxa"/>
            <w:vAlign w:val="center"/>
          </w:tcPr>
          <w:p w:rsidR="008509A1" w:rsidRDefault="00BE7933">
            <w:pPr>
              <w:jc w:val="left"/>
            </w:pPr>
            <w:r>
              <w:rPr>
                <w:rFonts w:asciiTheme="minorEastAsia" w:eastAsiaTheme="minorEastAsia" w:hAnsiTheme="minorEastAsia"/>
                <w:color w:val="000000" w:themeColor="text1"/>
              </w:rPr>
              <w:t>过去五年</w:t>
            </w:r>
          </w:p>
        </w:tc>
        <w:tc>
          <w:tcPr>
            <w:tcW w:w="1329" w:type="dxa"/>
            <w:vAlign w:val="center"/>
          </w:tcPr>
          <w:p w:rsidR="008509A1" w:rsidRDefault="00BE7933">
            <w:pPr>
              <w:jc w:val="center"/>
            </w:pPr>
            <w:r>
              <w:rPr>
                <w:rFonts w:asciiTheme="minorEastAsia" w:eastAsiaTheme="minorEastAsia" w:hAnsiTheme="minorEastAsia"/>
                <w:color w:val="000000" w:themeColor="text1"/>
              </w:rPr>
              <w:t>14.3765%</w:t>
            </w:r>
          </w:p>
        </w:tc>
        <w:tc>
          <w:tcPr>
            <w:tcW w:w="1329" w:type="dxa"/>
            <w:vAlign w:val="center"/>
          </w:tcPr>
          <w:p w:rsidR="008509A1" w:rsidRDefault="00BE7933">
            <w:pPr>
              <w:jc w:val="center"/>
            </w:pPr>
            <w:r>
              <w:rPr>
                <w:rFonts w:asciiTheme="minorEastAsia" w:eastAsiaTheme="minorEastAsia" w:hAnsiTheme="minorEastAsia"/>
                <w:color w:val="000000" w:themeColor="text1"/>
              </w:rPr>
              <w:t>0.0020%</w:t>
            </w:r>
          </w:p>
        </w:tc>
        <w:tc>
          <w:tcPr>
            <w:tcW w:w="1329" w:type="dxa"/>
            <w:vAlign w:val="center"/>
          </w:tcPr>
          <w:p w:rsidR="008509A1" w:rsidRDefault="00BE7933">
            <w:pPr>
              <w:jc w:val="center"/>
            </w:pPr>
            <w:r>
              <w:rPr>
                <w:rFonts w:asciiTheme="minorEastAsia" w:eastAsiaTheme="minorEastAsia" w:hAnsiTheme="minorEastAsia"/>
                <w:color w:val="000000" w:themeColor="text1"/>
              </w:rPr>
              <w:t>6.7537%</w:t>
            </w:r>
          </w:p>
        </w:tc>
        <w:tc>
          <w:tcPr>
            <w:tcW w:w="1329" w:type="dxa"/>
            <w:vAlign w:val="center"/>
          </w:tcPr>
          <w:p w:rsidR="008509A1" w:rsidRDefault="00BE7933">
            <w:pPr>
              <w:jc w:val="center"/>
            </w:pPr>
            <w:r>
              <w:rPr>
                <w:rFonts w:asciiTheme="minorEastAsia" w:eastAsiaTheme="minorEastAsia" w:hAnsiTheme="minorEastAsia"/>
                <w:color w:val="000000" w:themeColor="text1"/>
              </w:rPr>
              <w:t>0.0000%</w:t>
            </w:r>
          </w:p>
        </w:tc>
        <w:tc>
          <w:tcPr>
            <w:tcW w:w="1329" w:type="dxa"/>
            <w:vAlign w:val="center"/>
          </w:tcPr>
          <w:p w:rsidR="008509A1" w:rsidRDefault="00BE7933">
            <w:pPr>
              <w:jc w:val="center"/>
            </w:pPr>
            <w:r>
              <w:rPr>
                <w:rFonts w:asciiTheme="minorEastAsia" w:eastAsiaTheme="minorEastAsia" w:hAnsiTheme="minorEastAsia"/>
                <w:color w:val="000000" w:themeColor="text1"/>
              </w:rPr>
              <w:t>7.6228%</w:t>
            </w:r>
          </w:p>
        </w:tc>
        <w:tc>
          <w:tcPr>
            <w:tcW w:w="1329" w:type="dxa"/>
            <w:vAlign w:val="center"/>
          </w:tcPr>
          <w:p w:rsidR="008509A1" w:rsidRDefault="00BE7933">
            <w:pPr>
              <w:jc w:val="center"/>
            </w:pPr>
            <w:r>
              <w:rPr>
                <w:rFonts w:asciiTheme="minorEastAsia" w:eastAsiaTheme="minorEastAsia" w:hAnsiTheme="minorEastAsia"/>
                <w:color w:val="000000" w:themeColor="text1"/>
              </w:rPr>
              <w:t>0.0020%</w:t>
            </w:r>
          </w:p>
        </w:tc>
      </w:tr>
      <w:tr w:rsidR="008509A1">
        <w:tc>
          <w:tcPr>
            <w:tcW w:w="1328" w:type="dxa"/>
            <w:vAlign w:val="center"/>
          </w:tcPr>
          <w:p w:rsidR="008509A1" w:rsidRDefault="00BE7933">
            <w:pPr>
              <w:jc w:val="left"/>
            </w:pPr>
            <w:r>
              <w:rPr>
                <w:rFonts w:asciiTheme="minorEastAsia" w:eastAsiaTheme="minorEastAsia" w:hAnsiTheme="minorEastAsia"/>
                <w:color w:val="000000" w:themeColor="text1"/>
              </w:rPr>
              <w:t>自基金合同生效起至今</w:t>
            </w:r>
          </w:p>
        </w:tc>
        <w:tc>
          <w:tcPr>
            <w:tcW w:w="1329" w:type="dxa"/>
            <w:vAlign w:val="center"/>
          </w:tcPr>
          <w:p w:rsidR="008509A1" w:rsidRDefault="00BE7933">
            <w:pPr>
              <w:jc w:val="center"/>
            </w:pPr>
            <w:r>
              <w:rPr>
                <w:rFonts w:asciiTheme="minorEastAsia" w:eastAsiaTheme="minorEastAsia" w:hAnsiTheme="minorEastAsia"/>
                <w:color w:val="000000" w:themeColor="text1"/>
              </w:rPr>
              <w:t>21.6938%</w:t>
            </w:r>
          </w:p>
        </w:tc>
        <w:tc>
          <w:tcPr>
            <w:tcW w:w="1329" w:type="dxa"/>
            <w:vAlign w:val="center"/>
          </w:tcPr>
          <w:p w:rsidR="008509A1" w:rsidRDefault="00BE7933">
            <w:pPr>
              <w:jc w:val="center"/>
            </w:pPr>
            <w:r>
              <w:rPr>
                <w:rFonts w:asciiTheme="minorEastAsia" w:eastAsiaTheme="minorEastAsia" w:hAnsiTheme="minorEastAsia"/>
                <w:color w:val="000000" w:themeColor="text1"/>
              </w:rPr>
              <w:t>0.0023%</w:t>
            </w:r>
          </w:p>
        </w:tc>
        <w:tc>
          <w:tcPr>
            <w:tcW w:w="1329" w:type="dxa"/>
            <w:vAlign w:val="center"/>
          </w:tcPr>
          <w:p w:rsidR="008509A1" w:rsidRDefault="00BE7933">
            <w:pPr>
              <w:jc w:val="center"/>
            </w:pPr>
            <w:r>
              <w:rPr>
                <w:rFonts w:asciiTheme="minorEastAsia" w:eastAsiaTheme="minorEastAsia" w:hAnsiTheme="minorEastAsia"/>
                <w:color w:val="000000" w:themeColor="text1"/>
              </w:rPr>
              <w:t>9.9271%</w:t>
            </w:r>
          </w:p>
        </w:tc>
        <w:tc>
          <w:tcPr>
            <w:tcW w:w="1329" w:type="dxa"/>
            <w:vAlign w:val="center"/>
          </w:tcPr>
          <w:p w:rsidR="008509A1" w:rsidRDefault="00BE7933">
            <w:pPr>
              <w:jc w:val="center"/>
            </w:pPr>
            <w:r>
              <w:rPr>
                <w:rFonts w:asciiTheme="minorEastAsia" w:eastAsiaTheme="minorEastAsia" w:hAnsiTheme="minorEastAsia"/>
                <w:color w:val="000000" w:themeColor="text1"/>
              </w:rPr>
              <w:t>0.0000%</w:t>
            </w:r>
          </w:p>
        </w:tc>
        <w:tc>
          <w:tcPr>
            <w:tcW w:w="1329" w:type="dxa"/>
            <w:vAlign w:val="center"/>
          </w:tcPr>
          <w:p w:rsidR="008509A1" w:rsidRDefault="00BE7933">
            <w:pPr>
              <w:jc w:val="center"/>
            </w:pPr>
            <w:r>
              <w:rPr>
                <w:rFonts w:asciiTheme="minorEastAsia" w:eastAsiaTheme="minorEastAsia" w:hAnsiTheme="minorEastAsia"/>
                <w:color w:val="000000" w:themeColor="text1"/>
              </w:rPr>
              <w:t>11.7667%</w:t>
            </w:r>
          </w:p>
        </w:tc>
        <w:tc>
          <w:tcPr>
            <w:tcW w:w="1329" w:type="dxa"/>
            <w:vAlign w:val="center"/>
          </w:tcPr>
          <w:p w:rsidR="008509A1" w:rsidRDefault="00BE7933">
            <w:pPr>
              <w:jc w:val="center"/>
            </w:pPr>
            <w:r>
              <w:rPr>
                <w:rFonts w:asciiTheme="minorEastAsia" w:eastAsiaTheme="minorEastAsia" w:hAnsiTheme="minorEastAsia"/>
                <w:color w:val="000000" w:themeColor="text1"/>
              </w:rPr>
              <w:t>0.0023%</w:t>
            </w:r>
          </w:p>
        </w:tc>
      </w:tr>
    </w:tbl>
    <w:p w:rsidR="0064191E" w:rsidRPr="00593AD2" w:rsidRDefault="0064191E"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注：本基金收益分配按日结转份额。</w:t>
      </w:r>
    </w:p>
    <w:p w:rsidR="001F0286" w:rsidRPr="00593AD2" w:rsidRDefault="001F0286" w:rsidP="00196812">
      <w:pPr>
        <w:tabs>
          <w:tab w:val="left" w:pos="1800"/>
        </w:tabs>
        <w:spacing w:line="360" w:lineRule="auto"/>
        <w:rPr>
          <w:rFonts w:asciiTheme="minorEastAsia" w:eastAsiaTheme="minorEastAsia" w:hAnsiTheme="minorEastAsia"/>
          <w:color w:val="000000" w:themeColor="text1"/>
          <w:sz w:val="24"/>
        </w:rPr>
      </w:pPr>
    </w:p>
    <w:p w:rsidR="00902E3F" w:rsidRPr="00593AD2" w:rsidRDefault="00902E3F" w:rsidP="009A755D">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3.2.2</w:t>
      </w:r>
      <w:r w:rsidR="009B7B0C" w:rsidRPr="00593AD2">
        <w:rPr>
          <w:rStyle w:val="af4"/>
          <w:rFonts w:hint="eastAsia"/>
          <w:color w:val="000000" w:themeColor="text1"/>
          <w:sz w:val="24"/>
          <w:shd w:val="clear" w:color="auto" w:fill="FFFFFF"/>
        </w:rPr>
        <w:t>自基金合同生效以来</w:t>
      </w:r>
      <w:r w:rsidRPr="00593AD2">
        <w:rPr>
          <w:rFonts w:asciiTheme="minorEastAsia" w:eastAsiaTheme="minorEastAsia" w:hAnsiTheme="minorEastAsia" w:cs="Arial" w:hint="eastAsia"/>
          <w:b/>
          <w:color w:val="000000" w:themeColor="text1"/>
          <w:kern w:val="0"/>
          <w:sz w:val="24"/>
        </w:rPr>
        <w:t>基金累计净值收益率变动及其与同期业绩比较基准收益率变动的比较</w:t>
      </w:r>
    </w:p>
    <w:p w:rsidR="00E63B3D" w:rsidRPr="00593AD2" w:rsidRDefault="00E63B3D" w:rsidP="009A755D">
      <w:pPr>
        <w:spacing w:line="360" w:lineRule="auto"/>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上投摩根天添盈货币市场基金</w:t>
      </w:r>
    </w:p>
    <w:p w:rsidR="00E63B3D" w:rsidRPr="00593AD2" w:rsidRDefault="00533490" w:rsidP="009A755D">
      <w:pPr>
        <w:pStyle w:val="a7"/>
        <w:snapToGrid w:val="0"/>
        <w:spacing w:line="360" w:lineRule="auto"/>
        <w:jc w:val="center"/>
        <w:rPr>
          <w:rFonts w:asciiTheme="minorEastAsia" w:eastAsiaTheme="minorEastAsia" w:hAnsiTheme="minorEastAsia"/>
          <w:color w:val="000000" w:themeColor="text1"/>
          <w:sz w:val="24"/>
          <w:szCs w:val="24"/>
        </w:rPr>
      </w:pPr>
      <w:r w:rsidRPr="00593AD2">
        <w:rPr>
          <w:rFonts w:asciiTheme="minorEastAsia" w:eastAsiaTheme="minorEastAsia" w:hAnsiTheme="minorEastAsia" w:hint="eastAsia"/>
          <w:color w:val="000000" w:themeColor="text1"/>
          <w:sz w:val="24"/>
          <w:szCs w:val="24"/>
        </w:rPr>
        <w:t>份额</w:t>
      </w:r>
      <w:r w:rsidR="00E63B3D" w:rsidRPr="00593AD2">
        <w:rPr>
          <w:rFonts w:asciiTheme="minorEastAsia" w:eastAsiaTheme="minorEastAsia" w:hAnsiTheme="minorEastAsia" w:hint="eastAsia"/>
          <w:color w:val="000000" w:themeColor="text1"/>
          <w:sz w:val="24"/>
          <w:szCs w:val="24"/>
        </w:rPr>
        <w:t>累计净值收益率与业绩比较基准收益率历史走势对比图</w:t>
      </w:r>
    </w:p>
    <w:p w:rsidR="00A7219D" w:rsidRPr="00593AD2" w:rsidRDefault="00A7219D" w:rsidP="009A755D">
      <w:pPr>
        <w:spacing w:line="360" w:lineRule="auto"/>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kern w:val="0"/>
          <w:sz w:val="24"/>
        </w:rPr>
        <w:t>(</w:t>
      </w:r>
      <w:r w:rsidR="00D87D00" w:rsidRPr="00593AD2">
        <w:rPr>
          <w:rFonts w:asciiTheme="minorEastAsia" w:eastAsiaTheme="minorEastAsia" w:hAnsiTheme="minorEastAsia"/>
          <w:color w:val="000000" w:themeColor="text1"/>
          <w:kern w:val="0"/>
          <w:sz w:val="24"/>
        </w:rPr>
        <w:t>2014年11月25日</w:t>
      </w:r>
      <w:r w:rsidRPr="00593AD2">
        <w:rPr>
          <w:rFonts w:asciiTheme="minorEastAsia" w:eastAsiaTheme="minorEastAsia" w:hAnsiTheme="minorEastAsia" w:hint="eastAsia"/>
          <w:color w:val="000000" w:themeColor="text1"/>
          <w:kern w:val="0"/>
          <w:sz w:val="24"/>
        </w:rPr>
        <w:t>至2022年3月31日)</w:t>
      </w:r>
    </w:p>
    <w:p w:rsidR="00825EA5" w:rsidRPr="00593AD2" w:rsidRDefault="00025C5D" w:rsidP="00025C5D">
      <w:pPr>
        <w:snapToGrid w:val="0"/>
        <w:spacing w:line="360" w:lineRule="auto"/>
        <w:ind w:left="470"/>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kern w:val="0"/>
          <w:sz w:val="24"/>
        </w:rPr>
        <w:t>1、</w:t>
      </w:r>
      <w:r w:rsidR="00E63B3D" w:rsidRPr="00593AD2">
        <w:rPr>
          <w:rFonts w:asciiTheme="minorEastAsia" w:eastAsiaTheme="minorEastAsia" w:hAnsiTheme="minorEastAsia"/>
          <w:color w:val="000000" w:themeColor="text1"/>
          <w:kern w:val="0"/>
          <w:sz w:val="24"/>
        </w:rPr>
        <w:t>上投摩根天添盈货币A类</w:t>
      </w:r>
    </w:p>
    <w:p w:rsidR="00E63B3D" w:rsidRPr="00593AD2" w:rsidRDefault="00E17870" w:rsidP="00196812">
      <w:pPr>
        <w:tabs>
          <w:tab w:val="left" w:pos="0"/>
        </w:tabs>
        <w:spacing w:line="360" w:lineRule="auto"/>
        <w:jc w:val="center"/>
        <w:rPr>
          <w:rFonts w:asciiTheme="minorEastAsia" w:eastAsiaTheme="minorEastAsia" w:hAnsiTheme="minorEastAsia"/>
          <w:color w:val="000000" w:themeColor="text1"/>
          <w:sz w:val="24"/>
        </w:rPr>
      </w:pPr>
      <w:r w:rsidRPr="00593AD2">
        <w:rPr>
          <w:rFonts w:asciiTheme="minorEastAsia" w:eastAsiaTheme="minorEastAsia" w:hAnsiTheme="minorEastAsia"/>
          <w:noProof/>
          <w:color w:val="000000" w:themeColor="text1"/>
          <w:sz w:val="24"/>
        </w:rPr>
        <w:drawing>
          <wp:inline distT="0" distB="0" distL="0" distR="0" wp14:anchorId="24FA3D58" wp14:editId="2F1011EA">
            <wp:extent cx="5772150" cy="3381375"/>
            <wp:effectExtent l="0" t="0" r="0" b="9525"/>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2150" cy="3381375"/>
                    </a:xfrm>
                    <a:prstGeom prst="rect">
                      <a:avLst/>
                    </a:prstGeom>
                    <a:noFill/>
                    <a:ln>
                      <a:noFill/>
                    </a:ln>
                  </pic:spPr>
                </pic:pic>
              </a:graphicData>
            </a:graphic>
          </wp:inline>
        </w:drawing>
      </w:r>
    </w:p>
    <w:p w:rsidR="00825EA5" w:rsidRPr="00593AD2" w:rsidRDefault="00825EA5" w:rsidP="00196812">
      <w:pPr>
        <w:adjustRightInd w:val="0"/>
        <w:snapToGrid w:val="0"/>
        <w:spacing w:line="360" w:lineRule="auto"/>
        <w:rPr>
          <w:rFonts w:asciiTheme="minorEastAsia" w:eastAsiaTheme="minorEastAsia" w:hAnsiTheme="minorEastAsia"/>
          <w:color w:val="000000" w:themeColor="text1"/>
          <w:sz w:val="24"/>
        </w:rPr>
      </w:pPr>
    </w:p>
    <w:p w:rsidR="00825EA5" w:rsidRPr="00593AD2" w:rsidRDefault="00025C5D" w:rsidP="00025C5D">
      <w:pPr>
        <w:snapToGrid w:val="0"/>
        <w:spacing w:line="360" w:lineRule="auto"/>
        <w:ind w:left="470"/>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kern w:val="0"/>
          <w:sz w:val="24"/>
        </w:rPr>
        <w:t>2、</w:t>
      </w:r>
      <w:r w:rsidR="005F668B" w:rsidRPr="00593AD2">
        <w:rPr>
          <w:rFonts w:asciiTheme="minorEastAsia" w:eastAsiaTheme="minorEastAsia" w:hAnsiTheme="minorEastAsia"/>
          <w:color w:val="000000" w:themeColor="text1"/>
          <w:kern w:val="0"/>
          <w:sz w:val="24"/>
        </w:rPr>
        <w:t>上投摩根天添盈货币B类</w:t>
      </w:r>
    </w:p>
    <w:p w:rsidR="005F668B" w:rsidRPr="00593AD2" w:rsidRDefault="00BE7933" w:rsidP="00196812">
      <w:pPr>
        <w:snapToGrid w:val="0"/>
        <w:spacing w:line="360" w:lineRule="auto"/>
        <w:jc w:val="center"/>
        <w:rPr>
          <w:rFonts w:asciiTheme="minorEastAsia" w:eastAsiaTheme="minorEastAsia" w:hAnsiTheme="minorEastAsia"/>
          <w:color w:val="000000" w:themeColor="text1"/>
          <w:sz w:val="24"/>
        </w:rPr>
      </w:pPr>
      <w:r w:rsidRPr="00593AD2">
        <w:rPr>
          <w:rFonts w:asciiTheme="minorEastAsia" w:eastAsiaTheme="minorEastAsia" w:hAnsiTheme="minorEastAsia"/>
          <w:noProof/>
          <w:color w:val="000000" w:themeColor="text1"/>
          <w:sz w:val="24"/>
        </w:rPr>
        <w:drawing>
          <wp:inline distT="0" distB="0" distL="0" distR="0" wp14:anchorId="6113127B" wp14:editId="33B8D020">
            <wp:extent cx="5769610" cy="3379887"/>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9610" cy="3379887"/>
                    </a:xfrm>
                    <a:prstGeom prst="rect">
                      <a:avLst/>
                    </a:prstGeom>
                    <a:noFill/>
                    <a:ln>
                      <a:noFill/>
                    </a:ln>
                  </pic:spPr>
                </pic:pic>
              </a:graphicData>
            </a:graphic>
          </wp:inline>
        </w:drawing>
      </w:r>
    </w:p>
    <w:p w:rsidR="00025C5D" w:rsidRPr="00593AD2" w:rsidRDefault="00025C5D" w:rsidP="004527E3">
      <w:pPr>
        <w:autoSpaceDE w:val="0"/>
        <w:autoSpaceDN w:val="0"/>
        <w:adjustRightInd w:val="0"/>
        <w:spacing w:line="360" w:lineRule="auto"/>
        <w:jc w:val="left"/>
        <w:rPr>
          <w:rFonts w:asciiTheme="minorEastAsia" w:eastAsiaTheme="minorEastAsia" w:hAnsiTheme="minorEastAsia"/>
          <w:color w:val="000000" w:themeColor="text1"/>
          <w:sz w:val="24"/>
        </w:rPr>
      </w:pPr>
    </w:p>
    <w:p w:rsidR="00025C5D" w:rsidRPr="00593AD2" w:rsidRDefault="00025C5D" w:rsidP="00025C5D">
      <w:pPr>
        <w:snapToGrid w:val="0"/>
        <w:spacing w:line="360" w:lineRule="auto"/>
        <w:ind w:left="470"/>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kern w:val="0"/>
          <w:sz w:val="24"/>
        </w:rPr>
        <w:t>3、</w:t>
      </w:r>
      <w:r w:rsidRPr="00593AD2">
        <w:rPr>
          <w:rFonts w:asciiTheme="minorEastAsia" w:eastAsiaTheme="minorEastAsia" w:hAnsiTheme="minorEastAsia"/>
          <w:color w:val="000000" w:themeColor="text1"/>
          <w:kern w:val="0"/>
          <w:sz w:val="24"/>
        </w:rPr>
        <w:t>上投摩根天添盈货币E类</w:t>
      </w:r>
    </w:p>
    <w:p w:rsidR="00025C5D" w:rsidRPr="00593AD2" w:rsidRDefault="00CA592F" w:rsidP="00220437">
      <w:pPr>
        <w:autoSpaceDE w:val="0"/>
        <w:autoSpaceDN w:val="0"/>
        <w:adjustRightInd w:val="0"/>
        <w:spacing w:line="360" w:lineRule="auto"/>
        <w:jc w:val="center"/>
        <w:rPr>
          <w:rFonts w:asciiTheme="minorEastAsia" w:eastAsiaTheme="minorEastAsia" w:hAnsiTheme="minorEastAsia"/>
          <w:color w:val="000000" w:themeColor="text1"/>
          <w:sz w:val="24"/>
        </w:rPr>
      </w:pPr>
      <w:r w:rsidRPr="00593AD2">
        <w:rPr>
          <w:rFonts w:asciiTheme="minorEastAsia" w:eastAsiaTheme="minorEastAsia" w:hAnsiTheme="minorEastAsia"/>
          <w:noProof/>
          <w:color w:val="000000" w:themeColor="text1"/>
          <w:sz w:val="24"/>
        </w:rPr>
        <w:drawing>
          <wp:inline distT="0" distB="0" distL="0" distR="0" wp14:anchorId="55EF68A1" wp14:editId="5C8DBFB4">
            <wp:extent cx="5772150" cy="3381375"/>
            <wp:effectExtent l="0" t="0" r="0" b="9525"/>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72150" cy="3381375"/>
                    </a:xfrm>
                    <a:prstGeom prst="rect">
                      <a:avLst/>
                    </a:prstGeom>
                    <a:noFill/>
                    <a:ln>
                      <a:noFill/>
                    </a:ln>
                  </pic:spPr>
                </pic:pic>
              </a:graphicData>
            </a:graphic>
          </wp:inline>
        </w:drawing>
      </w:r>
    </w:p>
    <w:p w:rsidR="008509A1" w:rsidRDefault="00BE7933">
      <w:pPr>
        <w:autoSpaceDE w:val="0"/>
        <w:autoSpaceDN w:val="0"/>
        <w:adjustRightInd w:val="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注：1.本基金合同生效日为2014年11月25日，图示的时间段为合同生效日至本报告期末。</w:t>
      </w:r>
    </w:p>
    <w:p w:rsidR="008509A1" w:rsidRDefault="00BE7933">
      <w:pPr>
        <w:autoSpaceDE w:val="0"/>
        <w:autoSpaceDN w:val="0"/>
        <w:adjustRightInd w:val="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2.本基金建仓期为本基金合同生效日起 6 个月, 建仓期结束时资产配置比例符合本基金基金合同的规定。</w:t>
      </w:r>
    </w:p>
    <w:p w:rsidR="00707CB2" w:rsidRPr="00593AD2" w:rsidRDefault="00C4213A"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3.自2018年6月22日起，本基金B类基金份额为零且停止计算B类基金份额每万份收益。</w:t>
      </w:r>
    </w:p>
    <w:p w:rsidR="00CA65DD" w:rsidRPr="00593AD2" w:rsidRDefault="00CA65DD" w:rsidP="00196812">
      <w:pPr>
        <w:tabs>
          <w:tab w:val="left" w:pos="1800"/>
        </w:tabs>
        <w:spacing w:line="360" w:lineRule="auto"/>
        <w:rPr>
          <w:rFonts w:asciiTheme="minorEastAsia" w:eastAsiaTheme="minorEastAsia" w:hAnsiTheme="minorEastAsia"/>
          <w:color w:val="000000" w:themeColor="text1"/>
          <w:sz w:val="24"/>
        </w:rPr>
      </w:pPr>
    </w:p>
    <w:p w:rsidR="00902E3F" w:rsidRPr="00593AD2" w:rsidRDefault="00902E3F" w:rsidP="00631E43">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t>§</w:t>
      </w:r>
      <w:r w:rsidRPr="00593AD2">
        <w:rPr>
          <w:rFonts w:asciiTheme="minorEastAsia" w:eastAsiaTheme="minorEastAsia" w:hAnsiTheme="minorEastAsia" w:cs="Arial"/>
          <w:color w:val="000000" w:themeColor="text1"/>
          <w:kern w:val="0"/>
          <w:sz w:val="24"/>
          <w:szCs w:val="24"/>
        </w:rPr>
        <w:t xml:space="preserve">4  </w:t>
      </w:r>
      <w:r w:rsidRPr="00593AD2">
        <w:rPr>
          <w:rFonts w:asciiTheme="minorEastAsia" w:eastAsiaTheme="minorEastAsia" w:hAnsiTheme="minorEastAsia" w:cs="Arial" w:hint="eastAsia"/>
          <w:color w:val="000000" w:themeColor="text1"/>
          <w:kern w:val="0"/>
          <w:sz w:val="24"/>
          <w:szCs w:val="24"/>
        </w:rPr>
        <w:t>管理人报告</w:t>
      </w:r>
    </w:p>
    <w:p w:rsidR="00902E3F" w:rsidRPr="00593AD2" w:rsidRDefault="00902E3F" w:rsidP="009A755D">
      <w:pPr>
        <w:autoSpaceDE w:val="0"/>
        <w:autoSpaceDN w:val="0"/>
        <w:adjustRightInd w:val="0"/>
        <w:spacing w:line="360" w:lineRule="auto"/>
        <w:jc w:val="left"/>
        <w:rPr>
          <w:rFonts w:asciiTheme="minorEastAsia" w:eastAsiaTheme="minorEastAsia" w:hAnsiTheme="minorEastAsia"/>
          <w:b/>
          <w:bCs/>
          <w:color w:val="000000" w:themeColor="text1"/>
          <w:sz w:val="24"/>
        </w:rPr>
      </w:pPr>
      <w:r w:rsidRPr="00593AD2">
        <w:rPr>
          <w:rFonts w:asciiTheme="minorEastAsia" w:eastAsiaTheme="minorEastAsia" w:hAnsiTheme="minorEastAsia" w:cs="Arial"/>
          <w:b/>
          <w:color w:val="000000" w:themeColor="text1"/>
          <w:kern w:val="0"/>
          <w:sz w:val="24"/>
        </w:rPr>
        <w:t xml:space="preserve">4.1 </w:t>
      </w:r>
      <w:r w:rsidRPr="00593AD2">
        <w:rPr>
          <w:rFonts w:asciiTheme="minorEastAsia" w:eastAsiaTheme="minorEastAsia" w:hAnsiTheme="minorEastAsia" w:cs="Arial" w:hint="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1600"/>
        <w:gridCol w:w="1488"/>
        <w:gridCol w:w="1489"/>
        <w:gridCol w:w="992"/>
        <w:gridCol w:w="2410"/>
      </w:tblGrid>
      <w:tr w:rsidR="00593AD2" w:rsidRPr="00593AD2" w:rsidTr="00AC3D9E">
        <w:trPr>
          <w:cantSplit/>
        </w:trPr>
        <w:tc>
          <w:tcPr>
            <w:tcW w:w="952" w:type="dxa"/>
            <w:vMerge w:val="restart"/>
            <w:vAlign w:val="center"/>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姓名</w:t>
            </w:r>
          </w:p>
        </w:tc>
        <w:tc>
          <w:tcPr>
            <w:tcW w:w="1600" w:type="dxa"/>
            <w:vMerge w:val="restart"/>
            <w:vAlign w:val="center"/>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职务</w:t>
            </w:r>
          </w:p>
        </w:tc>
        <w:tc>
          <w:tcPr>
            <w:tcW w:w="2977" w:type="dxa"/>
            <w:gridSpan w:val="2"/>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任本基金的基金经理期限</w:t>
            </w:r>
          </w:p>
        </w:tc>
        <w:tc>
          <w:tcPr>
            <w:tcW w:w="992" w:type="dxa"/>
            <w:vMerge w:val="restart"/>
            <w:vAlign w:val="center"/>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证券从业年限</w:t>
            </w:r>
          </w:p>
        </w:tc>
        <w:tc>
          <w:tcPr>
            <w:tcW w:w="2410" w:type="dxa"/>
            <w:vMerge w:val="restart"/>
            <w:vAlign w:val="center"/>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说明</w:t>
            </w:r>
          </w:p>
        </w:tc>
      </w:tr>
      <w:tr w:rsidR="00593AD2" w:rsidRPr="00593AD2" w:rsidTr="00AC3D9E">
        <w:trPr>
          <w:cantSplit/>
        </w:trPr>
        <w:tc>
          <w:tcPr>
            <w:tcW w:w="952" w:type="dxa"/>
            <w:vMerge/>
            <w:vAlign w:val="center"/>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p>
        </w:tc>
        <w:tc>
          <w:tcPr>
            <w:tcW w:w="1600" w:type="dxa"/>
            <w:vMerge/>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p>
        </w:tc>
        <w:tc>
          <w:tcPr>
            <w:tcW w:w="1488" w:type="dxa"/>
            <w:vAlign w:val="center"/>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任职日期</w:t>
            </w:r>
          </w:p>
        </w:tc>
        <w:tc>
          <w:tcPr>
            <w:tcW w:w="1489" w:type="dxa"/>
            <w:vAlign w:val="center"/>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离任日期</w:t>
            </w:r>
          </w:p>
        </w:tc>
        <w:tc>
          <w:tcPr>
            <w:tcW w:w="992" w:type="dxa"/>
            <w:vMerge/>
            <w:vAlign w:val="center"/>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p>
        </w:tc>
        <w:tc>
          <w:tcPr>
            <w:tcW w:w="2410" w:type="dxa"/>
            <w:vMerge/>
            <w:vAlign w:val="center"/>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p>
        </w:tc>
      </w:tr>
      <w:tr w:rsidR="008509A1">
        <w:tc>
          <w:tcPr>
            <w:tcW w:w="952" w:type="dxa"/>
            <w:vAlign w:val="center"/>
          </w:tcPr>
          <w:p w:rsidR="008509A1" w:rsidRDefault="00BE7933">
            <w:pPr>
              <w:jc w:val="center"/>
            </w:pPr>
            <w:r>
              <w:rPr>
                <w:rFonts w:asciiTheme="minorEastAsia" w:eastAsiaTheme="minorEastAsia" w:hAnsiTheme="minorEastAsia"/>
                <w:color w:val="000000" w:themeColor="text1"/>
                <w:sz w:val="24"/>
              </w:rPr>
              <w:t>鞠婷</w:t>
            </w:r>
          </w:p>
        </w:tc>
        <w:tc>
          <w:tcPr>
            <w:tcW w:w="1600" w:type="dxa"/>
            <w:vAlign w:val="center"/>
          </w:tcPr>
          <w:p w:rsidR="008509A1" w:rsidRDefault="00BE7933">
            <w:pPr>
              <w:jc w:val="center"/>
            </w:pPr>
            <w:r>
              <w:rPr>
                <w:rFonts w:asciiTheme="minorEastAsia" w:eastAsiaTheme="minorEastAsia" w:hAnsiTheme="minorEastAsia"/>
                <w:color w:val="000000" w:themeColor="text1"/>
                <w:sz w:val="24"/>
              </w:rPr>
              <w:t>本基金基金经理</w:t>
            </w:r>
          </w:p>
        </w:tc>
        <w:tc>
          <w:tcPr>
            <w:tcW w:w="1488" w:type="dxa"/>
            <w:vAlign w:val="center"/>
          </w:tcPr>
          <w:p w:rsidR="008509A1" w:rsidRDefault="00BE7933">
            <w:pPr>
              <w:jc w:val="center"/>
            </w:pPr>
            <w:r>
              <w:rPr>
                <w:rFonts w:asciiTheme="minorEastAsia" w:eastAsiaTheme="minorEastAsia" w:hAnsiTheme="minorEastAsia"/>
                <w:color w:val="000000" w:themeColor="text1"/>
                <w:sz w:val="24"/>
              </w:rPr>
              <w:t>2016-05-27</w:t>
            </w:r>
          </w:p>
        </w:tc>
        <w:tc>
          <w:tcPr>
            <w:tcW w:w="1489" w:type="dxa"/>
            <w:vAlign w:val="center"/>
          </w:tcPr>
          <w:p w:rsidR="008509A1" w:rsidRDefault="00BE7933">
            <w:pPr>
              <w:jc w:val="center"/>
            </w:pPr>
            <w:r>
              <w:rPr>
                <w:rFonts w:asciiTheme="minorEastAsia" w:eastAsiaTheme="minorEastAsia" w:hAnsiTheme="minorEastAsia"/>
                <w:color w:val="000000" w:themeColor="text1"/>
                <w:sz w:val="24"/>
              </w:rPr>
              <w:t>-</w:t>
            </w:r>
          </w:p>
        </w:tc>
        <w:tc>
          <w:tcPr>
            <w:tcW w:w="992" w:type="dxa"/>
            <w:vAlign w:val="center"/>
          </w:tcPr>
          <w:p w:rsidR="008509A1" w:rsidRDefault="00BE7933">
            <w:pPr>
              <w:jc w:val="center"/>
            </w:pPr>
            <w:r>
              <w:rPr>
                <w:rFonts w:asciiTheme="minorEastAsia" w:eastAsiaTheme="minorEastAsia" w:hAnsiTheme="minorEastAsia"/>
                <w:color w:val="000000" w:themeColor="text1"/>
                <w:sz w:val="24"/>
              </w:rPr>
              <w:t>16年</w:t>
            </w:r>
          </w:p>
        </w:tc>
        <w:tc>
          <w:tcPr>
            <w:tcW w:w="2410" w:type="dxa"/>
            <w:vAlign w:val="center"/>
          </w:tcPr>
          <w:p w:rsidR="008509A1" w:rsidRDefault="00BE7933">
            <w:r>
              <w:rPr>
                <w:rFonts w:asciiTheme="minorEastAsia" w:eastAsiaTheme="minorEastAsia" w:hAnsiTheme="minorEastAsia"/>
                <w:color w:val="000000" w:themeColor="text1"/>
                <w:sz w:val="24"/>
              </w:rPr>
              <w:t>鞠婷女士，1997年7月至2001年5月在中国建设银行第一支行担任助理经济师，2006年3月至2014年10月在瑞穗银行总行担任总经理助理。自2014年10月起加入上投摩根基金管理有限公司，先后担任我公司货币市场投资部基金经理助理、基金经理、高级基金经理，2015年7月至2018年11月担任上投摩根现金管理货币市场基金基金经理，自2016年5月起担任上投摩根天添盈货币市场基金和上投摩根天添宝货币市场基金基金经理，自2020年3月起同时担任上投摩根货币市场基金基金经理。</w:t>
            </w:r>
          </w:p>
        </w:tc>
      </w:tr>
    </w:tbl>
    <w:p w:rsidR="008509A1" w:rsidRDefault="00BE7933">
      <w:pPr>
        <w:autoSpaceDE w:val="0"/>
        <w:autoSpaceDN w:val="0"/>
        <w:adjustRightInd w:val="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注：1.任职日期和离任日期均指根据公司决定确定的聘任日期和解聘日期。</w:t>
      </w:r>
    </w:p>
    <w:p w:rsidR="00C4627A" w:rsidRPr="00593AD2" w:rsidRDefault="00C4627A"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2.证券从业的含义遵从行业协会《证券业从业人员资格管理办法》的相关规定。</w:t>
      </w:r>
    </w:p>
    <w:p w:rsidR="00902E3F" w:rsidRPr="00593AD2"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593AD2" w:rsidRDefault="00902E3F" w:rsidP="009A755D">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4.2</w:t>
      </w:r>
      <w:r w:rsidR="0016721A" w:rsidRPr="0016721A">
        <w:rPr>
          <w:rFonts w:hint="eastAsia"/>
          <w:b/>
          <w:color w:val="000000"/>
          <w:sz w:val="24"/>
          <w:shd w:val="clear" w:color="auto" w:fill="FFFFFF"/>
        </w:rPr>
        <w:t>管理人对报告期内本基金运作遵规守信情况的说明</w:t>
      </w:r>
    </w:p>
    <w:p w:rsidR="00C4627A" w:rsidRPr="00593AD2" w:rsidRDefault="00C4627A" w:rsidP="009A755D">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在本报告期内，基金管理人不存在损害基金份额持有人利益的行为，勤勉尽责地为基金份额持有人谋求利益。基金管理人遵守了《证券投资基金法》及其他有关法律法规、《上投摩根天添盈货币市场基金基金合同》的规定。基金经理对个股和投资组合的比例遵循了投资决策委员会的授权限制，基金投资比例符合基金合同和法律法规的要求。</w:t>
      </w:r>
    </w:p>
    <w:p w:rsidR="00902E3F" w:rsidRPr="00593AD2" w:rsidRDefault="00902E3F" w:rsidP="009A755D">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593AD2" w:rsidRDefault="00902E3F" w:rsidP="009A755D">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4.3 </w:t>
      </w:r>
      <w:r w:rsidRPr="00593AD2">
        <w:rPr>
          <w:rFonts w:asciiTheme="minorEastAsia" w:eastAsiaTheme="minorEastAsia" w:hAnsiTheme="minorEastAsia" w:cs="Arial" w:hint="eastAsia"/>
          <w:b/>
          <w:color w:val="000000" w:themeColor="text1"/>
          <w:kern w:val="0"/>
          <w:sz w:val="24"/>
        </w:rPr>
        <w:t>公平交易专项说明</w:t>
      </w:r>
    </w:p>
    <w:p w:rsidR="003F43EB" w:rsidRPr="00593AD2" w:rsidRDefault="003F43EB" w:rsidP="009A755D">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4.3.1 公平交易制度的执行情况</w:t>
      </w:r>
    </w:p>
    <w:p w:rsidR="008509A1" w:rsidRDefault="00BE793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8509A1" w:rsidRDefault="00BE793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C4627A" w:rsidRPr="00593AD2" w:rsidRDefault="00C4627A" w:rsidP="009A755D">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报告期内，通过对不同投资组合之间的收益率差异比较、对同向交易和反向交易的交易时机和交易价差监控分析，未发现整体公平交易执行出现异常的情况。</w:t>
      </w:r>
    </w:p>
    <w:p w:rsidR="003F43EB" w:rsidRPr="00593AD2" w:rsidRDefault="003F43EB" w:rsidP="009A755D">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4.3.</w:t>
      </w:r>
      <w:r w:rsidR="0007770D" w:rsidRPr="00593AD2">
        <w:rPr>
          <w:rFonts w:asciiTheme="minorEastAsia" w:eastAsiaTheme="minorEastAsia" w:hAnsiTheme="minorEastAsia" w:hint="eastAsia"/>
          <w:color w:val="000000" w:themeColor="text1"/>
          <w:sz w:val="24"/>
        </w:rPr>
        <w:t>2</w:t>
      </w:r>
      <w:r w:rsidRPr="00593AD2">
        <w:rPr>
          <w:rFonts w:asciiTheme="minorEastAsia" w:eastAsiaTheme="minorEastAsia" w:hAnsiTheme="minorEastAsia" w:hint="eastAsia"/>
          <w:color w:val="000000" w:themeColor="text1"/>
          <w:sz w:val="24"/>
        </w:rPr>
        <w:t xml:space="preserve"> 异常交易行为的专项说明</w:t>
      </w:r>
    </w:p>
    <w:p w:rsidR="008509A1" w:rsidRDefault="00BE793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报告期内，通过对交易价格、交易时间、交易方向等的分析，未发现有可能导致不公平交易和利益输送的异常交易行为。</w:t>
      </w:r>
    </w:p>
    <w:p w:rsidR="00902E3F" w:rsidRPr="00593AD2" w:rsidRDefault="00C4627A" w:rsidP="009A755D">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所有投资组合参与的交易所公开竞价同日反向交易成交较少的单边交易量超过该证券当日成交量的5%的情形：无。</w:t>
      </w:r>
    </w:p>
    <w:p w:rsidR="00BE5584" w:rsidRPr="00593AD2" w:rsidRDefault="00BE5584" w:rsidP="009A755D">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323377" w:rsidRPr="00593AD2" w:rsidRDefault="00323377" w:rsidP="009A755D">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4.4 </w:t>
      </w:r>
      <w:r w:rsidRPr="00593AD2">
        <w:rPr>
          <w:rFonts w:asciiTheme="minorEastAsia" w:eastAsiaTheme="minorEastAsia" w:hAnsiTheme="minorEastAsia" w:cs="Arial" w:hint="eastAsia"/>
          <w:b/>
          <w:color w:val="000000" w:themeColor="text1"/>
          <w:kern w:val="0"/>
          <w:sz w:val="24"/>
        </w:rPr>
        <w:t>报告期内基金的投资策略和业绩表现说明</w:t>
      </w:r>
    </w:p>
    <w:p w:rsidR="00323377" w:rsidRPr="00593AD2" w:rsidRDefault="00323377" w:rsidP="009A755D">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4.4.1报告期内基金投资策略和运作分析</w:t>
      </w:r>
    </w:p>
    <w:p w:rsidR="008509A1" w:rsidRDefault="00BE793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回顾一季度，受地缘政治冲突、国内疫情等外生冲击因素，经济受到较大负面影响，在前2月经济数据超预期之后，3月国内经济数据或快速回落。1-2月全国规模以上工业增加值同比增长7.5%，预计3月全国规模以上工业增加值同比增速约5.0%，较1-2月回落2.5个百分点；1-2月固定资产投资累计同比增长12.2%，预计前3月固定资产投资累计同比或降至6.5%左右；1-2月社会消费品零售总额同比增长6.7%，预计3月社会消费品零售总额同比增速或降至0-1%；3月出口同比增长或降至13.1%；3月服务业PMI较上月下降3.8个百分点至46.7%；物价方面预计CPI同比涨幅扩大，PPI持续回落。</w:t>
      </w:r>
    </w:p>
    <w:p w:rsidR="008509A1" w:rsidRDefault="00BE793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一季度货币政策的总基调，延续前期重要会议对货币政策“加大实施力度”和“主动应对”的要求，政策目标在于“提振信心”，支持实体。具体来看，1月17日央行下调OMO（公开市场操作利率)和MLF（中期借贷便利）利率各10个bp；1月20日LPR（贷款市场报价利率）顺势下调 10 bp（1Y）和 5 bp（5Y以上），显示出货币政策稳增长基调已经比较明确，且在海外主要经济体政策收敛速度偏快的复杂背景下，靠前宽松可同时兼顾内部增长和外部均衡。受此影响，1年期银行存单收益率先下后上在2.41%至2.61%之间震荡，1年期国开债收益率在1.93%-2.35%之间波动。</w:t>
      </w:r>
    </w:p>
    <w:p w:rsidR="008509A1" w:rsidRDefault="00BE793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基金在一季度继续以流动性安全性为首要目标，在各个关键时点做好流动性前瞻性管理，密切关注客户现金流动向，多配置流动性较好资产，在特殊时期预备充足流动性满足客户的赎回要求，同时力求平衡基金收益率和安全性，把握组合整体风险。</w:t>
      </w:r>
    </w:p>
    <w:p w:rsidR="00C4627A" w:rsidRPr="00593AD2" w:rsidRDefault="00C4627A" w:rsidP="009A755D">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展望未来，在当前国内外疫情持续，地缘政治冲突升级，外部环境更趋复杂严峻和不确定的形势下，根据央行一季度货币政策委员会例会精神，货币政策更要稳字当头、稳中求进，强化跨周期和逆周期调节，加大稳健的货币政策实施力度，为实体经济提供更有力支持，稳定宏观经济大盘。本基金在未来仍会谨记货币基金现金管理工具的原则，在外部环境更趋复杂严峻和不确定的形势下，时刻关注市场各种动向，加强前瞻性和自主性研判，始终把基金安全性、流动性以及投资人利益放在首位，同时坚决防范各类信用风险，灵活调整资产配置，遵守各项监管要求，力争为投资人提供安全稳健的长期回报。</w:t>
      </w:r>
    </w:p>
    <w:p w:rsidR="00323377" w:rsidRPr="00593AD2" w:rsidRDefault="00323377" w:rsidP="009A755D">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4.4.2报告期内基金的业绩表现</w:t>
      </w:r>
    </w:p>
    <w:p w:rsidR="008509A1" w:rsidRDefault="00BE793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本报告期上投摩根天添盈货币A份额净值增长率为:0.4853%，同期业绩比较基准收益率为:0.3329%,</w:t>
      </w:r>
    </w:p>
    <w:p w:rsidR="008509A1" w:rsidRDefault="00BE793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自2018年6月22日起，本基金B类基金份额为零且停止计算B类基金份额每万份收益。</w:t>
      </w:r>
    </w:p>
    <w:p w:rsidR="00C4627A" w:rsidRPr="00593AD2" w:rsidRDefault="00C4627A" w:rsidP="009A755D">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上投摩根天添盈货币E份额净值增长率为:0.5448%，同期业绩比较基准收益率为:0.3329%。</w:t>
      </w:r>
    </w:p>
    <w:p w:rsidR="00BE5584" w:rsidRPr="00593AD2" w:rsidRDefault="00BE5584" w:rsidP="009A755D">
      <w:pPr>
        <w:autoSpaceDE w:val="0"/>
        <w:autoSpaceDN w:val="0"/>
        <w:adjustRightInd w:val="0"/>
        <w:spacing w:line="360" w:lineRule="auto"/>
        <w:jc w:val="left"/>
        <w:rPr>
          <w:rFonts w:asciiTheme="minorEastAsia" w:eastAsiaTheme="minorEastAsia" w:hAnsiTheme="minorEastAsia"/>
          <w:color w:val="000000" w:themeColor="text1"/>
          <w:kern w:val="0"/>
          <w:sz w:val="24"/>
        </w:rPr>
      </w:pPr>
    </w:p>
    <w:p w:rsidR="00394455" w:rsidRPr="00593AD2" w:rsidRDefault="00455AA7" w:rsidP="00394455">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b/>
          <w:color w:val="000000" w:themeColor="text1"/>
          <w:kern w:val="0"/>
          <w:sz w:val="24"/>
        </w:rPr>
        <w:t>4</w:t>
      </w:r>
      <w:r w:rsidRPr="00593AD2">
        <w:rPr>
          <w:rFonts w:asciiTheme="minorEastAsia" w:eastAsiaTheme="minorEastAsia" w:hAnsiTheme="minorEastAsia" w:hint="eastAsia"/>
          <w:b/>
          <w:color w:val="000000" w:themeColor="text1"/>
          <w:kern w:val="0"/>
          <w:sz w:val="24"/>
        </w:rPr>
        <w:t>.5</w:t>
      </w:r>
      <w:r w:rsidR="00394455" w:rsidRPr="00593AD2">
        <w:rPr>
          <w:rFonts w:asciiTheme="minorEastAsia" w:eastAsiaTheme="minorEastAsia" w:hAnsiTheme="minorEastAsia" w:hint="eastAsia"/>
          <w:b/>
          <w:color w:val="000000" w:themeColor="text1"/>
          <w:kern w:val="0"/>
          <w:sz w:val="24"/>
        </w:rPr>
        <w:t>报告期内基金持有人数或基金资产净值预警说明</w:t>
      </w:r>
    </w:p>
    <w:p w:rsidR="00394455" w:rsidRPr="00593AD2" w:rsidRDefault="00394455" w:rsidP="00394455">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无。</w:t>
      </w:r>
    </w:p>
    <w:p w:rsidR="00902E3F" w:rsidRPr="00593AD2" w:rsidRDefault="00902E3F" w:rsidP="00631E43">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t>§</w:t>
      </w:r>
      <w:r w:rsidRPr="00593AD2">
        <w:rPr>
          <w:rFonts w:asciiTheme="minorEastAsia" w:eastAsiaTheme="minorEastAsia" w:hAnsiTheme="minorEastAsia" w:cs="Arial"/>
          <w:color w:val="000000" w:themeColor="text1"/>
          <w:kern w:val="0"/>
          <w:sz w:val="24"/>
          <w:szCs w:val="24"/>
        </w:rPr>
        <w:t xml:space="preserve">5  </w:t>
      </w:r>
      <w:r w:rsidRPr="00593AD2">
        <w:rPr>
          <w:rFonts w:asciiTheme="minorEastAsia" w:eastAsiaTheme="minorEastAsia" w:hAnsiTheme="minorEastAsia" w:cs="Arial" w:hint="eastAsia"/>
          <w:color w:val="000000" w:themeColor="text1"/>
          <w:kern w:val="0"/>
          <w:sz w:val="24"/>
          <w:szCs w:val="24"/>
        </w:rPr>
        <w:t>投资组合报告</w:t>
      </w:r>
    </w:p>
    <w:p w:rsidR="00902E3F" w:rsidRPr="00593AD2" w:rsidRDefault="00902E3F" w:rsidP="003A0EC1">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5.1 </w:t>
      </w:r>
      <w:r w:rsidRPr="00593AD2">
        <w:rPr>
          <w:rFonts w:asciiTheme="minorEastAsia" w:eastAsiaTheme="minorEastAsia" w:hAnsiTheme="minorEastAsia" w:cs="Arial" w:hint="eastAsia"/>
          <w:b/>
          <w:color w:val="000000" w:themeColor="text1"/>
          <w:kern w:val="0"/>
          <w:sz w:val="24"/>
        </w:rPr>
        <w:t>报告期末基金资产组合情况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357"/>
        <w:gridCol w:w="3119"/>
        <w:gridCol w:w="1843"/>
      </w:tblGrid>
      <w:tr w:rsidR="00593AD2" w:rsidRPr="00593AD2" w:rsidTr="00340456">
        <w:tc>
          <w:tcPr>
            <w:tcW w:w="720" w:type="dxa"/>
            <w:vAlign w:val="center"/>
          </w:tcPr>
          <w:p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序号</w:t>
            </w:r>
          </w:p>
        </w:tc>
        <w:tc>
          <w:tcPr>
            <w:tcW w:w="3357" w:type="dxa"/>
            <w:vAlign w:val="center"/>
          </w:tcPr>
          <w:p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项目</w:t>
            </w:r>
          </w:p>
        </w:tc>
        <w:tc>
          <w:tcPr>
            <w:tcW w:w="3119" w:type="dxa"/>
            <w:vAlign w:val="center"/>
          </w:tcPr>
          <w:p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金额(元)</w:t>
            </w:r>
          </w:p>
        </w:tc>
        <w:tc>
          <w:tcPr>
            <w:tcW w:w="1843" w:type="dxa"/>
            <w:vAlign w:val="center"/>
          </w:tcPr>
          <w:p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占基金总资产的比例(</w:t>
            </w:r>
            <w:r w:rsidRPr="00593AD2">
              <w:rPr>
                <w:rFonts w:asciiTheme="minorEastAsia" w:eastAsiaTheme="minorEastAsia" w:hAnsiTheme="minorEastAsia"/>
                <w:color w:val="000000" w:themeColor="text1"/>
                <w:sz w:val="24"/>
              </w:rPr>
              <w:t>%</w:t>
            </w:r>
            <w:r w:rsidRPr="00593AD2">
              <w:rPr>
                <w:rFonts w:asciiTheme="minorEastAsia" w:eastAsiaTheme="minorEastAsia" w:hAnsiTheme="minorEastAsia" w:hint="eastAsia"/>
                <w:color w:val="000000" w:themeColor="text1"/>
                <w:sz w:val="24"/>
              </w:rPr>
              <w:t>)</w:t>
            </w:r>
          </w:p>
        </w:tc>
      </w:tr>
      <w:tr w:rsidR="00593AD2" w:rsidRPr="00593AD2" w:rsidTr="00340456">
        <w:tc>
          <w:tcPr>
            <w:tcW w:w="720" w:type="dxa"/>
            <w:vAlign w:val="center"/>
          </w:tcPr>
          <w:p w:rsidR="00B4354A" w:rsidRPr="00593AD2" w:rsidRDefault="00737060"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1</w:t>
            </w:r>
          </w:p>
        </w:tc>
        <w:tc>
          <w:tcPr>
            <w:tcW w:w="3357" w:type="dxa"/>
            <w:vAlign w:val="center"/>
          </w:tcPr>
          <w:p w:rsidR="00B4354A" w:rsidRPr="00593AD2" w:rsidRDefault="00B4354A" w:rsidP="00196812">
            <w:pPr>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固定收益投资</w:t>
            </w:r>
          </w:p>
        </w:tc>
        <w:tc>
          <w:tcPr>
            <w:tcW w:w="3119"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2,766,136,796.89</w:t>
            </w:r>
          </w:p>
        </w:tc>
        <w:tc>
          <w:tcPr>
            <w:tcW w:w="1843"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41.30</w:t>
            </w:r>
          </w:p>
        </w:tc>
      </w:tr>
      <w:tr w:rsidR="00593AD2" w:rsidRPr="00593AD2" w:rsidTr="00340456">
        <w:tc>
          <w:tcPr>
            <w:tcW w:w="720" w:type="dxa"/>
            <w:vAlign w:val="center"/>
          </w:tcPr>
          <w:p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p>
        </w:tc>
        <w:tc>
          <w:tcPr>
            <w:tcW w:w="3357" w:type="dxa"/>
            <w:vAlign w:val="center"/>
          </w:tcPr>
          <w:p w:rsidR="00B4354A" w:rsidRPr="00593AD2" w:rsidRDefault="00B4354A" w:rsidP="00196812">
            <w:pPr>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其中：债券</w:t>
            </w:r>
          </w:p>
        </w:tc>
        <w:tc>
          <w:tcPr>
            <w:tcW w:w="3119"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2,766,136,796.89</w:t>
            </w:r>
          </w:p>
        </w:tc>
        <w:tc>
          <w:tcPr>
            <w:tcW w:w="1843"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41.30</w:t>
            </w:r>
          </w:p>
        </w:tc>
      </w:tr>
      <w:tr w:rsidR="00593AD2" w:rsidRPr="00593AD2" w:rsidTr="00340456">
        <w:tc>
          <w:tcPr>
            <w:tcW w:w="720" w:type="dxa"/>
            <w:vAlign w:val="center"/>
          </w:tcPr>
          <w:p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p>
        </w:tc>
        <w:tc>
          <w:tcPr>
            <w:tcW w:w="3357" w:type="dxa"/>
            <w:vAlign w:val="center"/>
          </w:tcPr>
          <w:p w:rsidR="00B4354A" w:rsidRPr="00593AD2" w:rsidRDefault="00B4354A" w:rsidP="005D1BAF">
            <w:pPr>
              <w:autoSpaceDE w:val="0"/>
              <w:autoSpaceDN w:val="0"/>
              <w:adjustRightInd w:val="0"/>
              <w:spacing w:before="29" w:line="360" w:lineRule="auto"/>
              <w:ind w:left="17" w:firstLineChars="300" w:firstLine="720"/>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资产支持证券</w:t>
            </w:r>
          </w:p>
        </w:tc>
        <w:tc>
          <w:tcPr>
            <w:tcW w:w="3119"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w:t>
            </w:r>
          </w:p>
        </w:tc>
        <w:tc>
          <w:tcPr>
            <w:tcW w:w="1843"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w:t>
            </w:r>
          </w:p>
        </w:tc>
      </w:tr>
      <w:tr w:rsidR="00593AD2" w:rsidRPr="00593AD2" w:rsidTr="00340456">
        <w:tc>
          <w:tcPr>
            <w:tcW w:w="720" w:type="dxa"/>
            <w:vAlign w:val="center"/>
          </w:tcPr>
          <w:p w:rsidR="00B4354A" w:rsidRPr="00593AD2" w:rsidRDefault="00737060"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2</w:t>
            </w:r>
          </w:p>
        </w:tc>
        <w:tc>
          <w:tcPr>
            <w:tcW w:w="3357" w:type="dxa"/>
            <w:vAlign w:val="center"/>
          </w:tcPr>
          <w:p w:rsidR="00B4354A" w:rsidRPr="00593AD2" w:rsidRDefault="00B4354A" w:rsidP="00196812">
            <w:pPr>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买入返售金融资产</w:t>
            </w:r>
          </w:p>
        </w:tc>
        <w:tc>
          <w:tcPr>
            <w:tcW w:w="3119"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588,005,743.96</w:t>
            </w:r>
          </w:p>
        </w:tc>
        <w:tc>
          <w:tcPr>
            <w:tcW w:w="1843"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8.78</w:t>
            </w:r>
          </w:p>
        </w:tc>
      </w:tr>
      <w:tr w:rsidR="00593AD2" w:rsidRPr="00593AD2" w:rsidTr="00340456">
        <w:tc>
          <w:tcPr>
            <w:tcW w:w="720" w:type="dxa"/>
            <w:vAlign w:val="center"/>
          </w:tcPr>
          <w:p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p>
        </w:tc>
        <w:tc>
          <w:tcPr>
            <w:tcW w:w="3357" w:type="dxa"/>
            <w:vAlign w:val="center"/>
          </w:tcPr>
          <w:p w:rsidR="00B4354A" w:rsidRPr="00593AD2" w:rsidRDefault="00B4354A" w:rsidP="00196812">
            <w:pPr>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其中：买断式回购的买入返售金融资产</w:t>
            </w:r>
          </w:p>
        </w:tc>
        <w:tc>
          <w:tcPr>
            <w:tcW w:w="3119"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w:t>
            </w:r>
          </w:p>
        </w:tc>
        <w:tc>
          <w:tcPr>
            <w:tcW w:w="1843"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w:t>
            </w:r>
          </w:p>
        </w:tc>
      </w:tr>
      <w:tr w:rsidR="00593AD2" w:rsidRPr="00593AD2" w:rsidTr="00340456">
        <w:tc>
          <w:tcPr>
            <w:tcW w:w="720" w:type="dxa"/>
            <w:vAlign w:val="center"/>
          </w:tcPr>
          <w:p w:rsidR="00B4354A" w:rsidRPr="00593AD2" w:rsidRDefault="005F17EC"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3</w:t>
            </w:r>
          </w:p>
        </w:tc>
        <w:tc>
          <w:tcPr>
            <w:tcW w:w="3357" w:type="dxa"/>
            <w:vAlign w:val="center"/>
          </w:tcPr>
          <w:p w:rsidR="00B4354A" w:rsidRPr="00593AD2" w:rsidRDefault="00B4354A" w:rsidP="00196812">
            <w:pPr>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银行存款和结算备付金合计</w:t>
            </w:r>
          </w:p>
        </w:tc>
        <w:tc>
          <w:tcPr>
            <w:tcW w:w="3119"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3,295,240,564.34</w:t>
            </w:r>
          </w:p>
        </w:tc>
        <w:tc>
          <w:tcPr>
            <w:tcW w:w="1843"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49.20</w:t>
            </w:r>
          </w:p>
        </w:tc>
      </w:tr>
      <w:tr w:rsidR="00593AD2" w:rsidRPr="00593AD2" w:rsidTr="00340456">
        <w:tc>
          <w:tcPr>
            <w:tcW w:w="720" w:type="dxa"/>
            <w:vAlign w:val="center"/>
          </w:tcPr>
          <w:p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4</w:t>
            </w:r>
          </w:p>
        </w:tc>
        <w:tc>
          <w:tcPr>
            <w:tcW w:w="3357" w:type="dxa"/>
            <w:vAlign w:val="center"/>
          </w:tcPr>
          <w:p w:rsidR="00B4354A" w:rsidRPr="00593AD2" w:rsidRDefault="00B4354A" w:rsidP="00196812">
            <w:pPr>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其他资产</w:t>
            </w:r>
          </w:p>
        </w:tc>
        <w:tc>
          <w:tcPr>
            <w:tcW w:w="3119" w:type="dxa"/>
            <w:vAlign w:val="center"/>
          </w:tcPr>
          <w:p w:rsidR="00B4354A" w:rsidRPr="00593AD2" w:rsidRDefault="00B4354A" w:rsidP="00196812">
            <w:pPr>
              <w:spacing w:line="360" w:lineRule="auto"/>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48,433,248.75</w:t>
            </w:r>
          </w:p>
        </w:tc>
        <w:tc>
          <w:tcPr>
            <w:tcW w:w="1843" w:type="dxa"/>
            <w:vAlign w:val="center"/>
          </w:tcPr>
          <w:p w:rsidR="00B4354A" w:rsidRPr="00593AD2" w:rsidRDefault="00B4354A" w:rsidP="00196812">
            <w:pPr>
              <w:spacing w:line="360" w:lineRule="auto"/>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0.72</w:t>
            </w:r>
          </w:p>
        </w:tc>
      </w:tr>
      <w:tr w:rsidR="00593AD2" w:rsidRPr="00593AD2" w:rsidTr="00340456">
        <w:tc>
          <w:tcPr>
            <w:tcW w:w="720" w:type="dxa"/>
            <w:vAlign w:val="center"/>
          </w:tcPr>
          <w:p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5</w:t>
            </w:r>
          </w:p>
        </w:tc>
        <w:tc>
          <w:tcPr>
            <w:tcW w:w="3357" w:type="dxa"/>
            <w:vAlign w:val="center"/>
          </w:tcPr>
          <w:p w:rsidR="00B4354A" w:rsidRPr="00593AD2" w:rsidRDefault="00B4354A" w:rsidP="00196812">
            <w:pPr>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合计</w:t>
            </w:r>
          </w:p>
        </w:tc>
        <w:tc>
          <w:tcPr>
            <w:tcW w:w="3119" w:type="dxa"/>
            <w:vAlign w:val="center"/>
          </w:tcPr>
          <w:p w:rsidR="00B4354A" w:rsidRPr="00593AD2" w:rsidRDefault="00B4354A" w:rsidP="00196812">
            <w:pPr>
              <w:spacing w:line="360" w:lineRule="auto"/>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6,697,816,353.94</w:t>
            </w:r>
          </w:p>
        </w:tc>
        <w:tc>
          <w:tcPr>
            <w:tcW w:w="1843" w:type="dxa"/>
            <w:vAlign w:val="center"/>
          </w:tcPr>
          <w:p w:rsidR="00B4354A" w:rsidRPr="00593AD2" w:rsidRDefault="00B4354A" w:rsidP="00196812">
            <w:pPr>
              <w:spacing w:line="360" w:lineRule="auto"/>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100.00</w:t>
            </w:r>
          </w:p>
        </w:tc>
      </w:tr>
    </w:tbl>
    <w:p w:rsidR="004771B9" w:rsidRPr="00593AD2" w:rsidRDefault="004771B9"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593AD2" w:rsidRDefault="00902E3F" w:rsidP="00196812">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5.2 </w:t>
      </w:r>
      <w:r w:rsidRPr="00593AD2">
        <w:rPr>
          <w:rFonts w:asciiTheme="minorEastAsia" w:eastAsiaTheme="minorEastAsia" w:hAnsiTheme="minorEastAsia" w:cs="Arial" w:hint="eastAsia"/>
          <w:b/>
          <w:color w:val="000000" w:themeColor="text1"/>
          <w:kern w:val="0"/>
          <w:sz w:val="24"/>
        </w:rPr>
        <w:t>报告期债券回购融资情况</w:t>
      </w:r>
    </w:p>
    <w:tbl>
      <w:tblPr>
        <w:tblW w:w="0" w:type="auto"/>
        <w:tblInd w:w="108" w:type="dxa"/>
        <w:tblLayout w:type="fixed"/>
        <w:tblLook w:val="0000" w:firstRow="0" w:lastRow="0" w:firstColumn="0" w:lastColumn="0" w:noHBand="0" w:noVBand="0"/>
      </w:tblPr>
      <w:tblGrid>
        <w:gridCol w:w="861"/>
        <w:gridCol w:w="3108"/>
        <w:gridCol w:w="2977"/>
        <w:gridCol w:w="2126"/>
      </w:tblGrid>
      <w:tr w:rsidR="00593AD2" w:rsidRPr="00593AD2" w:rsidTr="00F11244">
        <w:tc>
          <w:tcPr>
            <w:tcW w:w="861" w:type="dxa"/>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项目</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占基金资产净值比例（％）</w:t>
            </w:r>
          </w:p>
        </w:tc>
      </w:tr>
      <w:tr w:rsidR="00593AD2" w:rsidRPr="00593AD2" w:rsidTr="00F11244">
        <w:tc>
          <w:tcPr>
            <w:tcW w:w="861" w:type="dxa"/>
            <w:tcBorders>
              <w:top w:val="single" w:sz="8" w:space="0" w:color="000000"/>
              <w:left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1</w:t>
            </w:r>
          </w:p>
        </w:tc>
        <w:tc>
          <w:tcPr>
            <w:tcW w:w="3108" w:type="dxa"/>
            <w:tcBorders>
              <w:top w:val="single" w:sz="8" w:space="0" w:color="000000"/>
              <w:left w:val="single" w:sz="8" w:space="0" w:color="000000"/>
              <w:bottom w:val="single" w:sz="8" w:space="0" w:color="000000"/>
              <w:right w:val="single" w:sz="8" w:space="0" w:color="000000"/>
            </w:tcBorders>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报告期内债券回购融资余额</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0.2</w:t>
            </w:r>
            <w:r w:rsidR="00205D49">
              <w:rPr>
                <w:rFonts w:asciiTheme="minorEastAsia" w:eastAsiaTheme="minorEastAsia" w:hAnsiTheme="minorEastAsia"/>
                <w:color w:val="000000" w:themeColor="text1"/>
                <w:sz w:val="24"/>
              </w:rPr>
              <w:t>0</w:t>
            </w:r>
          </w:p>
        </w:tc>
      </w:tr>
      <w:tr w:rsidR="00593AD2" w:rsidRPr="00593AD2" w:rsidTr="00F11244">
        <w:trPr>
          <w:trHeight w:val="712"/>
        </w:trPr>
        <w:tc>
          <w:tcPr>
            <w:tcW w:w="861" w:type="dxa"/>
            <w:tcBorders>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olor w:val="000000" w:themeColor="text1"/>
                <w:sz w:val="24"/>
              </w:rPr>
            </w:pPr>
          </w:p>
        </w:tc>
        <w:tc>
          <w:tcPr>
            <w:tcW w:w="3108" w:type="dxa"/>
            <w:tcBorders>
              <w:top w:val="single" w:sz="8" w:space="0" w:color="000000"/>
              <w:left w:val="single" w:sz="8" w:space="0" w:color="000000"/>
              <w:bottom w:val="single" w:sz="8" w:space="0" w:color="000000"/>
              <w:right w:val="single" w:sz="8" w:space="0" w:color="000000"/>
            </w:tcBorders>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其中：买断式回购融资</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w:t>
            </w:r>
          </w:p>
        </w:tc>
      </w:tr>
      <w:tr w:rsidR="00593AD2" w:rsidRPr="00593AD2" w:rsidTr="00F11244">
        <w:tc>
          <w:tcPr>
            <w:tcW w:w="861" w:type="dxa"/>
            <w:tcBorders>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cs="Arial" w:hint="eastAsia"/>
                <w:color w:val="000000" w:themeColor="text1"/>
                <w:kern w:val="0"/>
                <w:sz w:val="24"/>
              </w:rPr>
              <w:t>序号</w:t>
            </w:r>
          </w:p>
        </w:tc>
        <w:tc>
          <w:tcPr>
            <w:tcW w:w="3108" w:type="dxa"/>
            <w:tcBorders>
              <w:top w:val="single" w:sz="8" w:space="0" w:color="000000"/>
              <w:left w:val="single" w:sz="8" w:space="0" w:color="000000"/>
              <w:bottom w:val="single" w:sz="8" w:space="0" w:color="000000"/>
              <w:right w:val="single" w:sz="8" w:space="0" w:color="000000"/>
            </w:tcBorders>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项目</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金额</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cs="Arial" w:hint="eastAsia"/>
                <w:color w:val="000000" w:themeColor="text1"/>
                <w:kern w:val="0"/>
                <w:sz w:val="24"/>
              </w:rPr>
              <w:t>占基金资产净值比例（％）</w:t>
            </w:r>
          </w:p>
        </w:tc>
      </w:tr>
      <w:tr w:rsidR="00593AD2" w:rsidRPr="00593AD2" w:rsidTr="00F11244">
        <w:tc>
          <w:tcPr>
            <w:tcW w:w="861" w:type="dxa"/>
            <w:vMerge w:val="restart"/>
            <w:tcBorders>
              <w:top w:val="single" w:sz="8" w:space="0" w:color="000000"/>
              <w:left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2</w:t>
            </w:r>
          </w:p>
        </w:tc>
        <w:tc>
          <w:tcPr>
            <w:tcW w:w="3108" w:type="dxa"/>
            <w:tcBorders>
              <w:top w:val="single" w:sz="8" w:space="0" w:color="000000"/>
              <w:left w:val="single" w:sz="8" w:space="0" w:color="000000"/>
              <w:bottom w:val="single" w:sz="8" w:space="0" w:color="000000"/>
              <w:right w:val="single" w:sz="8" w:space="0" w:color="000000"/>
            </w:tcBorders>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报告期末债券回购融资余额</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w:t>
            </w:r>
          </w:p>
        </w:tc>
      </w:tr>
      <w:tr w:rsidR="00593AD2" w:rsidRPr="00593AD2" w:rsidTr="00F11244">
        <w:tc>
          <w:tcPr>
            <w:tcW w:w="861" w:type="dxa"/>
            <w:vMerge/>
            <w:tcBorders>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olor w:val="000000" w:themeColor="text1"/>
                <w:sz w:val="24"/>
              </w:rPr>
            </w:pPr>
          </w:p>
        </w:tc>
        <w:tc>
          <w:tcPr>
            <w:tcW w:w="3108" w:type="dxa"/>
            <w:tcBorders>
              <w:top w:val="single" w:sz="8" w:space="0" w:color="000000"/>
              <w:left w:val="single" w:sz="8" w:space="0" w:color="000000"/>
              <w:bottom w:val="single" w:sz="8" w:space="0" w:color="000000"/>
              <w:right w:val="single" w:sz="8" w:space="0" w:color="000000"/>
            </w:tcBorders>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其中：买断式回购融资</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w:t>
            </w:r>
          </w:p>
        </w:tc>
      </w:tr>
    </w:tbl>
    <w:p w:rsidR="00DB2873" w:rsidRPr="00593AD2" w:rsidRDefault="00DB2873" w:rsidP="00196812">
      <w:pPr>
        <w:spacing w:line="360" w:lineRule="auto"/>
        <w:rPr>
          <w:rFonts w:asciiTheme="minorEastAsia" w:eastAsiaTheme="minorEastAsia" w:hAnsiTheme="minorEastAsia"/>
          <w:color w:val="000000" w:themeColor="text1"/>
          <w:sz w:val="24"/>
        </w:rPr>
      </w:pPr>
    </w:p>
    <w:p w:rsidR="004771B9" w:rsidRPr="00593AD2" w:rsidRDefault="004771B9" w:rsidP="00196812">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hint="eastAsia"/>
          <w:b/>
          <w:color w:val="000000" w:themeColor="text1"/>
          <w:kern w:val="0"/>
          <w:sz w:val="24"/>
        </w:rPr>
        <w:t>债券正回购的资金余额超过基金资产净值的</w:t>
      </w:r>
      <w:r w:rsidRPr="00593AD2">
        <w:rPr>
          <w:rFonts w:asciiTheme="minorEastAsia" w:eastAsiaTheme="minorEastAsia" w:hAnsiTheme="minorEastAsia" w:cs="Arial"/>
          <w:b/>
          <w:color w:val="000000" w:themeColor="text1"/>
          <w:kern w:val="0"/>
          <w:sz w:val="24"/>
        </w:rPr>
        <w:t>20</w:t>
      </w:r>
      <w:r w:rsidRPr="00593AD2">
        <w:rPr>
          <w:rFonts w:asciiTheme="minorEastAsia" w:eastAsiaTheme="minorEastAsia" w:hAnsiTheme="minorEastAsia" w:cs="Arial" w:hint="eastAsia"/>
          <w:b/>
          <w:color w:val="000000" w:themeColor="text1"/>
          <w:kern w:val="0"/>
          <w:sz w:val="24"/>
        </w:rPr>
        <w:t>％的说明</w:t>
      </w:r>
    </w:p>
    <w:p w:rsidR="007521F9" w:rsidRPr="00593AD2" w:rsidRDefault="007521F9"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在本报告期内本货币市场基金债券正回购的资金余额未超过资产净值的20%。</w:t>
      </w:r>
    </w:p>
    <w:p w:rsidR="00902E3F" w:rsidRPr="00593AD2" w:rsidRDefault="00902E3F" w:rsidP="00196812">
      <w:pPr>
        <w:spacing w:line="360" w:lineRule="auto"/>
        <w:rPr>
          <w:rFonts w:asciiTheme="minorEastAsia" w:eastAsiaTheme="minorEastAsia" w:hAnsiTheme="minorEastAsia" w:cs="Arial"/>
          <w:b/>
          <w:color w:val="000000" w:themeColor="text1"/>
          <w:kern w:val="0"/>
          <w:sz w:val="24"/>
        </w:rPr>
      </w:pPr>
    </w:p>
    <w:p w:rsidR="00902E3F" w:rsidRPr="00593AD2" w:rsidRDefault="00902E3F" w:rsidP="00196812">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5.3 </w:t>
      </w:r>
      <w:r w:rsidRPr="00593AD2">
        <w:rPr>
          <w:rFonts w:asciiTheme="minorEastAsia" w:eastAsiaTheme="minorEastAsia" w:hAnsiTheme="minorEastAsia" w:cs="Arial" w:hint="eastAsia"/>
          <w:b/>
          <w:color w:val="000000" w:themeColor="text1"/>
          <w:kern w:val="0"/>
          <w:sz w:val="24"/>
        </w:rPr>
        <w:t>基金投资组合平均剩余期限</w:t>
      </w:r>
    </w:p>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b/>
          <w:color w:val="000000" w:themeColor="text1"/>
          <w:kern w:val="0"/>
          <w:sz w:val="24"/>
        </w:rPr>
        <w:t xml:space="preserve">5.3.1 </w:t>
      </w:r>
      <w:r w:rsidRPr="003025FA">
        <w:rPr>
          <w:rFonts w:asciiTheme="minorEastAsia" w:eastAsiaTheme="minorEastAsia" w:hAnsiTheme="minorEastAsia" w:cs="Arial" w:hint="eastAsia"/>
          <w:b/>
          <w:color w:val="000000" w:themeColor="text1"/>
          <w:kern w:val="0"/>
          <w:sz w:val="24"/>
        </w:rPr>
        <w:t>投资组合平均剩余期限基本情况</w:t>
      </w:r>
    </w:p>
    <w:tbl>
      <w:tblPr>
        <w:tblW w:w="0" w:type="auto"/>
        <w:tblInd w:w="108" w:type="dxa"/>
        <w:tblLayout w:type="fixed"/>
        <w:tblLook w:val="0000" w:firstRow="0" w:lastRow="0" w:firstColumn="0" w:lastColumn="0" w:noHBand="0" w:noVBand="0"/>
      </w:tblPr>
      <w:tblGrid>
        <w:gridCol w:w="3686"/>
        <w:gridCol w:w="5386"/>
      </w:tblGrid>
      <w:tr w:rsidR="006B4FD5"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项目</w:t>
            </w:r>
          </w:p>
        </w:tc>
        <w:tc>
          <w:tcPr>
            <w:tcW w:w="5386"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天数</w:t>
            </w:r>
          </w:p>
        </w:tc>
      </w:tr>
      <w:tr w:rsidR="006B4FD5"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报告期末投资组合平均剩余期限</w:t>
            </w:r>
          </w:p>
        </w:tc>
        <w:tc>
          <w:tcPr>
            <w:tcW w:w="5386"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spacing w:line="360" w:lineRule="auto"/>
              <w:ind w:right="120"/>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94</w:t>
            </w:r>
          </w:p>
        </w:tc>
      </w:tr>
      <w:tr w:rsidR="006B4FD5"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报告期内投资组合平均剩余期限最高值</w:t>
            </w:r>
          </w:p>
        </w:tc>
        <w:tc>
          <w:tcPr>
            <w:tcW w:w="5386"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hint="eastAsia"/>
                <w:color w:val="000000" w:themeColor="text1"/>
                <w:sz w:val="24"/>
              </w:rPr>
              <w:t>102</w:t>
            </w:r>
          </w:p>
        </w:tc>
      </w:tr>
      <w:tr w:rsidR="006B4FD5"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报告期内投资组合平均剩余期限最低值</w:t>
            </w:r>
          </w:p>
        </w:tc>
        <w:tc>
          <w:tcPr>
            <w:tcW w:w="5386"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spacing w:line="360" w:lineRule="auto"/>
              <w:ind w:right="120"/>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hint="eastAsia"/>
                <w:color w:val="000000" w:themeColor="text1"/>
                <w:sz w:val="24"/>
              </w:rPr>
              <w:t>85</w:t>
            </w:r>
          </w:p>
        </w:tc>
      </w:tr>
    </w:tbl>
    <w:p w:rsidR="006B4FD5" w:rsidRPr="003025FA" w:rsidRDefault="006B4FD5" w:rsidP="006B4FD5">
      <w:pPr>
        <w:spacing w:line="360" w:lineRule="auto"/>
        <w:rPr>
          <w:rFonts w:asciiTheme="minorEastAsia" w:eastAsiaTheme="minorEastAsia" w:hAnsiTheme="minorEastAsia"/>
          <w:b/>
          <w:color w:val="000000" w:themeColor="text1"/>
          <w:sz w:val="24"/>
        </w:rPr>
      </w:pPr>
    </w:p>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hint="eastAsia"/>
          <w:b/>
          <w:color w:val="000000" w:themeColor="text1"/>
          <w:kern w:val="0"/>
          <w:sz w:val="24"/>
        </w:rPr>
        <w:t>报告期内投资组合平均剩余期限超过</w:t>
      </w:r>
      <w:r>
        <w:rPr>
          <w:rFonts w:asciiTheme="minorEastAsia" w:eastAsiaTheme="minorEastAsia" w:hAnsiTheme="minorEastAsia" w:cs="Arial"/>
          <w:b/>
          <w:color w:val="000000" w:themeColor="text1"/>
          <w:kern w:val="0"/>
          <w:sz w:val="24"/>
        </w:rPr>
        <w:t>1</w:t>
      </w:r>
      <w:r>
        <w:rPr>
          <w:rFonts w:asciiTheme="minorEastAsia" w:eastAsiaTheme="minorEastAsia" w:hAnsiTheme="minorEastAsia" w:cs="Arial" w:hint="eastAsia"/>
          <w:b/>
          <w:color w:val="000000" w:themeColor="text1"/>
          <w:kern w:val="0"/>
          <w:sz w:val="24"/>
        </w:rPr>
        <w:t>20</w:t>
      </w:r>
      <w:r w:rsidRPr="003025FA">
        <w:rPr>
          <w:rFonts w:asciiTheme="minorEastAsia" w:eastAsiaTheme="minorEastAsia" w:hAnsiTheme="minorEastAsia" w:cs="Arial" w:hint="eastAsia"/>
          <w:b/>
          <w:color w:val="000000" w:themeColor="text1"/>
          <w:kern w:val="0"/>
          <w:sz w:val="24"/>
        </w:rPr>
        <w:t>天情况说明</w:t>
      </w:r>
    </w:p>
    <w:p w:rsidR="006B4FD5" w:rsidRPr="003025FA" w:rsidRDefault="006B4FD5" w:rsidP="006B4FD5">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根据基金合同约定，本基金投资组合的平均剩余期限不超过120天。在本报告期内本基金未出现投资组合平均剩余期限超过120天的情况。</w:t>
      </w:r>
    </w:p>
    <w:p w:rsidR="006B4FD5" w:rsidRPr="003025FA" w:rsidRDefault="006B4FD5" w:rsidP="006B4FD5">
      <w:pPr>
        <w:adjustRightInd w:val="0"/>
        <w:spacing w:line="360" w:lineRule="auto"/>
        <w:rPr>
          <w:rFonts w:asciiTheme="minorEastAsia" w:eastAsiaTheme="minorEastAsia" w:hAnsiTheme="minorEastAsia"/>
          <w:color w:val="000000" w:themeColor="text1"/>
          <w:sz w:val="24"/>
        </w:rPr>
      </w:pPr>
    </w:p>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b/>
          <w:color w:val="000000" w:themeColor="text1"/>
          <w:kern w:val="0"/>
          <w:sz w:val="24"/>
        </w:rPr>
        <w:t xml:space="preserve">5.3.2 </w:t>
      </w:r>
      <w:r w:rsidRPr="003025FA">
        <w:rPr>
          <w:rFonts w:asciiTheme="minorEastAsia" w:eastAsiaTheme="minorEastAsia" w:hAnsiTheme="minorEastAsia" w:cs="Arial" w:hint="eastAsia"/>
          <w:b/>
          <w:color w:val="000000" w:themeColor="text1"/>
          <w:kern w:val="0"/>
          <w:sz w:val="24"/>
        </w:rPr>
        <w:t>报告期末投资组合平均剩余期限分布比例</w:t>
      </w:r>
    </w:p>
    <w:tbl>
      <w:tblPr>
        <w:tblW w:w="0" w:type="auto"/>
        <w:tblInd w:w="108" w:type="dxa"/>
        <w:tblLayout w:type="fixed"/>
        <w:tblLook w:val="0000" w:firstRow="0" w:lastRow="0" w:firstColumn="0" w:lastColumn="0" w:noHBand="0" w:noVBand="0"/>
      </w:tblPr>
      <w:tblGrid>
        <w:gridCol w:w="567"/>
        <w:gridCol w:w="2552"/>
        <w:gridCol w:w="2835"/>
        <w:gridCol w:w="3208"/>
      </w:tblGrid>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序号</w:t>
            </w: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平均剩余期限</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各期限资产占基金资产净值的比例（</w:t>
            </w:r>
            <w:r w:rsidRPr="003025FA">
              <w:rPr>
                <w:rFonts w:asciiTheme="minorEastAsia" w:eastAsiaTheme="minorEastAsia" w:hAnsiTheme="minorEastAsia" w:cs="Arial"/>
                <w:color w:val="000000" w:themeColor="text1"/>
                <w:kern w:val="0"/>
                <w:sz w:val="24"/>
              </w:rPr>
              <w:t>%</w:t>
            </w:r>
            <w:r w:rsidRPr="003025FA">
              <w:rPr>
                <w:rFonts w:asciiTheme="minorEastAsia" w:eastAsiaTheme="minorEastAsia" w:hAnsiTheme="minorEastAsia" w:cs="Arial" w:hint="eastAsia"/>
                <w:color w:val="000000" w:themeColor="text1"/>
                <w:kern w:val="0"/>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各期限负债占基金资产净值的比例（％）</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30天以内</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33.56</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0.72</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2</w:t>
            </w: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30天（含）—60天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12.07</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3</w:t>
            </w: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60天（含）—90天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6.58</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4</w:t>
            </w: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90天（含）</w:t>
            </w: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2</w:t>
            </w:r>
            <w:r w:rsidRPr="003025FA">
              <w:rPr>
                <w:rFonts w:asciiTheme="minorEastAsia" w:eastAsiaTheme="minorEastAsia" w:hAnsiTheme="minorEastAsia"/>
                <w:color w:val="000000" w:themeColor="text1"/>
                <w:sz w:val="24"/>
              </w:rPr>
              <w:t>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21.34</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5</w:t>
            </w: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20</w:t>
            </w:r>
            <w:r w:rsidRPr="003025FA">
              <w:rPr>
                <w:rFonts w:asciiTheme="minorEastAsia" w:eastAsiaTheme="minorEastAsia" w:hAnsiTheme="minorEastAsia"/>
                <w:color w:val="000000" w:themeColor="text1"/>
                <w:sz w:val="24"/>
              </w:rPr>
              <w:t>天（含）—397天（含）</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26.56</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3119" w:type="dxa"/>
            <w:gridSpan w:val="2"/>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合计</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100.11</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0.72</w:t>
            </w:r>
          </w:p>
        </w:tc>
      </w:tr>
    </w:tbl>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hint="eastAsia"/>
          <w:b/>
          <w:color w:val="000000" w:themeColor="text1"/>
          <w:kern w:val="0"/>
          <w:sz w:val="24"/>
        </w:rPr>
        <w:t>5.4</w:t>
      </w:r>
      <w:r>
        <w:rPr>
          <w:rFonts w:ascii="宋体" w:hAnsi="宋体" w:hint="eastAsia"/>
          <w:b/>
          <w:color w:val="000000"/>
          <w:sz w:val="24"/>
        </w:rPr>
        <w:t>报告期内投资组合平均剩余存续期超过240天情况说明</w:t>
      </w:r>
    </w:p>
    <w:p w:rsidR="006B4FD5" w:rsidRPr="003025FA" w:rsidRDefault="006B4FD5" w:rsidP="006B4FD5">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在本报告期内本基金未出现投资组合平均剩余存续期超过240天的情况。</w:t>
      </w:r>
    </w:p>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5</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报告期末按债券品种分类的债券投资组合</w:t>
      </w:r>
    </w:p>
    <w:tbl>
      <w:tblPr>
        <w:tblStyle w:val="ad"/>
        <w:tblW w:w="9307" w:type="dxa"/>
        <w:tblInd w:w="15" w:type="dxa"/>
        <w:tblLayout w:type="fixed"/>
        <w:tblLook w:val="04A0" w:firstRow="1" w:lastRow="0" w:firstColumn="1" w:lastColumn="0" w:noHBand="0" w:noVBand="1"/>
      </w:tblPr>
      <w:tblGrid>
        <w:gridCol w:w="894"/>
        <w:gridCol w:w="2743"/>
        <w:gridCol w:w="3686"/>
        <w:gridCol w:w="1984"/>
      </w:tblGrid>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序号</w:t>
            </w:r>
          </w:p>
        </w:tc>
        <w:tc>
          <w:tcPr>
            <w:tcW w:w="2743"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债券品种</w:t>
            </w:r>
          </w:p>
        </w:tc>
        <w:tc>
          <w:tcPr>
            <w:tcW w:w="3686"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公允价值(元)</w:t>
            </w:r>
          </w:p>
        </w:tc>
        <w:tc>
          <w:tcPr>
            <w:tcW w:w="198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占基金资产净值比例(％)</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1</w:t>
            </w: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国家债券</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50,958,420.65</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0.77</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2</w:t>
            </w: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央行票据</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3</w:t>
            </w: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金融债券</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369,521,137.18</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5.56</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其中：政策性金融债</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369,521,137.18</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5.56</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4</w:t>
            </w: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企业债券</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5</w:t>
            </w: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企业短期融资券</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243,145,053.31</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3.66</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6</w:t>
            </w: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中期票据</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6B4FD5" w:rsidRPr="003025FA" w:rsidTr="00182D82">
        <w:tc>
          <w:tcPr>
            <w:tcW w:w="894" w:type="dxa"/>
            <w:vAlign w:val="center"/>
          </w:tcPr>
          <w:p w:rsidR="006B4FD5" w:rsidRPr="00B1623D"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7</w:t>
            </w:r>
          </w:p>
        </w:tc>
        <w:tc>
          <w:tcPr>
            <w:tcW w:w="2743" w:type="dxa"/>
            <w:vAlign w:val="center"/>
          </w:tcPr>
          <w:p w:rsidR="006B4FD5" w:rsidRPr="00B1623D"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同业存单</w:t>
            </w:r>
          </w:p>
        </w:tc>
        <w:tc>
          <w:tcPr>
            <w:tcW w:w="3686" w:type="dxa"/>
            <w:vAlign w:val="center"/>
          </w:tcPr>
          <w:p w:rsidR="006B4FD5" w:rsidRPr="00B1623D"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2,102,512,185.75</w:t>
            </w:r>
          </w:p>
        </w:tc>
        <w:tc>
          <w:tcPr>
            <w:tcW w:w="1984" w:type="dxa"/>
            <w:vAlign w:val="center"/>
          </w:tcPr>
          <w:p w:rsidR="006B4FD5" w:rsidRPr="00B1623D"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31.64</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8</w:t>
            </w: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其他</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9</w:t>
            </w: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合计</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2,766,136,796.89</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41.63</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10</w:t>
            </w: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剩余存续期超过397天的浮动利率债券</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bl>
    <w:p w:rsidR="006B4FD5" w:rsidRPr="003025FA" w:rsidRDefault="006B4FD5" w:rsidP="006B4FD5">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6</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报告期末按摊余成本占基金资产净值比例大小排名的前十名债券投资明细</w:t>
      </w:r>
    </w:p>
    <w:tbl>
      <w:tblPr>
        <w:tblStyle w:val="ad"/>
        <w:tblW w:w="0" w:type="auto"/>
        <w:tblInd w:w="15" w:type="dxa"/>
        <w:tblLook w:val="04A0" w:firstRow="1" w:lastRow="0" w:firstColumn="1" w:lastColumn="0" w:noHBand="0" w:noVBand="1"/>
      </w:tblPr>
      <w:tblGrid>
        <w:gridCol w:w="1241"/>
        <w:gridCol w:w="1476"/>
        <w:gridCol w:w="1760"/>
        <w:gridCol w:w="1656"/>
        <w:gridCol w:w="1776"/>
        <w:gridCol w:w="1378"/>
      </w:tblGrid>
      <w:tr w:rsidR="006B4FD5" w:rsidRPr="003025FA" w:rsidTr="00182D82">
        <w:tc>
          <w:tcPr>
            <w:tcW w:w="1547" w:type="dxa"/>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序号</w:t>
            </w:r>
          </w:p>
        </w:tc>
        <w:tc>
          <w:tcPr>
            <w:tcW w:w="1548" w:type="dxa"/>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债券代码</w:t>
            </w:r>
          </w:p>
        </w:tc>
        <w:tc>
          <w:tcPr>
            <w:tcW w:w="1548" w:type="dxa"/>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债券名称</w:t>
            </w:r>
          </w:p>
        </w:tc>
        <w:tc>
          <w:tcPr>
            <w:tcW w:w="1548" w:type="dxa"/>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债券数量</w:t>
            </w:r>
          </w:p>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color w:val="000000" w:themeColor="text1"/>
                <w:kern w:val="0"/>
                <w:sz w:val="24"/>
              </w:rPr>
              <w:t>(</w:t>
            </w:r>
            <w:r w:rsidRPr="003025FA">
              <w:rPr>
                <w:rFonts w:asciiTheme="minorEastAsia" w:eastAsiaTheme="minorEastAsia" w:hAnsiTheme="minorEastAsia" w:cs="Arial" w:hint="eastAsia"/>
                <w:color w:val="000000" w:themeColor="text1"/>
                <w:kern w:val="0"/>
                <w:sz w:val="24"/>
              </w:rPr>
              <w:t>张</w:t>
            </w:r>
            <w:r w:rsidRPr="003025FA">
              <w:rPr>
                <w:rFonts w:asciiTheme="minorEastAsia" w:eastAsiaTheme="minorEastAsia" w:hAnsiTheme="minorEastAsia" w:cs="Arial"/>
                <w:color w:val="000000" w:themeColor="text1"/>
                <w:kern w:val="0"/>
                <w:sz w:val="24"/>
              </w:rPr>
              <w:t>)</w:t>
            </w:r>
          </w:p>
        </w:tc>
        <w:tc>
          <w:tcPr>
            <w:tcW w:w="1548" w:type="dxa"/>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摊余成本（元）</w:t>
            </w:r>
          </w:p>
        </w:tc>
        <w:tc>
          <w:tcPr>
            <w:tcW w:w="1548" w:type="dxa"/>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占基金资产净值比例（％）</w:t>
            </w:r>
          </w:p>
        </w:tc>
      </w:tr>
      <w:tr w:rsidR="008509A1">
        <w:tc>
          <w:tcPr>
            <w:tcW w:w="0" w:type="auto"/>
            <w:vAlign w:val="center"/>
          </w:tcPr>
          <w:p w:rsidR="008509A1" w:rsidRDefault="00BE7933">
            <w:pPr>
              <w:jc w:val="center"/>
            </w:pPr>
            <w:r>
              <w:rPr>
                <w:rFonts w:asciiTheme="minorEastAsia" w:eastAsiaTheme="minorEastAsia" w:hAnsiTheme="minorEastAsia"/>
                <w:color w:val="000000" w:themeColor="text1"/>
                <w:sz w:val="24"/>
              </w:rPr>
              <w:t>1</w:t>
            </w:r>
          </w:p>
        </w:tc>
        <w:tc>
          <w:tcPr>
            <w:tcW w:w="0" w:type="auto"/>
            <w:vAlign w:val="center"/>
          </w:tcPr>
          <w:p w:rsidR="008509A1" w:rsidRDefault="00BE7933">
            <w:pPr>
              <w:jc w:val="center"/>
            </w:pPr>
            <w:r>
              <w:rPr>
                <w:rFonts w:asciiTheme="minorEastAsia" w:eastAsiaTheme="minorEastAsia" w:hAnsiTheme="minorEastAsia"/>
                <w:color w:val="000000" w:themeColor="text1"/>
                <w:sz w:val="24"/>
              </w:rPr>
              <w:t>112121387</w:t>
            </w:r>
          </w:p>
        </w:tc>
        <w:tc>
          <w:tcPr>
            <w:tcW w:w="0" w:type="auto"/>
            <w:vAlign w:val="center"/>
          </w:tcPr>
          <w:p w:rsidR="008509A1" w:rsidRDefault="00BE7933">
            <w:pPr>
              <w:jc w:val="center"/>
            </w:pPr>
            <w:r>
              <w:rPr>
                <w:rFonts w:asciiTheme="minorEastAsia" w:eastAsiaTheme="minorEastAsia" w:hAnsiTheme="minorEastAsia"/>
                <w:color w:val="000000" w:themeColor="text1"/>
                <w:sz w:val="24"/>
              </w:rPr>
              <w:t>21渤海银行CD387</w:t>
            </w:r>
          </w:p>
        </w:tc>
        <w:tc>
          <w:tcPr>
            <w:tcW w:w="0" w:type="auto"/>
            <w:vAlign w:val="center"/>
          </w:tcPr>
          <w:p w:rsidR="008509A1" w:rsidRDefault="00BE7933">
            <w:pPr>
              <w:jc w:val="right"/>
            </w:pPr>
            <w:r>
              <w:rPr>
                <w:rFonts w:asciiTheme="minorEastAsia" w:eastAsiaTheme="minorEastAsia" w:hAnsiTheme="minorEastAsia"/>
                <w:color w:val="000000" w:themeColor="text1"/>
                <w:sz w:val="24"/>
              </w:rPr>
              <w:t>1,000,000.00</w:t>
            </w:r>
          </w:p>
        </w:tc>
        <w:tc>
          <w:tcPr>
            <w:tcW w:w="0" w:type="auto"/>
            <w:vAlign w:val="center"/>
          </w:tcPr>
          <w:p w:rsidR="008509A1" w:rsidRDefault="00BE7933">
            <w:pPr>
              <w:jc w:val="right"/>
            </w:pPr>
            <w:r>
              <w:rPr>
                <w:rFonts w:asciiTheme="minorEastAsia" w:eastAsiaTheme="minorEastAsia" w:hAnsiTheme="minorEastAsia"/>
                <w:color w:val="000000" w:themeColor="text1"/>
                <w:sz w:val="24"/>
              </w:rPr>
              <w:t>99,906,281.24</w:t>
            </w:r>
          </w:p>
        </w:tc>
        <w:tc>
          <w:tcPr>
            <w:tcW w:w="0" w:type="auto"/>
            <w:vAlign w:val="center"/>
          </w:tcPr>
          <w:p w:rsidR="008509A1" w:rsidRDefault="00BE7933">
            <w:pPr>
              <w:jc w:val="right"/>
            </w:pPr>
            <w:r>
              <w:rPr>
                <w:rFonts w:asciiTheme="minorEastAsia" w:eastAsiaTheme="minorEastAsia" w:hAnsiTheme="minorEastAsia"/>
                <w:color w:val="000000" w:themeColor="text1"/>
                <w:sz w:val="24"/>
              </w:rPr>
              <w:t>1.50</w:t>
            </w:r>
          </w:p>
        </w:tc>
      </w:tr>
      <w:tr w:rsidR="008509A1">
        <w:tc>
          <w:tcPr>
            <w:tcW w:w="0" w:type="auto"/>
            <w:vAlign w:val="center"/>
          </w:tcPr>
          <w:p w:rsidR="008509A1" w:rsidRDefault="00BE7933">
            <w:pPr>
              <w:jc w:val="center"/>
            </w:pPr>
            <w:r>
              <w:rPr>
                <w:rFonts w:asciiTheme="minorEastAsia" w:eastAsiaTheme="minorEastAsia" w:hAnsiTheme="minorEastAsia"/>
                <w:color w:val="000000" w:themeColor="text1"/>
                <w:sz w:val="24"/>
              </w:rPr>
              <w:t>2</w:t>
            </w:r>
          </w:p>
        </w:tc>
        <w:tc>
          <w:tcPr>
            <w:tcW w:w="0" w:type="auto"/>
            <w:vAlign w:val="center"/>
          </w:tcPr>
          <w:p w:rsidR="008509A1" w:rsidRDefault="00BE7933">
            <w:pPr>
              <w:jc w:val="center"/>
            </w:pPr>
            <w:r>
              <w:rPr>
                <w:rFonts w:asciiTheme="minorEastAsia" w:eastAsiaTheme="minorEastAsia" w:hAnsiTheme="minorEastAsia"/>
                <w:color w:val="000000" w:themeColor="text1"/>
                <w:sz w:val="24"/>
              </w:rPr>
              <w:t>112121398</w:t>
            </w:r>
          </w:p>
        </w:tc>
        <w:tc>
          <w:tcPr>
            <w:tcW w:w="0" w:type="auto"/>
            <w:vAlign w:val="center"/>
          </w:tcPr>
          <w:p w:rsidR="008509A1" w:rsidRDefault="00BE7933">
            <w:pPr>
              <w:jc w:val="center"/>
            </w:pPr>
            <w:r>
              <w:rPr>
                <w:rFonts w:asciiTheme="minorEastAsia" w:eastAsiaTheme="minorEastAsia" w:hAnsiTheme="minorEastAsia"/>
                <w:color w:val="000000" w:themeColor="text1"/>
                <w:sz w:val="24"/>
              </w:rPr>
              <w:t>21渤海银行CD398</w:t>
            </w:r>
          </w:p>
        </w:tc>
        <w:tc>
          <w:tcPr>
            <w:tcW w:w="0" w:type="auto"/>
            <w:vAlign w:val="center"/>
          </w:tcPr>
          <w:p w:rsidR="008509A1" w:rsidRDefault="00BE7933">
            <w:pPr>
              <w:jc w:val="right"/>
            </w:pPr>
            <w:r>
              <w:rPr>
                <w:rFonts w:asciiTheme="minorEastAsia" w:eastAsiaTheme="minorEastAsia" w:hAnsiTheme="minorEastAsia"/>
                <w:color w:val="000000" w:themeColor="text1"/>
                <w:sz w:val="24"/>
              </w:rPr>
              <w:t>1,000,000.00</w:t>
            </w:r>
          </w:p>
        </w:tc>
        <w:tc>
          <w:tcPr>
            <w:tcW w:w="0" w:type="auto"/>
            <w:vAlign w:val="center"/>
          </w:tcPr>
          <w:p w:rsidR="008509A1" w:rsidRDefault="00BE7933">
            <w:pPr>
              <w:jc w:val="right"/>
            </w:pPr>
            <w:r>
              <w:rPr>
                <w:rFonts w:asciiTheme="minorEastAsia" w:eastAsiaTheme="minorEastAsia" w:hAnsiTheme="minorEastAsia"/>
                <w:color w:val="000000" w:themeColor="text1"/>
                <w:sz w:val="24"/>
              </w:rPr>
              <w:t>99,847,756.98</w:t>
            </w:r>
          </w:p>
        </w:tc>
        <w:tc>
          <w:tcPr>
            <w:tcW w:w="0" w:type="auto"/>
            <w:vAlign w:val="center"/>
          </w:tcPr>
          <w:p w:rsidR="008509A1" w:rsidRDefault="00BE7933">
            <w:pPr>
              <w:jc w:val="right"/>
            </w:pPr>
            <w:r>
              <w:rPr>
                <w:rFonts w:asciiTheme="minorEastAsia" w:eastAsiaTheme="minorEastAsia" w:hAnsiTheme="minorEastAsia"/>
                <w:color w:val="000000" w:themeColor="text1"/>
                <w:sz w:val="24"/>
              </w:rPr>
              <w:t>1.50</w:t>
            </w:r>
          </w:p>
        </w:tc>
      </w:tr>
      <w:tr w:rsidR="008509A1">
        <w:tc>
          <w:tcPr>
            <w:tcW w:w="0" w:type="auto"/>
            <w:vAlign w:val="center"/>
          </w:tcPr>
          <w:p w:rsidR="008509A1" w:rsidRDefault="00BE7933">
            <w:pPr>
              <w:jc w:val="center"/>
            </w:pPr>
            <w:r>
              <w:rPr>
                <w:rFonts w:asciiTheme="minorEastAsia" w:eastAsiaTheme="minorEastAsia" w:hAnsiTheme="minorEastAsia"/>
                <w:color w:val="000000" w:themeColor="text1"/>
                <w:sz w:val="24"/>
              </w:rPr>
              <w:t>3</w:t>
            </w:r>
          </w:p>
        </w:tc>
        <w:tc>
          <w:tcPr>
            <w:tcW w:w="0" w:type="auto"/>
            <w:vAlign w:val="center"/>
          </w:tcPr>
          <w:p w:rsidR="008509A1" w:rsidRDefault="00BE7933">
            <w:pPr>
              <w:jc w:val="center"/>
            </w:pPr>
            <w:r>
              <w:rPr>
                <w:rFonts w:asciiTheme="minorEastAsia" w:eastAsiaTheme="minorEastAsia" w:hAnsiTheme="minorEastAsia"/>
                <w:color w:val="000000" w:themeColor="text1"/>
                <w:sz w:val="24"/>
              </w:rPr>
              <w:t>112113205</w:t>
            </w:r>
          </w:p>
        </w:tc>
        <w:tc>
          <w:tcPr>
            <w:tcW w:w="0" w:type="auto"/>
            <w:vAlign w:val="center"/>
          </w:tcPr>
          <w:p w:rsidR="008509A1" w:rsidRDefault="00BE7933">
            <w:pPr>
              <w:jc w:val="center"/>
            </w:pPr>
            <w:r>
              <w:rPr>
                <w:rFonts w:asciiTheme="minorEastAsia" w:eastAsiaTheme="minorEastAsia" w:hAnsiTheme="minorEastAsia"/>
                <w:color w:val="000000" w:themeColor="text1"/>
                <w:sz w:val="24"/>
              </w:rPr>
              <w:t>21浙商银行CD205</w:t>
            </w:r>
          </w:p>
        </w:tc>
        <w:tc>
          <w:tcPr>
            <w:tcW w:w="0" w:type="auto"/>
            <w:vAlign w:val="center"/>
          </w:tcPr>
          <w:p w:rsidR="008509A1" w:rsidRDefault="00BE7933">
            <w:pPr>
              <w:jc w:val="right"/>
            </w:pPr>
            <w:r>
              <w:rPr>
                <w:rFonts w:asciiTheme="minorEastAsia" w:eastAsiaTheme="minorEastAsia" w:hAnsiTheme="minorEastAsia"/>
                <w:color w:val="000000" w:themeColor="text1"/>
                <w:sz w:val="24"/>
              </w:rPr>
              <w:t>1,000,000.00</w:t>
            </w:r>
          </w:p>
        </w:tc>
        <w:tc>
          <w:tcPr>
            <w:tcW w:w="0" w:type="auto"/>
            <w:vAlign w:val="center"/>
          </w:tcPr>
          <w:p w:rsidR="008509A1" w:rsidRDefault="00BE7933">
            <w:pPr>
              <w:jc w:val="right"/>
            </w:pPr>
            <w:r>
              <w:rPr>
                <w:rFonts w:asciiTheme="minorEastAsia" w:eastAsiaTheme="minorEastAsia" w:hAnsiTheme="minorEastAsia"/>
                <w:color w:val="000000" w:themeColor="text1"/>
                <w:sz w:val="24"/>
              </w:rPr>
              <w:t>99,842,977.40</w:t>
            </w:r>
          </w:p>
        </w:tc>
        <w:tc>
          <w:tcPr>
            <w:tcW w:w="0" w:type="auto"/>
            <w:vAlign w:val="center"/>
          </w:tcPr>
          <w:p w:rsidR="008509A1" w:rsidRDefault="00BE7933">
            <w:pPr>
              <w:jc w:val="right"/>
            </w:pPr>
            <w:r>
              <w:rPr>
                <w:rFonts w:asciiTheme="minorEastAsia" w:eastAsiaTheme="minorEastAsia" w:hAnsiTheme="minorEastAsia"/>
                <w:color w:val="000000" w:themeColor="text1"/>
                <w:sz w:val="24"/>
              </w:rPr>
              <w:t>1.50</w:t>
            </w:r>
          </w:p>
        </w:tc>
      </w:tr>
      <w:tr w:rsidR="008509A1">
        <w:tc>
          <w:tcPr>
            <w:tcW w:w="0" w:type="auto"/>
            <w:vAlign w:val="center"/>
          </w:tcPr>
          <w:p w:rsidR="008509A1" w:rsidRDefault="00BE7933">
            <w:pPr>
              <w:jc w:val="center"/>
            </w:pPr>
            <w:r>
              <w:rPr>
                <w:rFonts w:asciiTheme="minorEastAsia" w:eastAsiaTheme="minorEastAsia" w:hAnsiTheme="minorEastAsia"/>
                <w:color w:val="000000" w:themeColor="text1"/>
                <w:sz w:val="24"/>
              </w:rPr>
              <w:t>4</w:t>
            </w:r>
          </w:p>
        </w:tc>
        <w:tc>
          <w:tcPr>
            <w:tcW w:w="0" w:type="auto"/>
            <w:vAlign w:val="center"/>
          </w:tcPr>
          <w:p w:rsidR="008509A1" w:rsidRDefault="00BE7933">
            <w:pPr>
              <w:jc w:val="center"/>
            </w:pPr>
            <w:r>
              <w:rPr>
                <w:rFonts w:asciiTheme="minorEastAsia" w:eastAsiaTheme="minorEastAsia" w:hAnsiTheme="minorEastAsia"/>
                <w:color w:val="000000" w:themeColor="text1"/>
                <w:sz w:val="24"/>
              </w:rPr>
              <w:t>112113213</w:t>
            </w:r>
          </w:p>
        </w:tc>
        <w:tc>
          <w:tcPr>
            <w:tcW w:w="0" w:type="auto"/>
            <w:vAlign w:val="center"/>
          </w:tcPr>
          <w:p w:rsidR="008509A1" w:rsidRDefault="00BE7933">
            <w:pPr>
              <w:jc w:val="center"/>
            </w:pPr>
            <w:r>
              <w:rPr>
                <w:rFonts w:asciiTheme="minorEastAsia" w:eastAsiaTheme="minorEastAsia" w:hAnsiTheme="minorEastAsia"/>
                <w:color w:val="000000" w:themeColor="text1"/>
                <w:sz w:val="24"/>
              </w:rPr>
              <w:t>21浙商银行CD213</w:t>
            </w:r>
          </w:p>
        </w:tc>
        <w:tc>
          <w:tcPr>
            <w:tcW w:w="0" w:type="auto"/>
            <w:vAlign w:val="center"/>
          </w:tcPr>
          <w:p w:rsidR="008509A1" w:rsidRDefault="00BE7933">
            <w:pPr>
              <w:jc w:val="right"/>
            </w:pPr>
            <w:r>
              <w:rPr>
                <w:rFonts w:asciiTheme="minorEastAsia" w:eastAsiaTheme="minorEastAsia" w:hAnsiTheme="minorEastAsia"/>
                <w:color w:val="000000" w:themeColor="text1"/>
                <w:sz w:val="24"/>
              </w:rPr>
              <w:t>1,000,000.00</w:t>
            </w:r>
          </w:p>
        </w:tc>
        <w:tc>
          <w:tcPr>
            <w:tcW w:w="0" w:type="auto"/>
            <w:vAlign w:val="center"/>
          </w:tcPr>
          <w:p w:rsidR="008509A1" w:rsidRDefault="00BE7933">
            <w:pPr>
              <w:jc w:val="right"/>
            </w:pPr>
            <w:r>
              <w:rPr>
                <w:rFonts w:asciiTheme="minorEastAsia" w:eastAsiaTheme="minorEastAsia" w:hAnsiTheme="minorEastAsia"/>
                <w:color w:val="000000" w:themeColor="text1"/>
                <w:sz w:val="24"/>
              </w:rPr>
              <w:t>99,815,796.46</w:t>
            </w:r>
          </w:p>
        </w:tc>
        <w:tc>
          <w:tcPr>
            <w:tcW w:w="0" w:type="auto"/>
            <w:vAlign w:val="center"/>
          </w:tcPr>
          <w:p w:rsidR="008509A1" w:rsidRDefault="00BE7933">
            <w:pPr>
              <w:jc w:val="right"/>
            </w:pPr>
            <w:r>
              <w:rPr>
                <w:rFonts w:asciiTheme="minorEastAsia" w:eastAsiaTheme="minorEastAsia" w:hAnsiTheme="minorEastAsia"/>
                <w:color w:val="000000" w:themeColor="text1"/>
                <w:sz w:val="24"/>
              </w:rPr>
              <w:t>1.50</w:t>
            </w:r>
          </w:p>
        </w:tc>
      </w:tr>
      <w:tr w:rsidR="008509A1">
        <w:tc>
          <w:tcPr>
            <w:tcW w:w="0" w:type="auto"/>
            <w:vAlign w:val="center"/>
          </w:tcPr>
          <w:p w:rsidR="008509A1" w:rsidRDefault="00BE7933">
            <w:pPr>
              <w:jc w:val="center"/>
            </w:pPr>
            <w:r>
              <w:rPr>
                <w:rFonts w:asciiTheme="minorEastAsia" w:eastAsiaTheme="minorEastAsia" w:hAnsiTheme="minorEastAsia"/>
                <w:color w:val="000000" w:themeColor="text1"/>
                <w:sz w:val="24"/>
              </w:rPr>
              <w:t>5</w:t>
            </w:r>
          </w:p>
        </w:tc>
        <w:tc>
          <w:tcPr>
            <w:tcW w:w="0" w:type="auto"/>
            <w:vAlign w:val="center"/>
          </w:tcPr>
          <w:p w:rsidR="008509A1" w:rsidRDefault="00BE7933">
            <w:pPr>
              <w:jc w:val="center"/>
            </w:pPr>
            <w:r>
              <w:rPr>
                <w:rFonts w:asciiTheme="minorEastAsia" w:eastAsiaTheme="minorEastAsia" w:hAnsiTheme="minorEastAsia"/>
                <w:color w:val="000000" w:themeColor="text1"/>
                <w:sz w:val="24"/>
              </w:rPr>
              <w:t>112121296</w:t>
            </w:r>
          </w:p>
        </w:tc>
        <w:tc>
          <w:tcPr>
            <w:tcW w:w="0" w:type="auto"/>
            <w:vAlign w:val="center"/>
          </w:tcPr>
          <w:p w:rsidR="008509A1" w:rsidRDefault="00BE7933">
            <w:pPr>
              <w:jc w:val="center"/>
            </w:pPr>
            <w:r>
              <w:rPr>
                <w:rFonts w:asciiTheme="minorEastAsia" w:eastAsiaTheme="minorEastAsia" w:hAnsiTheme="minorEastAsia"/>
                <w:color w:val="000000" w:themeColor="text1"/>
                <w:sz w:val="24"/>
              </w:rPr>
              <w:t>21渤海银行CD296</w:t>
            </w:r>
          </w:p>
        </w:tc>
        <w:tc>
          <w:tcPr>
            <w:tcW w:w="0" w:type="auto"/>
            <w:vAlign w:val="center"/>
          </w:tcPr>
          <w:p w:rsidR="008509A1" w:rsidRDefault="00BE7933">
            <w:pPr>
              <w:jc w:val="right"/>
            </w:pPr>
            <w:r>
              <w:rPr>
                <w:rFonts w:asciiTheme="minorEastAsia" w:eastAsiaTheme="minorEastAsia" w:hAnsiTheme="minorEastAsia"/>
                <w:color w:val="000000" w:themeColor="text1"/>
                <w:sz w:val="24"/>
              </w:rPr>
              <w:t>1,000,000.00</w:t>
            </w:r>
          </w:p>
        </w:tc>
        <w:tc>
          <w:tcPr>
            <w:tcW w:w="0" w:type="auto"/>
            <w:vAlign w:val="center"/>
          </w:tcPr>
          <w:p w:rsidR="008509A1" w:rsidRDefault="00BE7933">
            <w:pPr>
              <w:jc w:val="right"/>
            </w:pPr>
            <w:r>
              <w:rPr>
                <w:rFonts w:asciiTheme="minorEastAsia" w:eastAsiaTheme="minorEastAsia" w:hAnsiTheme="minorEastAsia"/>
                <w:color w:val="000000" w:themeColor="text1"/>
                <w:sz w:val="24"/>
              </w:rPr>
              <w:t>99,727,185.60</w:t>
            </w:r>
          </w:p>
        </w:tc>
        <w:tc>
          <w:tcPr>
            <w:tcW w:w="0" w:type="auto"/>
            <w:vAlign w:val="center"/>
          </w:tcPr>
          <w:p w:rsidR="008509A1" w:rsidRDefault="00BE7933">
            <w:pPr>
              <w:jc w:val="right"/>
            </w:pPr>
            <w:r>
              <w:rPr>
                <w:rFonts w:asciiTheme="minorEastAsia" w:eastAsiaTheme="minorEastAsia" w:hAnsiTheme="minorEastAsia"/>
                <w:color w:val="000000" w:themeColor="text1"/>
                <w:sz w:val="24"/>
              </w:rPr>
              <w:t>1.50</w:t>
            </w:r>
          </w:p>
        </w:tc>
      </w:tr>
      <w:tr w:rsidR="008509A1">
        <w:tc>
          <w:tcPr>
            <w:tcW w:w="0" w:type="auto"/>
            <w:vAlign w:val="center"/>
          </w:tcPr>
          <w:p w:rsidR="008509A1" w:rsidRDefault="00BE7933">
            <w:pPr>
              <w:jc w:val="center"/>
            </w:pPr>
            <w:r>
              <w:rPr>
                <w:rFonts w:asciiTheme="minorEastAsia" w:eastAsiaTheme="minorEastAsia" w:hAnsiTheme="minorEastAsia"/>
                <w:color w:val="000000" w:themeColor="text1"/>
                <w:sz w:val="24"/>
              </w:rPr>
              <w:t>6</w:t>
            </w:r>
          </w:p>
        </w:tc>
        <w:tc>
          <w:tcPr>
            <w:tcW w:w="0" w:type="auto"/>
            <w:vAlign w:val="center"/>
          </w:tcPr>
          <w:p w:rsidR="008509A1" w:rsidRDefault="00BE7933">
            <w:pPr>
              <w:jc w:val="center"/>
            </w:pPr>
            <w:r>
              <w:rPr>
                <w:rFonts w:asciiTheme="minorEastAsia" w:eastAsiaTheme="minorEastAsia" w:hAnsiTheme="minorEastAsia"/>
                <w:color w:val="000000" w:themeColor="text1"/>
                <w:sz w:val="24"/>
              </w:rPr>
              <w:t>112121421</w:t>
            </w:r>
          </w:p>
        </w:tc>
        <w:tc>
          <w:tcPr>
            <w:tcW w:w="0" w:type="auto"/>
            <w:vAlign w:val="center"/>
          </w:tcPr>
          <w:p w:rsidR="008509A1" w:rsidRDefault="00BE7933">
            <w:pPr>
              <w:jc w:val="center"/>
            </w:pPr>
            <w:r>
              <w:rPr>
                <w:rFonts w:asciiTheme="minorEastAsia" w:eastAsiaTheme="minorEastAsia" w:hAnsiTheme="minorEastAsia"/>
                <w:color w:val="000000" w:themeColor="text1"/>
                <w:sz w:val="24"/>
              </w:rPr>
              <w:t>21渤海银行CD421</w:t>
            </w:r>
          </w:p>
        </w:tc>
        <w:tc>
          <w:tcPr>
            <w:tcW w:w="0" w:type="auto"/>
            <w:vAlign w:val="center"/>
          </w:tcPr>
          <w:p w:rsidR="008509A1" w:rsidRDefault="00BE7933">
            <w:pPr>
              <w:jc w:val="right"/>
            </w:pPr>
            <w:r>
              <w:rPr>
                <w:rFonts w:asciiTheme="minorEastAsia" w:eastAsiaTheme="minorEastAsia" w:hAnsiTheme="minorEastAsia"/>
                <w:color w:val="000000" w:themeColor="text1"/>
                <w:sz w:val="24"/>
              </w:rPr>
              <w:t>1,000,000.00</w:t>
            </w:r>
          </w:p>
        </w:tc>
        <w:tc>
          <w:tcPr>
            <w:tcW w:w="0" w:type="auto"/>
            <w:vAlign w:val="center"/>
          </w:tcPr>
          <w:p w:rsidR="008509A1" w:rsidRDefault="00BE7933">
            <w:pPr>
              <w:jc w:val="right"/>
            </w:pPr>
            <w:r>
              <w:rPr>
                <w:rFonts w:asciiTheme="minorEastAsia" w:eastAsiaTheme="minorEastAsia" w:hAnsiTheme="minorEastAsia"/>
                <w:color w:val="000000" w:themeColor="text1"/>
                <w:sz w:val="24"/>
              </w:rPr>
              <w:t>99,712,971.06</w:t>
            </w:r>
          </w:p>
        </w:tc>
        <w:tc>
          <w:tcPr>
            <w:tcW w:w="0" w:type="auto"/>
            <w:vAlign w:val="center"/>
          </w:tcPr>
          <w:p w:rsidR="008509A1" w:rsidRDefault="00BE7933">
            <w:pPr>
              <w:jc w:val="right"/>
            </w:pPr>
            <w:r>
              <w:rPr>
                <w:rFonts w:asciiTheme="minorEastAsia" w:eastAsiaTheme="minorEastAsia" w:hAnsiTheme="minorEastAsia"/>
                <w:color w:val="000000" w:themeColor="text1"/>
                <w:sz w:val="24"/>
              </w:rPr>
              <w:t>1.50</w:t>
            </w:r>
          </w:p>
        </w:tc>
      </w:tr>
      <w:tr w:rsidR="008509A1">
        <w:tc>
          <w:tcPr>
            <w:tcW w:w="0" w:type="auto"/>
            <w:vAlign w:val="center"/>
          </w:tcPr>
          <w:p w:rsidR="008509A1" w:rsidRDefault="00BE7933">
            <w:pPr>
              <w:jc w:val="center"/>
            </w:pPr>
            <w:r>
              <w:rPr>
                <w:rFonts w:asciiTheme="minorEastAsia" w:eastAsiaTheme="minorEastAsia" w:hAnsiTheme="minorEastAsia"/>
                <w:color w:val="000000" w:themeColor="text1"/>
                <w:sz w:val="24"/>
              </w:rPr>
              <w:t>7</w:t>
            </w:r>
          </w:p>
        </w:tc>
        <w:tc>
          <w:tcPr>
            <w:tcW w:w="0" w:type="auto"/>
            <w:vAlign w:val="center"/>
          </w:tcPr>
          <w:p w:rsidR="008509A1" w:rsidRDefault="00BE7933">
            <w:pPr>
              <w:jc w:val="center"/>
            </w:pPr>
            <w:r>
              <w:rPr>
                <w:rFonts w:asciiTheme="minorEastAsia" w:eastAsiaTheme="minorEastAsia" w:hAnsiTheme="minorEastAsia"/>
                <w:color w:val="000000" w:themeColor="text1"/>
                <w:sz w:val="24"/>
              </w:rPr>
              <w:t>112121298</w:t>
            </w:r>
          </w:p>
        </w:tc>
        <w:tc>
          <w:tcPr>
            <w:tcW w:w="0" w:type="auto"/>
            <w:vAlign w:val="center"/>
          </w:tcPr>
          <w:p w:rsidR="008509A1" w:rsidRDefault="00BE7933">
            <w:pPr>
              <w:jc w:val="center"/>
            </w:pPr>
            <w:r>
              <w:rPr>
                <w:rFonts w:asciiTheme="minorEastAsia" w:eastAsiaTheme="minorEastAsia" w:hAnsiTheme="minorEastAsia"/>
                <w:color w:val="000000" w:themeColor="text1"/>
                <w:sz w:val="24"/>
              </w:rPr>
              <w:t>21渤海银行CD298</w:t>
            </w:r>
          </w:p>
        </w:tc>
        <w:tc>
          <w:tcPr>
            <w:tcW w:w="0" w:type="auto"/>
            <w:vAlign w:val="center"/>
          </w:tcPr>
          <w:p w:rsidR="008509A1" w:rsidRDefault="00BE7933">
            <w:pPr>
              <w:jc w:val="right"/>
            </w:pPr>
            <w:r>
              <w:rPr>
                <w:rFonts w:asciiTheme="minorEastAsia" w:eastAsiaTheme="minorEastAsia" w:hAnsiTheme="minorEastAsia"/>
                <w:color w:val="000000" w:themeColor="text1"/>
                <w:sz w:val="24"/>
              </w:rPr>
              <w:t>1,000,000.00</w:t>
            </w:r>
          </w:p>
        </w:tc>
        <w:tc>
          <w:tcPr>
            <w:tcW w:w="0" w:type="auto"/>
            <w:vAlign w:val="center"/>
          </w:tcPr>
          <w:p w:rsidR="008509A1" w:rsidRDefault="00BE7933">
            <w:pPr>
              <w:jc w:val="right"/>
            </w:pPr>
            <w:r>
              <w:rPr>
                <w:rFonts w:asciiTheme="minorEastAsia" w:eastAsiaTheme="minorEastAsia" w:hAnsiTheme="minorEastAsia"/>
                <w:color w:val="000000" w:themeColor="text1"/>
                <w:sz w:val="24"/>
              </w:rPr>
              <w:t>99,705,679.34</w:t>
            </w:r>
          </w:p>
        </w:tc>
        <w:tc>
          <w:tcPr>
            <w:tcW w:w="0" w:type="auto"/>
            <w:vAlign w:val="center"/>
          </w:tcPr>
          <w:p w:rsidR="008509A1" w:rsidRDefault="00BE7933">
            <w:pPr>
              <w:jc w:val="right"/>
            </w:pPr>
            <w:r>
              <w:rPr>
                <w:rFonts w:asciiTheme="minorEastAsia" w:eastAsiaTheme="minorEastAsia" w:hAnsiTheme="minorEastAsia"/>
                <w:color w:val="000000" w:themeColor="text1"/>
                <w:sz w:val="24"/>
              </w:rPr>
              <w:t>1.50</w:t>
            </w:r>
          </w:p>
        </w:tc>
      </w:tr>
      <w:tr w:rsidR="008509A1">
        <w:tc>
          <w:tcPr>
            <w:tcW w:w="0" w:type="auto"/>
            <w:vAlign w:val="center"/>
          </w:tcPr>
          <w:p w:rsidR="008509A1" w:rsidRDefault="00BE7933">
            <w:pPr>
              <w:jc w:val="center"/>
            </w:pPr>
            <w:r>
              <w:rPr>
                <w:rFonts w:asciiTheme="minorEastAsia" w:eastAsiaTheme="minorEastAsia" w:hAnsiTheme="minorEastAsia"/>
                <w:color w:val="000000" w:themeColor="text1"/>
                <w:sz w:val="24"/>
              </w:rPr>
              <w:t>8</w:t>
            </w:r>
          </w:p>
        </w:tc>
        <w:tc>
          <w:tcPr>
            <w:tcW w:w="0" w:type="auto"/>
            <w:vAlign w:val="center"/>
          </w:tcPr>
          <w:p w:rsidR="008509A1" w:rsidRDefault="00BE7933">
            <w:pPr>
              <w:jc w:val="center"/>
            </w:pPr>
            <w:r>
              <w:rPr>
                <w:rFonts w:asciiTheme="minorEastAsia" w:eastAsiaTheme="minorEastAsia" w:hAnsiTheme="minorEastAsia"/>
                <w:color w:val="000000" w:themeColor="text1"/>
                <w:sz w:val="24"/>
              </w:rPr>
              <w:t>112121447</w:t>
            </w:r>
          </w:p>
        </w:tc>
        <w:tc>
          <w:tcPr>
            <w:tcW w:w="0" w:type="auto"/>
            <w:vAlign w:val="center"/>
          </w:tcPr>
          <w:p w:rsidR="008509A1" w:rsidRDefault="00BE7933">
            <w:pPr>
              <w:jc w:val="center"/>
            </w:pPr>
            <w:r>
              <w:rPr>
                <w:rFonts w:asciiTheme="minorEastAsia" w:eastAsiaTheme="minorEastAsia" w:hAnsiTheme="minorEastAsia"/>
                <w:color w:val="000000" w:themeColor="text1"/>
                <w:sz w:val="24"/>
              </w:rPr>
              <w:t>21渤海银行CD447</w:t>
            </w:r>
          </w:p>
        </w:tc>
        <w:tc>
          <w:tcPr>
            <w:tcW w:w="0" w:type="auto"/>
            <w:vAlign w:val="center"/>
          </w:tcPr>
          <w:p w:rsidR="008509A1" w:rsidRDefault="00BE7933">
            <w:pPr>
              <w:jc w:val="right"/>
            </w:pPr>
            <w:r>
              <w:rPr>
                <w:rFonts w:asciiTheme="minorEastAsia" w:eastAsiaTheme="minorEastAsia" w:hAnsiTheme="minorEastAsia"/>
                <w:color w:val="000000" w:themeColor="text1"/>
                <w:sz w:val="24"/>
              </w:rPr>
              <w:t>1,000,000.00</w:t>
            </w:r>
          </w:p>
        </w:tc>
        <w:tc>
          <w:tcPr>
            <w:tcW w:w="0" w:type="auto"/>
            <w:vAlign w:val="center"/>
          </w:tcPr>
          <w:p w:rsidR="008509A1" w:rsidRDefault="00BE7933">
            <w:pPr>
              <w:jc w:val="right"/>
            </w:pPr>
            <w:r>
              <w:rPr>
                <w:rFonts w:asciiTheme="minorEastAsia" w:eastAsiaTheme="minorEastAsia" w:hAnsiTheme="minorEastAsia"/>
                <w:color w:val="000000" w:themeColor="text1"/>
                <w:sz w:val="24"/>
              </w:rPr>
              <w:t>99,564,292.17</w:t>
            </w:r>
          </w:p>
        </w:tc>
        <w:tc>
          <w:tcPr>
            <w:tcW w:w="0" w:type="auto"/>
            <w:vAlign w:val="center"/>
          </w:tcPr>
          <w:p w:rsidR="008509A1" w:rsidRDefault="00BE7933">
            <w:pPr>
              <w:jc w:val="right"/>
            </w:pPr>
            <w:r>
              <w:rPr>
                <w:rFonts w:asciiTheme="minorEastAsia" w:eastAsiaTheme="minorEastAsia" w:hAnsiTheme="minorEastAsia"/>
                <w:color w:val="000000" w:themeColor="text1"/>
                <w:sz w:val="24"/>
              </w:rPr>
              <w:t>1.50</w:t>
            </w:r>
          </w:p>
        </w:tc>
      </w:tr>
      <w:tr w:rsidR="008509A1">
        <w:tc>
          <w:tcPr>
            <w:tcW w:w="0" w:type="auto"/>
            <w:vAlign w:val="center"/>
          </w:tcPr>
          <w:p w:rsidR="008509A1" w:rsidRDefault="00BE7933">
            <w:pPr>
              <w:jc w:val="center"/>
            </w:pPr>
            <w:r>
              <w:rPr>
                <w:rFonts w:asciiTheme="minorEastAsia" w:eastAsiaTheme="minorEastAsia" w:hAnsiTheme="minorEastAsia"/>
                <w:color w:val="000000" w:themeColor="text1"/>
                <w:sz w:val="24"/>
              </w:rPr>
              <w:t>9</w:t>
            </w:r>
          </w:p>
        </w:tc>
        <w:tc>
          <w:tcPr>
            <w:tcW w:w="0" w:type="auto"/>
            <w:vAlign w:val="center"/>
          </w:tcPr>
          <w:p w:rsidR="008509A1" w:rsidRDefault="00BE7933">
            <w:pPr>
              <w:jc w:val="center"/>
            </w:pPr>
            <w:r>
              <w:rPr>
                <w:rFonts w:asciiTheme="minorEastAsia" w:eastAsiaTheme="minorEastAsia" w:hAnsiTheme="minorEastAsia"/>
                <w:color w:val="000000" w:themeColor="text1"/>
                <w:sz w:val="24"/>
              </w:rPr>
              <w:t>112121496</w:t>
            </w:r>
          </w:p>
        </w:tc>
        <w:tc>
          <w:tcPr>
            <w:tcW w:w="0" w:type="auto"/>
            <w:vAlign w:val="center"/>
          </w:tcPr>
          <w:p w:rsidR="008509A1" w:rsidRDefault="00BE7933">
            <w:pPr>
              <w:jc w:val="center"/>
            </w:pPr>
            <w:r>
              <w:rPr>
                <w:rFonts w:asciiTheme="minorEastAsia" w:eastAsiaTheme="minorEastAsia" w:hAnsiTheme="minorEastAsia"/>
                <w:color w:val="000000" w:themeColor="text1"/>
                <w:sz w:val="24"/>
              </w:rPr>
              <w:t>21渤海银行CD496</w:t>
            </w:r>
          </w:p>
        </w:tc>
        <w:tc>
          <w:tcPr>
            <w:tcW w:w="0" w:type="auto"/>
            <w:vAlign w:val="center"/>
          </w:tcPr>
          <w:p w:rsidR="008509A1" w:rsidRDefault="00BE7933">
            <w:pPr>
              <w:jc w:val="right"/>
            </w:pPr>
            <w:r>
              <w:rPr>
                <w:rFonts w:asciiTheme="minorEastAsia" w:eastAsiaTheme="minorEastAsia" w:hAnsiTheme="minorEastAsia"/>
                <w:color w:val="000000" w:themeColor="text1"/>
                <w:sz w:val="24"/>
              </w:rPr>
              <w:t>1,000,000.00</w:t>
            </w:r>
          </w:p>
        </w:tc>
        <w:tc>
          <w:tcPr>
            <w:tcW w:w="0" w:type="auto"/>
            <w:vAlign w:val="center"/>
          </w:tcPr>
          <w:p w:rsidR="008509A1" w:rsidRDefault="00BE7933">
            <w:pPr>
              <w:jc w:val="right"/>
            </w:pPr>
            <w:r>
              <w:rPr>
                <w:rFonts w:asciiTheme="minorEastAsia" w:eastAsiaTheme="minorEastAsia" w:hAnsiTheme="minorEastAsia"/>
                <w:color w:val="000000" w:themeColor="text1"/>
                <w:sz w:val="24"/>
              </w:rPr>
              <w:t>99,341,989.56</w:t>
            </w:r>
          </w:p>
        </w:tc>
        <w:tc>
          <w:tcPr>
            <w:tcW w:w="0" w:type="auto"/>
            <w:vAlign w:val="center"/>
          </w:tcPr>
          <w:p w:rsidR="008509A1" w:rsidRDefault="00BE7933">
            <w:pPr>
              <w:jc w:val="right"/>
            </w:pPr>
            <w:r>
              <w:rPr>
                <w:rFonts w:asciiTheme="minorEastAsia" w:eastAsiaTheme="minorEastAsia" w:hAnsiTheme="minorEastAsia"/>
                <w:color w:val="000000" w:themeColor="text1"/>
                <w:sz w:val="24"/>
              </w:rPr>
              <w:t>1.50</w:t>
            </w:r>
          </w:p>
        </w:tc>
      </w:tr>
      <w:tr w:rsidR="008509A1">
        <w:tc>
          <w:tcPr>
            <w:tcW w:w="0" w:type="auto"/>
            <w:vAlign w:val="center"/>
          </w:tcPr>
          <w:p w:rsidR="008509A1" w:rsidRDefault="00BE7933">
            <w:pPr>
              <w:jc w:val="center"/>
            </w:pPr>
            <w:r>
              <w:rPr>
                <w:rFonts w:asciiTheme="minorEastAsia" w:eastAsiaTheme="minorEastAsia" w:hAnsiTheme="minorEastAsia"/>
                <w:color w:val="000000" w:themeColor="text1"/>
                <w:sz w:val="24"/>
              </w:rPr>
              <w:t>10</w:t>
            </w:r>
          </w:p>
        </w:tc>
        <w:tc>
          <w:tcPr>
            <w:tcW w:w="0" w:type="auto"/>
            <w:vAlign w:val="center"/>
          </w:tcPr>
          <w:p w:rsidR="008509A1" w:rsidRDefault="00BE7933">
            <w:pPr>
              <w:jc w:val="center"/>
            </w:pPr>
            <w:r>
              <w:rPr>
                <w:rFonts w:asciiTheme="minorEastAsia" w:eastAsiaTheme="minorEastAsia" w:hAnsiTheme="minorEastAsia"/>
                <w:color w:val="000000" w:themeColor="text1"/>
                <w:sz w:val="24"/>
              </w:rPr>
              <w:t>112110266</w:t>
            </w:r>
          </w:p>
        </w:tc>
        <w:tc>
          <w:tcPr>
            <w:tcW w:w="0" w:type="auto"/>
            <w:vAlign w:val="center"/>
          </w:tcPr>
          <w:p w:rsidR="008509A1" w:rsidRDefault="00BE7933">
            <w:pPr>
              <w:jc w:val="center"/>
            </w:pPr>
            <w:r>
              <w:rPr>
                <w:rFonts w:asciiTheme="minorEastAsia" w:eastAsiaTheme="minorEastAsia" w:hAnsiTheme="minorEastAsia"/>
                <w:color w:val="000000" w:themeColor="text1"/>
                <w:sz w:val="24"/>
              </w:rPr>
              <w:t>21兴业银行CD266</w:t>
            </w:r>
          </w:p>
        </w:tc>
        <w:tc>
          <w:tcPr>
            <w:tcW w:w="0" w:type="auto"/>
            <w:vAlign w:val="center"/>
          </w:tcPr>
          <w:p w:rsidR="008509A1" w:rsidRDefault="00BE7933">
            <w:pPr>
              <w:jc w:val="right"/>
            </w:pPr>
            <w:r>
              <w:rPr>
                <w:rFonts w:asciiTheme="minorEastAsia" w:eastAsiaTheme="minorEastAsia" w:hAnsiTheme="minorEastAsia"/>
                <w:color w:val="000000" w:themeColor="text1"/>
                <w:sz w:val="24"/>
              </w:rPr>
              <w:t>1,000,000.00</w:t>
            </w:r>
          </w:p>
        </w:tc>
        <w:tc>
          <w:tcPr>
            <w:tcW w:w="0" w:type="auto"/>
            <w:vAlign w:val="center"/>
          </w:tcPr>
          <w:p w:rsidR="008509A1" w:rsidRDefault="00BE7933">
            <w:pPr>
              <w:jc w:val="right"/>
            </w:pPr>
            <w:r>
              <w:rPr>
                <w:rFonts w:asciiTheme="minorEastAsia" w:eastAsiaTheme="minorEastAsia" w:hAnsiTheme="minorEastAsia"/>
                <w:color w:val="000000" w:themeColor="text1"/>
                <w:sz w:val="24"/>
              </w:rPr>
              <w:t>99,294,750.24</w:t>
            </w:r>
          </w:p>
        </w:tc>
        <w:tc>
          <w:tcPr>
            <w:tcW w:w="0" w:type="auto"/>
            <w:vAlign w:val="center"/>
          </w:tcPr>
          <w:p w:rsidR="008509A1" w:rsidRDefault="00BE7933">
            <w:pPr>
              <w:jc w:val="right"/>
            </w:pPr>
            <w:r>
              <w:rPr>
                <w:rFonts w:asciiTheme="minorEastAsia" w:eastAsiaTheme="minorEastAsia" w:hAnsiTheme="minorEastAsia"/>
                <w:color w:val="000000" w:themeColor="text1"/>
                <w:sz w:val="24"/>
              </w:rPr>
              <w:t>1.49</w:t>
            </w:r>
          </w:p>
        </w:tc>
      </w:tr>
    </w:tbl>
    <w:p w:rsidR="006B4FD5" w:rsidRPr="003025FA" w:rsidRDefault="006B4FD5" w:rsidP="006B4FD5">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7</w:t>
      </w:r>
      <w:r w:rsidRPr="003025FA">
        <w:rPr>
          <w:rFonts w:asciiTheme="minorEastAsia" w:eastAsiaTheme="minorEastAsia" w:hAnsiTheme="minorEastAsia" w:cs="Arial" w:hint="eastAsia"/>
          <w:b/>
          <w:color w:val="000000" w:themeColor="text1"/>
          <w:kern w:val="0"/>
          <w:sz w:val="24"/>
        </w:rPr>
        <w:t>“影子定价”与“摊余成本法”确定的基金资产净值的偏离</w:t>
      </w:r>
    </w:p>
    <w:tbl>
      <w:tblPr>
        <w:tblW w:w="0" w:type="auto"/>
        <w:tblInd w:w="108" w:type="dxa"/>
        <w:tblLayout w:type="fixed"/>
        <w:tblLook w:val="0000" w:firstRow="0" w:lastRow="0" w:firstColumn="0" w:lastColumn="0" w:noHBand="0" w:noVBand="0"/>
      </w:tblPr>
      <w:tblGrid>
        <w:gridCol w:w="5670"/>
        <w:gridCol w:w="3524"/>
      </w:tblGrid>
      <w:tr w:rsidR="006B4FD5"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项目</w:t>
            </w:r>
          </w:p>
        </w:tc>
        <w:tc>
          <w:tcPr>
            <w:tcW w:w="3524"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偏离情况</w:t>
            </w:r>
          </w:p>
        </w:tc>
      </w:tr>
      <w:tr w:rsidR="006B4FD5"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报告期内偏离度的绝对值在</w:t>
            </w:r>
            <w:r w:rsidRPr="003025FA">
              <w:rPr>
                <w:rFonts w:asciiTheme="minorEastAsia" w:eastAsiaTheme="minorEastAsia" w:hAnsiTheme="minorEastAsia" w:cs="Arial"/>
                <w:color w:val="000000" w:themeColor="text1"/>
                <w:kern w:val="0"/>
                <w:sz w:val="24"/>
              </w:rPr>
              <w:t>0.25(</w:t>
            </w:r>
            <w:r w:rsidRPr="003025FA">
              <w:rPr>
                <w:rFonts w:asciiTheme="minorEastAsia" w:eastAsiaTheme="minorEastAsia" w:hAnsiTheme="minorEastAsia" w:cs="Arial" w:hint="eastAsia"/>
                <w:color w:val="000000" w:themeColor="text1"/>
                <w:kern w:val="0"/>
                <w:sz w:val="24"/>
              </w:rPr>
              <w:t>含</w:t>
            </w:r>
            <w:r w:rsidRPr="003025FA">
              <w:rPr>
                <w:rFonts w:asciiTheme="minorEastAsia" w:eastAsiaTheme="minorEastAsia" w:hAnsiTheme="minorEastAsia" w:cs="Arial"/>
                <w:color w:val="000000" w:themeColor="text1"/>
                <w:kern w:val="0"/>
                <w:sz w:val="24"/>
              </w:rPr>
              <w:t>)-0.5%</w:t>
            </w:r>
            <w:r w:rsidRPr="003025FA">
              <w:rPr>
                <w:rFonts w:asciiTheme="minorEastAsia" w:eastAsiaTheme="minorEastAsia" w:hAnsiTheme="minorEastAsia" w:cs="Arial" w:hint="eastAsia"/>
                <w:color w:val="000000" w:themeColor="text1"/>
                <w:kern w:val="0"/>
                <w:sz w:val="24"/>
              </w:rPr>
              <w:t>间的次数</w:t>
            </w:r>
          </w:p>
        </w:tc>
        <w:tc>
          <w:tcPr>
            <w:tcW w:w="3524" w:type="dxa"/>
            <w:tcBorders>
              <w:top w:val="single" w:sz="8" w:space="0" w:color="000000"/>
              <w:left w:val="single" w:sz="8" w:space="0" w:color="000000"/>
              <w:bottom w:val="single" w:sz="8" w:space="0" w:color="000000"/>
              <w:right w:val="single" w:sz="8" w:space="0" w:color="000000"/>
            </w:tcBorders>
            <w:vAlign w:val="bottom"/>
          </w:tcPr>
          <w:p w:rsidR="006B4FD5" w:rsidRPr="003025FA" w:rsidRDefault="006B4FD5"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w:t>
            </w:r>
            <w:r w:rsidRPr="003025FA">
              <w:rPr>
                <w:rFonts w:asciiTheme="minorEastAsia" w:eastAsiaTheme="minorEastAsia" w:hAnsiTheme="minorEastAsia" w:hint="eastAsia"/>
                <w:color w:val="000000" w:themeColor="text1"/>
                <w:sz w:val="24"/>
              </w:rPr>
              <w:t>次</w:t>
            </w:r>
          </w:p>
        </w:tc>
      </w:tr>
      <w:tr w:rsidR="006B4FD5"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报告期内偏离度的最高值</w:t>
            </w:r>
          </w:p>
        </w:tc>
        <w:tc>
          <w:tcPr>
            <w:tcW w:w="3524" w:type="dxa"/>
            <w:tcBorders>
              <w:top w:val="single" w:sz="8" w:space="0" w:color="000000"/>
              <w:left w:val="single" w:sz="8" w:space="0" w:color="000000"/>
              <w:bottom w:val="single" w:sz="8" w:space="0" w:color="000000"/>
              <w:right w:val="single" w:sz="8" w:space="0" w:color="000000"/>
            </w:tcBorders>
            <w:vAlign w:val="bottom"/>
          </w:tcPr>
          <w:p w:rsidR="006B4FD5" w:rsidRPr="003025FA" w:rsidRDefault="006B4FD5"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0.0456%</w:t>
            </w:r>
          </w:p>
        </w:tc>
      </w:tr>
      <w:tr w:rsidR="006B4FD5"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报告期内偏离度的最低值</w:t>
            </w:r>
          </w:p>
        </w:tc>
        <w:tc>
          <w:tcPr>
            <w:tcW w:w="3524" w:type="dxa"/>
            <w:tcBorders>
              <w:top w:val="single" w:sz="8" w:space="0" w:color="000000"/>
              <w:left w:val="single" w:sz="8" w:space="0" w:color="000000"/>
              <w:bottom w:val="single" w:sz="8" w:space="0" w:color="000000"/>
              <w:right w:val="single" w:sz="8" w:space="0" w:color="000000"/>
            </w:tcBorders>
            <w:vAlign w:val="bottom"/>
          </w:tcPr>
          <w:p w:rsidR="006B4FD5" w:rsidRPr="003025FA" w:rsidRDefault="006B4FD5"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0.0134%</w:t>
            </w:r>
          </w:p>
        </w:tc>
      </w:tr>
      <w:tr w:rsidR="006B4FD5"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报告期内每个</w:t>
            </w:r>
            <w:r w:rsidRPr="003025FA">
              <w:rPr>
                <w:rFonts w:ascii="宋体" w:hAnsi="宋体" w:hint="eastAsia"/>
                <w:color w:val="000000" w:themeColor="text1"/>
                <w:sz w:val="24"/>
              </w:rPr>
              <w:t>工作日</w:t>
            </w:r>
            <w:r w:rsidRPr="003025FA">
              <w:rPr>
                <w:rFonts w:asciiTheme="minorEastAsia" w:eastAsiaTheme="minorEastAsia" w:hAnsiTheme="minorEastAsia" w:cs="Arial" w:hint="eastAsia"/>
                <w:color w:val="000000" w:themeColor="text1"/>
                <w:kern w:val="0"/>
                <w:sz w:val="24"/>
              </w:rPr>
              <w:t>偏离度的绝对值的简单平均值</w:t>
            </w:r>
          </w:p>
        </w:tc>
        <w:tc>
          <w:tcPr>
            <w:tcW w:w="3524" w:type="dxa"/>
            <w:tcBorders>
              <w:top w:val="single" w:sz="8" w:space="0" w:color="000000"/>
              <w:left w:val="single" w:sz="8" w:space="0" w:color="000000"/>
              <w:bottom w:val="single" w:sz="8" w:space="0" w:color="000000"/>
              <w:right w:val="single" w:sz="8" w:space="0" w:color="000000"/>
            </w:tcBorders>
            <w:vAlign w:val="bottom"/>
          </w:tcPr>
          <w:p w:rsidR="006B4FD5" w:rsidRPr="003025FA" w:rsidRDefault="006B4FD5"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0.0293%</w:t>
            </w:r>
          </w:p>
        </w:tc>
      </w:tr>
    </w:tbl>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Pr>
          <w:rFonts w:ascii="宋体" w:hAnsi="宋体" w:hint="eastAsia"/>
          <w:b/>
          <w:color w:val="000000"/>
          <w:sz w:val="24"/>
        </w:rPr>
        <w:t>报告期内负偏离度的绝对值达到0.25%情况说明</w:t>
      </w:r>
    </w:p>
    <w:p w:rsidR="006B4FD5" w:rsidRDefault="006B4FD5" w:rsidP="006B4FD5">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本报告期未发生负偏离度的绝对值达到0.25%的情况。</w:t>
      </w:r>
    </w:p>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Pr>
          <w:rFonts w:ascii="宋体" w:hAnsi="宋体" w:hint="eastAsia"/>
          <w:b/>
          <w:color w:val="000000"/>
          <w:sz w:val="24"/>
        </w:rPr>
        <w:t>报告期内正偏离度的绝对值达到0.5%情况说明</w:t>
      </w:r>
    </w:p>
    <w:p w:rsidR="006B4FD5" w:rsidRPr="003025FA" w:rsidRDefault="006B4FD5" w:rsidP="006B4FD5">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本报告期未发生正偏离度的绝对值达到0.5%的情况。</w:t>
      </w:r>
    </w:p>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8</w:t>
      </w:r>
      <w:r w:rsidRPr="003025FA">
        <w:rPr>
          <w:rFonts w:asciiTheme="minorEastAsia" w:eastAsiaTheme="minorEastAsia" w:hAnsiTheme="minorEastAsia" w:cs="Arial" w:hint="eastAsia"/>
          <w:b/>
          <w:color w:val="000000" w:themeColor="text1"/>
          <w:kern w:val="0"/>
          <w:sz w:val="24"/>
        </w:rPr>
        <w:t>报告期末按</w:t>
      </w:r>
      <w:r w:rsidR="008011BF">
        <w:rPr>
          <w:rFonts w:asciiTheme="minorEastAsia" w:eastAsiaTheme="minorEastAsia" w:hAnsiTheme="minorEastAsia" w:cs="Arial" w:hint="eastAsia"/>
          <w:b/>
          <w:color w:val="000000" w:themeColor="text1"/>
          <w:kern w:val="0"/>
          <w:sz w:val="24"/>
        </w:rPr>
        <w:t>摊余成本</w:t>
      </w:r>
      <w:r w:rsidRPr="003025FA">
        <w:rPr>
          <w:rFonts w:asciiTheme="minorEastAsia" w:eastAsiaTheme="minorEastAsia" w:hAnsiTheme="minorEastAsia" w:cs="Arial" w:hint="eastAsia"/>
          <w:b/>
          <w:color w:val="000000" w:themeColor="text1"/>
          <w:kern w:val="0"/>
          <w:sz w:val="24"/>
        </w:rPr>
        <w:t>占基金资产净值比例大小排名的前十名资产支持证券投资明细</w:t>
      </w:r>
    </w:p>
    <w:p w:rsidR="006B4FD5" w:rsidRPr="003025FA" w:rsidRDefault="006B4FD5" w:rsidP="006B4FD5">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本基金本报告期末未持有资产支持证券。</w:t>
      </w:r>
    </w:p>
    <w:p w:rsidR="006B4FD5" w:rsidRPr="003025FA" w:rsidRDefault="006B4FD5" w:rsidP="006B4FD5">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hint="eastAsia"/>
          <w:b/>
          <w:color w:val="000000" w:themeColor="text1"/>
          <w:kern w:val="0"/>
          <w:sz w:val="24"/>
        </w:rPr>
        <w:t>5</w:t>
      </w:r>
      <w:r w:rsidRPr="003025FA">
        <w:rPr>
          <w:rFonts w:asciiTheme="minorEastAsia" w:eastAsiaTheme="minorEastAsia" w:hAnsiTheme="minorEastAsia" w:cs="Arial"/>
          <w:b/>
          <w:color w:val="000000" w:themeColor="text1"/>
          <w:kern w:val="0"/>
          <w:sz w:val="24"/>
        </w:rPr>
        <w:t>.</w:t>
      </w:r>
      <w:r w:rsidRPr="003025FA">
        <w:rPr>
          <w:rFonts w:asciiTheme="minorEastAsia" w:eastAsiaTheme="minorEastAsia" w:hAnsiTheme="minorEastAsia" w:cs="Arial" w:hint="eastAsia"/>
          <w:b/>
          <w:color w:val="000000" w:themeColor="text1"/>
          <w:kern w:val="0"/>
          <w:sz w:val="24"/>
        </w:rPr>
        <w:t>9</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投资组合报告附注</w:t>
      </w:r>
    </w:p>
    <w:p w:rsidR="006B4FD5" w:rsidRPr="003025FA" w:rsidRDefault="006B4FD5" w:rsidP="006B4FD5">
      <w:pPr>
        <w:spacing w:line="360" w:lineRule="auto"/>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5</w:t>
      </w:r>
      <w:r w:rsidRPr="003025FA">
        <w:rPr>
          <w:rFonts w:asciiTheme="minorEastAsia" w:eastAsiaTheme="minorEastAsia" w:hAnsiTheme="minorEastAsia"/>
          <w:color w:val="000000" w:themeColor="text1"/>
          <w:sz w:val="24"/>
        </w:rPr>
        <w:t>.</w:t>
      </w:r>
      <w:r w:rsidRPr="003025FA">
        <w:rPr>
          <w:rFonts w:asciiTheme="minorEastAsia" w:eastAsiaTheme="minorEastAsia" w:hAnsiTheme="minorEastAsia" w:hint="eastAsia"/>
          <w:color w:val="000000" w:themeColor="text1"/>
          <w:sz w:val="24"/>
        </w:rPr>
        <w:t>9</w:t>
      </w:r>
      <w:r w:rsidRPr="003025FA">
        <w:rPr>
          <w:rFonts w:asciiTheme="minorEastAsia" w:eastAsiaTheme="minorEastAsia" w:hAnsiTheme="minorEastAsia"/>
          <w:color w:val="000000" w:themeColor="text1"/>
          <w:sz w:val="24"/>
        </w:rPr>
        <w:t>.</w:t>
      </w:r>
      <w:r w:rsidRPr="003025FA">
        <w:rPr>
          <w:rFonts w:asciiTheme="minorEastAsia" w:eastAsiaTheme="minorEastAsia" w:hAnsiTheme="minorEastAsia" w:hint="eastAsia"/>
          <w:color w:val="000000" w:themeColor="text1"/>
          <w:sz w:val="24"/>
        </w:rPr>
        <w:t>1基金计价方法说明</w:t>
      </w:r>
    </w:p>
    <w:p w:rsidR="006B4FD5" w:rsidRPr="00C57AF1" w:rsidRDefault="006B4FD5" w:rsidP="006B4FD5">
      <w:pPr>
        <w:spacing w:line="360" w:lineRule="auto"/>
        <w:ind w:firstLineChars="200" w:firstLine="480"/>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本基金估值采用摊余成本法，即估值对象以买入成本列示，按票面利率或商定利率并考虑其买入时的溢价与折价，在其剩余期限内按实际利率法摊销，每日计提收益。本基金不采用市场利率和上市交易的债券和票据的市价计算基金资产净值。</w:t>
      </w:r>
    </w:p>
    <w:p w:rsidR="00976A1A" w:rsidRPr="00593AD2" w:rsidRDefault="006B4FD5" w:rsidP="006B4FD5">
      <w:pPr>
        <w:widowControl/>
        <w:spacing w:line="360" w:lineRule="auto"/>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5.9.2本基金投资的前十名证券的发行主体本期没有出现被监管部门立案调查，或在报告编制日前一年内受到公开谴责、处罚的情形。</w:t>
      </w:r>
    </w:p>
    <w:p w:rsidR="00976A1A" w:rsidRPr="00593AD2" w:rsidRDefault="00976A1A" w:rsidP="00976A1A">
      <w:pPr>
        <w:adjustRightInd w:val="0"/>
        <w:spacing w:line="360" w:lineRule="auto"/>
        <w:rPr>
          <w:rFonts w:asciiTheme="minorEastAsia" w:eastAsiaTheme="minorEastAsia" w:hAnsiTheme="minorEastAsia"/>
          <w:color w:val="000000" w:themeColor="text1"/>
          <w:sz w:val="24"/>
        </w:rPr>
      </w:pPr>
    </w:p>
    <w:p w:rsidR="00976A1A" w:rsidRPr="00593AD2" w:rsidRDefault="00976A1A" w:rsidP="00976A1A">
      <w:pPr>
        <w:spacing w:line="360" w:lineRule="auto"/>
        <w:rPr>
          <w:rFonts w:asciiTheme="minorEastAsia" w:eastAsiaTheme="minorEastAsia" w:hAnsiTheme="minorEastAsia"/>
          <w:b/>
          <w:bCs/>
          <w:color w:val="000000" w:themeColor="text1"/>
          <w:sz w:val="24"/>
        </w:rPr>
      </w:pPr>
      <w:r w:rsidRPr="00593AD2">
        <w:rPr>
          <w:rFonts w:asciiTheme="minorEastAsia" w:eastAsiaTheme="minorEastAsia" w:hAnsiTheme="minorEastAsia" w:hint="eastAsia"/>
          <w:b/>
          <w:color w:val="000000" w:themeColor="text1"/>
          <w:sz w:val="24"/>
        </w:rPr>
        <w:t>5</w:t>
      </w:r>
      <w:r w:rsidRPr="00593AD2">
        <w:rPr>
          <w:rFonts w:asciiTheme="minorEastAsia" w:eastAsiaTheme="minorEastAsia" w:hAnsiTheme="minorEastAsia"/>
          <w:b/>
          <w:color w:val="000000" w:themeColor="text1"/>
          <w:sz w:val="24"/>
        </w:rPr>
        <w:t>.</w:t>
      </w:r>
      <w:r w:rsidRPr="00593AD2">
        <w:rPr>
          <w:rFonts w:asciiTheme="minorEastAsia" w:eastAsiaTheme="minorEastAsia" w:hAnsiTheme="minorEastAsia" w:hint="eastAsia"/>
          <w:b/>
          <w:color w:val="000000" w:themeColor="text1"/>
          <w:sz w:val="24"/>
        </w:rPr>
        <w:t>9</w:t>
      </w:r>
      <w:r w:rsidRPr="00593AD2">
        <w:rPr>
          <w:rFonts w:asciiTheme="minorEastAsia" w:eastAsiaTheme="minorEastAsia" w:hAnsiTheme="minorEastAsia"/>
          <w:b/>
          <w:color w:val="000000" w:themeColor="text1"/>
          <w:sz w:val="24"/>
        </w:rPr>
        <w:t>.</w:t>
      </w:r>
      <w:r w:rsidRPr="00593AD2">
        <w:rPr>
          <w:rFonts w:asciiTheme="minorEastAsia" w:eastAsiaTheme="minorEastAsia" w:hAnsiTheme="minorEastAsia" w:hint="eastAsia"/>
          <w:b/>
          <w:color w:val="000000" w:themeColor="text1"/>
          <w:sz w:val="24"/>
        </w:rPr>
        <w:t>3其他各项资产构成</w:t>
      </w:r>
    </w:p>
    <w:tbl>
      <w:tblPr>
        <w:tblStyle w:val="ad"/>
        <w:tblW w:w="0" w:type="auto"/>
        <w:tblInd w:w="17" w:type="dxa"/>
        <w:tblLayout w:type="fixed"/>
        <w:tblLook w:val="04A0" w:firstRow="1" w:lastRow="0" w:firstColumn="1" w:lastColumn="0" w:noHBand="0" w:noVBand="1"/>
      </w:tblPr>
      <w:tblGrid>
        <w:gridCol w:w="942"/>
        <w:gridCol w:w="3535"/>
        <w:gridCol w:w="4808"/>
      </w:tblGrid>
      <w:tr w:rsidR="00593AD2" w:rsidRPr="00593AD2" w:rsidTr="00D60521">
        <w:tc>
          <w:tcPr>
            <w:tcW w:w="942" w:type="dxa"/>
            <w:vAlign w:val="center"/>
          </w:tcPr>
          <w:p w:rsidR="00976A1A" w:rsidRPr="00593AD2" w:rsidRDefault="00976A1A" w:rsidP="00D60521">
            <w:pPr>
              <w:autoSpaceDE w:val="0"/>
              <w:autoSpaceDN w:val="0"/>
              <w:adjustRightInd w:val="0"/>
              <w:spacing w:before="29" w:line="360" w:lineRule="auto"/>
              <w:ind w:left="17"/>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序号</w:t>
            </w:r>
          </w:p>
        </w:tc>
        <w:tc>
          <w:tcPr>
            <w:tcW w:w="3535" w:type="dxa"/>
            <w:vAlign w:val="center"/>
          </w:tcPr>
          <w:p w:rsidR="00976A1A" w:rsidRPr="00593AD2" w:rsidRDefault="00976A1A" w:rsidP="00D60521">
            <w:pPr>
              <w:autoSpaceDE w:val="0"/>
              <w:autoSpaceDN w:val="0"/>
              <w:adjustRightInd w:val="0"/>
              <w:spacing w:before="29" w:line="360" w:lineRule="auto"/>
              <w:ind w:left="17"/>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名称</w:t>
            </w:r>
          </w:p>
        </w:tc>
        <w:tc>
          <w:tcPr>
            <w:tcW w:w="4808" w:type="dxa"/>
            <w:vAlign w:val="center"/>
          </w:tcPr>
          <w:p w:rsidR="00976A1A" w:rsidRPr="00593AD2" w:rsidRDefault="00976A1A" w:rsidP="00D60521">
            <w:pPr>
              <w:autoSpaceDE w:val="0"/>
              <w:autoSpaceDN w:val="0"/>
              <w:adjustRightInd w:val="0"/>
              <w:spacing w:before="29" w:line="360" w:lineRule="auto"/>
              <w:ind w:left="17"/>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金额(元)</w:t>
            </w:r>
          </w:p>
        </w:tc>
      </w:tr>
      <w:tr w:rsidR="00593AD2" w:rsidRPr="00593AD2" w:rsidTr="00D60521">
        <w:tc>
          <w:tcPr>
            <w:tcW w:w="942" w:type="dxa"/>
            <w:vAlign w:val="center"/>
          </w:tcPr>
          <w:p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sz w:val="24"/>
              </w:rPr>
              <w:t>1</w:t>
            </w:r>
          </w:p>
        </w:tc>
        <w:tc>
          <w:tcPr>
            <w:tcW w:w="3535" w:type="dxa"/>
            <w:vAlign w:val="center"/>
          </w:tcPr>
          <w:p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存出保证金</w:t>
            </w:r>
          </w:p>
        </w:tc>
        <w:tc>
          <w:tcPr>
            <w:tcW w:w="4808" w:type="dxa"/>
            <w:vAlign w:val="center"/>
          </w:tcPr>
          <w:p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w:t>
            </w:r>
          </w:p>
        </w:tc>
      </w:tr>
      <w:tr w:rsidR="00593AD2" w:rsidRPr="00593AD2" w:rsidTr="00D60521">
        <w:tc>
          <w:tcPr>
            <w:tcW w:w="942" w:type="dxa"/>
            <w:vAlign w:val="center"/>
          </w:tcPr>
          <w:p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2</w:t>
            </w:r>
          </w:p>
        </w:tc>
        <w:tc>
          <w:tcPr>
            <w:tcW w:w="3535" w:type="dxa"/>
            <w:vAlign w:val="center"/>
          </w:tcPr>
          <w:p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应收证券清算款</w:t>
            </w:r>
          </w:p>
        </w:tc>
        <w:tc>
          <w:tcPr>
            <w:tcW w:w="4808" w:type="dxa"/>
            <w:vAlign w:val="center"/>
          </w:tcPr>
          <w:p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47,808,597.39</w:t>
            </w:r>
          </w:p>
        </w:tc>
      </w:tr>
      <w:tr w:rsidR="00593AD2" w:rsidRPr="00593AD2" w:rsidTr="00D60521">
        <w:tc>
          <w:tcPr>
            <w:tcW w:w="942" w:type="dxa"/>
            <w:vAlign w:val="center"/>
          </w:tcPr>
          <w:p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3</w:t>
            </w:r>
          </w:p>
        </w:tc>
        <w:tc>
          <w:tcPr>
            <w:tcW w:w="3535" w:type="dxa"/>
            <w:vAlign w:val="center"/>
          </w:tcPr>
          <w:p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应收利息</w:t>
            </w:r>
          </w:p>
        </w:tc>
        <w:tc>
          <w:tcPr>
            <w:tcW w:w="4808" w:type="dxa"/>
            <w:vAlign w:val="center"/>
          </w:tcPr>
          <w:p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w:t>
            </w:r>
          </w:p>
        </w:tc>
      </w:tr>
      <w:tr w:rsidR="00593AD2" w:rsidRPr="00593AD2" w:rsidTr="00D60521">
        <w:tc>
          <w:tcPr>
            <w:tcW w:w="942" w:type="dxa"/>
            <w:vAlign w:val="center"/>
          </w:tcPr>
          <w:p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4</w:t>
            </w:r>
          </w:p>
        </w:tc>
        <w:tc>
          <w:tcPr>
            <w:tcW w:w="3535" w:type="dxa"/>
            <w:vAlign w:val="center"/>
          </w:tcPr>
          <w:p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应收申购款</w:t>
            </w:r>
          </w:p>
        </w:tc>
        <w:tc>
          <w:tcPr>
            <w:tcW w:w="4808" w:type="dxa"/>
            <w:vAlign w:val="center"/>
          </w:tcPr>
          <w:p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624,651.36</w:t>
            </w:r>
          </w:p>
        </w:tc>
      </w:tr>
      <w:tr w:rsidR="00593AD2" w:rsidRPr="00593AD2" w:rsidTr="00D60521">
        <w:tc>
          <w:tcPr>
            <w:tcW w:w="942" w:type="dxa"/>
            <w:vAlign w:val="center"/>
          </w:tcPr>
          <w:p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5</w:t>
            </w:r>
          </w:p>
        </w:tc>
        <w:tc>
          <w:tcPr>
            <w:tcW w:w="3535" w:type="dxa"/>
            <w:vAlign w:val="center"/>
          </w:tcPr>
          <w:p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其他应收款</w:t>
            </w:r>
          </w:p>
        </w:tc>
        <w:tc>
          <w:tcPr>
            <w:tcW w:w="4808" w:type="dxa"/>
            <w:vAlign w:val="center"/>
          </w:tcPr>
          <w:p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w:t>
            </w:r>
          </w:p>
        </w:tc>
      </w:tr>
      <w:tr w:rsidR="00593AD2" w:rsidRPr="00593AD2" w:rsidTr="00D60521">
        <w:tc>
          <w:tcPr>
            <w:tcW w:w="942" w:type="dxa"/>
            <w:vAlign w:val="center"/>
          </w:tcPr>
          <w:p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6</w:t>
            </w:r>
          </w:p>
        </w:tc>
        <w:tc>
          <w:tcPr>
            <w:tcW w:w="3535" w:type="dxa"/>
            <w:vAlign w:val="center"/>
          </w:tcPr>
          <w:p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s="宋体"/>
                <w:color w:val="000000" w:themeColor="text1"/>
                <w:kern w:val="0"/>
                <w:sz w:val="24"/>
              </w:rPr>
            </w:pPr>
            <w:r w:rsidRPr="00593AD2">
              <w:rPr>
                <w:rFonts w:asciiTheme="minorEastAsia" w:eastAsiaTheme="minorEastAsia" w:hAnsiTheme="minorEastAsia" w:cs="宋体" w:hint="eastAsia"/>
                <w:color w:val="000000" w:themeColor="text1"/>
                <w:kern w:val="0"/>
                <w:sz w:val="24"/>
              </w:rPr>
              <w:t>待摊费用</w:t>
            </w:r>
          </w:p>
        </w:tc>
        <w:tc>
          <w:tcPr>
            <w:tcW w:w="4808" w:type="dxa"/>
            <w:vAlign w:val="center"/>
          </w:tcPr>
          <w:p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hint="eastAsia"/>
                <w:color w:val="000000" w:themeColor="text1"/>
                <w:kern w:val="0"/>
                <w:sz w:val="24"/>
              </w:rPr>
              <w:t>-</w:t>
            </w:r>
          </w:p>
        </w:tc>
      </w:tr>
      <w:tr w:rsidR="00593AD2" w:rsidRPr="00593AD2" w:rsidTr="00D60521">
        <w:tc>
          <w:tcPr>
            <w:tcW w:w="942" w:type="dxa"/>
            <w:vAlign w:val="center"/>
          </w:tcPr>
          <w:p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7</w:t>
            </w:r>
          </w:p>
        </w:tc>
        <w:tc>
          <w:tcPr>
            <w:tcW w:w="3535" w:type="dxa"/>
            <w:vAlign w:val="center"/>
          </w:tcPr>
          <w:p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其他</w:t>
            </w:r>
          </w:p>
        </w:tc>
        <w:tc>
          <w:tcPr>
            <w:tcW w:w="4808" w:type="dxa"/>
            <w:vAlign w:val="center"/>
          </w:tcPr>
          <w:p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w:t>
            </w:r>
          </w:p>
        </w:tc>
      </w:tr>
      <w:tr w:rsidR="00593AD2" w:rsidRPr="00593AD2" w:rsidTr="00D60521">
        <w:tc>
          <w:tcPr>
            <w:tcW w:w="942" w:type="dxa"/>
            <w:vAlign w:val="center"/>
          </w:tcPr>
          <w:p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8</w:t>
            </w:r>
          </w:p>
        </w:tc>
        <w:tc>
          <w:tcPr>
            <w:tcW w:w="3535" w:type="dxa"/>
            <w:vAlign w:val="center"/>
          </w:tcPr>
          <w:p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合计</w:t>
            </w:r>
          </w:p>
        </w:tc>
        <w:tc>
          <w:tcPr>
            <w:tcW w:w="4808" w:type="dxa"/>
            <w:vAlign w:val="center"/>
          </w:tcPr>
          <w:p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48,433,248.75</w:t>
            </w:r>
          </w:p>
        </w:tc>
      </w:tr>
    </w:tbl>
    <w:p w:rsidR="00976A1A" w:rsidRPr="00593AD2" w:rsidRDefault="00976A1A" w:rsidP="00976A1A">
      <w:pPr>
        <w:autoSpaceDE w:val="0"/>
        <w:autoSpaceDN w:val="0"/>
        <w:adjustRightInd w:val="0"/>
        <w:spacing w:line="360" w:lineRule="auto"/>
        <w:rPr>
          <w:rFonts w:asciiTheme="minorEastAsia" w:eastAsiaTheme="minorEastAsia" w:hAnsiTheme="minorEastAsia"/>
          <w:color w:val="000000" w:themeColor="text1"/>
          <w:sz w:val="24"/>
        </w:rPr>
      </w:pPr>
    </w:p>
    <w:p w:rsidR="00976A1A" w:rsidRPr="00593AD2" w:rsidRDefault="00976A1A" w:rsidP="00976A1A">
      <w:pPr>
        <w:spacing w:line="360" w:lineRule="auto"/>
        <w:rPr>
          <w:rFonts w:asciiTheme="minorEastAsia" w:eastAsiaTheme="minorEastAsia" w:hAnsiTheme="minorEastAsia"/>
          <w:b/>
          <w:bCs/>
          <w:color w:val="000000" w:themeColor="text1"/>
          <w:sz w:val="24"/>
        </w:rPr>
      </w:pPr>
      <w:r w:rsidRPr="00593AD2">
        <w:rPr>
          <w:rFonts w:asciiTheme="minorEastAsia" w:eastAsiaTheme="minorEastAsia" w:hAnsiTheme="minorEastAsia" w:hint="eastAsia"/>
          <w:b/>
          <w:color w:val="000000" w:themeColor="text1"/>
          <w:sz w:val="24"/>
        </w:rPr>
        <w:t>5</w:t>
      </w:r>
      <w:r w:rsidRPr="00593AD2">
        <w:rPr>
          <w:rFonts w:asciiTheme="minorEastAsia" w:eastAsiaTheme="minorEastAsia" w:hAnsiTheme="minorEastAsia"/>
          <w:b/>
          <w:color w:val="000000" w:themeColor="text1"/>
          <w:sz w:val="24"/>
        </w:rPr>
        <w:t>.</w:t>
      </w:r>
      <w:r w:rsidRPr="00593AD2">
        <w:rPr>
          <w:rFonts w:asciiTheme="minorEastAsia" w:eastAsiaTheme="minorEastAsia" w:hAnsiTheme="minorEastAsia" w:hint="eastAsia"/>
          <w:b/>
          <w:color w:val="000000" w:themeColor="text1"/>
          <w:sz w:val="24"/>
        </w:rPr>
        <w:t>9</w:t>
      </w:r>
      <w:r w:rsidRPr="00593AD2">
        <w:rPr>
          <w:rFonts w:asciiTheme="minorEastAsia" w:eastAsiaTheme="minorEastAsia" w:hAnsiTheme="minorEastAsia"/>
          <w:b/>
          <w:color w:val="000000" w:themeColor="text1"/>
          <w:sz w:val="24"/>
        </w:rPr>
        <w:t>.</w:t>
      </w:r>
      <w:r w:rsidRPr="00593AD2">
        <w:rPr>
          <w:rFonts w:asciiTheme="minorEastAsia" w:eastAsiaTheme="minorEastAsia" w:hAnsiTheme="minorEastAsia" w:hint="eastAsia"/>
          <w:b/>
          <w:color w:val="000000" w:themeColor="text1"/>
          <w:sz w:val="24"/>
        </w:rPr>
        <w:t>4</w:t>
      </w:r>
      <w:r w:rsidRPr="00593AD2">
        <w:rPr>
          <w:rFonts w:asciiTheme="minorEastAsia" w:eastAsiaTheme="minorEastAsia" w:hAnsiTheme="minorEastAsia" w:hint="eastAsia"/>
          <w:b/>
          <w:bCs/>
          <w:color w:val="000000" w:themeColor="text1"/>
          <w:sz w:val="24"/>
        </w:rPr>
        <w:t>投资组合报告附注的其他文字描述部分</w:t>
      </w:r>
    </w:p>
    <w:p w:rsidR="008509A1" w:rsidRDefault="00BE793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因四舍五入原因，投资组合报告中市值占净值比例的分项之和与合计可能存在尾差。</w:t>
      </w:r>
    </w:p>
    <w:p w:rsidR="00976A1A" w:rsidRPr="00593AD2" w:rsidRDefault="00976A1A" w:rsidP="00976A1A">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基金份额持有人如欲了解本基金投资组合的其他相关信息，可致电本基金管理人获取。</w:t>
      </w:r>
    </w:p>
    <w:p w:rsidR="00902E3F" w:rsidRPr="00593AD2" w:rsidRDefault="00902E3F" w:rsidP="00631E43">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t>§</w:t>
      </w:r>
      <w:r w:rsidRPr="00593AD2">
        <w:rPr>
          <w:rFonts w:asciiTheme="minorEastAsia" w:eastAsiaTheme="minorEastAsia" w:hAnsiTheme="minorEastAsia" w:cs="Arial"/>
          <w:color w:val="000000" w:themeColor="text1"/>
          <w:kern w:val="0"/>
          <w:sz w:val="24"/>
          <w:szCs w:val="24"/>
        </w:rPr>
        <w:t xml:space="preserve">6  </w:t>
      </w:r>
      <w:r w:rsidRPr="00593AD2">
        <w:rPr>
          <w:rFonts w:asciiTheme="minorEastAsia" w:eastAsiaTheme="minorEastAsia" w:hAnsiTheme="minorEastAsia" w:cs="Arial" w:hint="eastAsia"/>
          <w:color w:val="000000" w:themeColor="text1"/>
          <w:kern w:val="0"/>
          <w:sz w:val="24"/>
          <w:szCs w:val="24"/>
        </w:rPr>
        <w:t>开放式基金份额变动</w:t>
      </w:r>
    </w:p>
    <w:p w:rsidR="00902E3F" w:rsidRPr="00593AD2" w:rsidRDefault="00902E3F" w:rsidP="0019681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单位：份</w:t>
      </w:r>
    </w:p>
    <w:tbl>
      <w:tblPr>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9"/>
        <w:gridCol w:w="2268"/>
        <w:gridCol w:w="2268"/>
        <w:gridCol w:w="2269"/>
      </w:tblGrid>
      <w:tr w:rsidR="00593AD2" w:rsidRPr="00593AD2" w:rsidTr="00102307">
        <w:trPr>
          <w:jc w:val="center"/>
        </w:trPr>
        <w:tc>
          <w:tcPr>
            <w:tcW w:w="3279" w:type="dxa"/>
          </w:tcPr>
          <w:p w:rsidR="00102307" w:rsidRPr="00593AD2" w:rsidRDefault="00102307" w:rsidP="00196812">
            <w:pPr>
              <w:autoSpaceDE w:val="0"/>
              <w:autoSpaceDN w:val="0"/>
              <w:adjustRightInd w:val="0"/>
              <w:spacing w:before="29" w:line="360" w:lineRule="auto"/>
              <w:ind w:left="15"/>
              <w:jc w:val="center"/>
              <w:rPr>
                <w:rFonts w:asciiTheme="minorEastAsia" w:eastAsiaTheme="minorEastAsia" w:hAnsiTheme="minorEastAsia" w:cs="宋体"/>
                <w:color w:val="000000" w:themeColor="text1"/>
                <w:kern w:val="0"/>
                <w:sz w:val="24"/>
              </w:rPr>
            </w:pPr>
            <w:r w:rsidRPr="00593AD2">
              <w:rPr>
                <w:rFonts w:asciiTheme="minorEastAsia" w:eastAsiaTheme="minorEastAsia" w:hAnsiTheme="minorEastAsia" w:hint="eastAsia"/>
                <w:color w:val="000000" w:themeColor="text1"/>
                <w:kern w:val="0"/>
                <w:sz w:val="24"/>
              </w:rPr>
              <w:t>项目</w:t>
            </w:r>
          </w:p>
        </w:tc>
        <w:tc>
          <w:tcPr>
            <w:tcW w:w="2268" w:type="dxa"/>
          </w:tcPr>
          <w:p w:rsidR="00102307" w:rsidRPr="00593AD2" w:rsidRDefault="00102307" w:rsidP="00196812">
            <w:pPr>
              <w:autoSpaceDE w:val="0"/>
              <w:autoSpaceDN w:val="0"/>
              <w:adjustRightInd w:val="0"/>
              <w:spacing w:before="29" w:line="360" w:lineRule="auto"/>
              <w:ind w:left="15"/>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sz w:val="24"/>
              </w:rPr>
              <w:t>上投摩根天添盈货币A类</w:t>
            </w:r>
          </w:p>
        </w:tc>
        <w:tc>
          <w:tcPr>
            <w:tcW w:w="2268" w:type="dxa"/>
          </w:tcPr>
          <w:p w:rsidR="00102307" w:rsidRPr="00593AD2" w:rsidRDefault="00102307" w:rsidP="00196812">
            <w:pPr>
              <w:autoSpaceDE w:val="0"/>
              <w:autoSpaceDN w:val="0"/>
              <w:adjustRightInd w:val="0"/>
              <w:spacing w:before="29" w:line="360" w:lineRule="auto"/>
              <w:ind w:left="15"/>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sz w:val="24"/>
              </w:rPr>
              <w:t>上投摩根天添盈货币B类</w:t>
            </w:r>
          </w:p>
        </w:tc>
        <w:tc>
          <w:tcPr>
            <w:tcW w:w="2269" w:type="dxa"/>
          </w:tcPr>
          <w:p w:rsidR="00102307" w:rsidRPr="00593AD2" w:rsidRDefault="00102307" w:rsidP="003451F3">
            <w:pPr>
              <w:autoSpaceDE w:val="0"/>
              <w:autoSpaceDN w:val="0"/>
              <w:adjustRightInd w:val="0"/>
              <w:spacing w:before="29" w:line="360" w:lineRule="auto"/>
              <w:ind w:left="15"/>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hint="eastAsia"/>
                <w:color w:val="000000" w:themeColor="text1"/>
                <w:sz w:val="24"/>
              </w:rPr>
              <w:t>上投摩根天添盈货币E类</w:t>
            </w:r>
          </w:p>
        </w:tc>
      </w:tr>
      <w:tr w:rsidR="00593AD2" w:rsidRPr="00593AD2" w:rsidTr="00F56FBC">
        <w:trPr>
          <w:jc w:val="center"/>
        </w:trPr>
        <w:tc>
          <w:tcPr>
            <w:tcW w:w="3279" w:type="dxa"/>
            <w:vAlign w:val="center"/>
          </w:tcPr>
          <w:p w:rsidR="003A1E1E" w:rsidRPr="00593AD2" w:rsidRDefault="003A1E1E" w:rsidP="00587524">
            <w:pPr>
              <w:autoSpaceDE w:val="0"/>
              <w:autoSpaceDN w:val="0"/>
              <w:adjustRightInd w:val="0"/>
              <w:spacing w:before="29" w:line="360" w:lineRule="auto"/>
              <w:ind w:left="17"/>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本报告期期初基金份额总额</w:t>
            </w:r>
          </w:p>
        </w:tc>
        <w:tc>
          <w:tcPr>
            <w:tcW w:w="2268" w:type="dxa"/>
            <w:vAlign w:val="center"/>
          </w:tcPr>
          <w:p w:rsidR="003A1E1E" w:rsidRPr="00593AD2" w:rsidRDefault="003A1E1E"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6,730,893,644.18</w:t>
            </w:r>
          </w:p>
        </w:tc>
        <w:tc>
          <w:tcPr>
            <w:tcW w:w="2268" w:type="dxa"/>
            <w:vAlign w:val="center"/>
          </w:tcPr>
          <w:p w:rsidR="003A1E1E" w:rsidRPr="00593AD2" w:rsidRDefault="003A1E1E"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w:t>
            </w:r>
          </w:p>
        </w:tc>
        <w:tc>
          <w:tcPr>
            <w:tcW w:w="2269" w:type="dxa"/>
            <w:vAlign w:val="center"/>
          </w:tcPr>
          <w:p w:rsidR="003A1E1E" w:rsidRPr="00593AD2" w:rsidRDefault="003A1E1E" w:rsidP="003A1E1E">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373,301,327.51</w:t>
            </w:r>
          </w:p>
        </w:tc>
      </w:tr>
      <w:tr w:rsidR="00593AD2" w:rsidRPr="00593AD2" w:rsidTr="00F56FBC">
        <w:trPr>
          <w:jc w:val="center"/>
        </w:trPr>
        <w:tc>
          <w:tcPr>
            <w:tcW w:w="3279" w:type="dxa"/>
          </w:tcPr>
          <w:p w:rsidR="003A1E1E" w:rsidRPr="00593AD2" w:rsidRDefault="003A1E1E" w:rsidP="006B56E1">
            <w:pPr>
              <w:adjustRightInd w:val="0"/>
              <w:snapToGrid w:val="0"/>
              <w:spacing w:line="340" w:lineRule="exact"/>
              <w:rPr>
                <w:rFonts w:ascii="宋体" w:hAnsi="宋体"/>
                <w:color w:val="000000" w:themeColor="text1"/>
                <w:sz w:val="24"/>
              </w:rPr>
            </w:pPr>
            <w:r w:rsidRPr="00593AD2">
              <w:rPr>
                <w:rFonts w:asciiTheme="minorEastAsia" w:eastAsiaTheme="minorEastAsia" w:hAnsiTheme="minorEastAsia" w:cs="宋体"/>
                <w:color w:val="000000" w:themeColor="text1"/>
                <w:kern w:val="0"/>
                <w:sz w:val="24"/>
              </w:rPr>
              <w:t>报告期期间</w:t>
            </w:r>
            <w:r w:rsidRPr="00593AD2">
              <w:rPr>
                <w:rFonts w:ascii="宋体" w:hAnsi="宋体" w:hint="eastAsia"/>
                <w:color w:val="000000" w:themeColor="text1"/>
                <w:sz w:val="24"/>
              </w:rPr>
              <w:t>基金总申购份额</w:t>
            </w:r>
          </w:p>
        </w:tc>
        <w:tc>
          <w:tcPr>
            <w:tcW w:w="2268" w:type="dxa"/>
            <w:vAlign w:val="center"/>
          </w:tcPr>
          <w:p w:rsidR="003A1E1E" w:rsidRPr="00593AD2" w:rsidRDefault="00704607"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501,973,157.37</w:t>
            </w:r>
          </w:p>
        </w:tc>
        <w:tc>
          <w:tcPr>
            <w:tcW w:w="2268" w:type="dxa"/>
            <w:vAlign w:val="center"/>
          </w:tcPr>
          <w:p w:rsidR="003A1E1E" w:rsidRPr="00593AD2" w:rsidRDefault="003A1E1E"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w:t>
            </w:r>
          </w:p>
        </w:tc>
        <w:tc>
          <w:tcPr>
            <w:tcW w:w="2269" w:type="dxa"/>
            <w:vAlign w:val="center"/>
          </w:tcPr>
          <w:p w:rsidR="003A1E1E" w:rsidRPr="00593AD2" w:rsidRDefault="003A1E1E" w:rsidP="003A1E1E">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357,049,493.35</w:t>
            </w:r>
          </w:p>
        </w:tc>
      </w:tr>
      <w:tr w:rsidR="00593AD2" w:rsidRPr="00593AD2" w:rsidTr="00F56FBC">
        <w:trPr>
          <w:jc w:val="center"/>
        </w:trPr>
        <w:tc>
          <w:tcPr>
            <w:tcW w:w="3279" w:type="dxa"/>
          </w:tcPr>
          <w:p w:rsidR="003A1E1E" w:rsidRPr="00593AD2" w:rsidRDefault="003A1E1E" w:rsidP="006B56E1">
            <w:pPr>
              <w:adjustRightInd w:val="0"/>
              <w:snapToGrid w:val="0"/>
              <w:spacing w:line="340" w:lineRule="exact"/>
              <w:rPr>
                <w:rFonts w:ascii="宋体" w:hAnsi="宋体"/>
                <w:color w:val="000000" w:themeColor="text1"/>
                <w:sz w:val="24"/>
              </w:rPr>
            </w:pPr>
            <w:r w:rsidRPr="00593AD2">
              <w:rPr>
                <w:rFonts w:asciiTheme="minorEastAsia" w:eastAsiaTheme="minorEastAsia" w:hAnsiTheme="minorEastAsia" w:cs="宋体"/>
                <w:color w:val="000000" w:themeColor="text1"/>
                <w:kern w:val="0"/>
                <w:sz w:val="24"/>
              </w:rPr>
              <w:t>报告期期间</w:t>
            </w:r>
            <w:r w:rsidRPr="00593AD2">
              <w:rPr>
                <w:rFonts w:ascii="宋体" w:hAnsi="宋体" w:hint="eastAsia"/>
                <w:color w:val="000000" w:themeColor="text1"/>
                <w:sz w:val="24"/>
              </w:rPr>
              <w:t>基金总赎回份额</w:t>
            </w:r>
          </w:p>
        </w:tc>
        <w:tc>
          <w:tcPr>
            <w:tcW w:w="2268" w:type="dxa"/>
            <w:vAlign w:val="center"/>
          </w:tcPr>
          <w:p w:rsidR="003A1E1E" w:rsidRPr="00593AD2" w:rsidRDefault="003A1E1E"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973,852,000.15</w:t>
            </w:r>
          </w:p>
        </w:tc>
        <w:tc>
          <w:tcPr>
            <w:tcW w:w="2268" w:type="dxa"/>
            <w:vAlign w:val="center"/>
          </w:tcPr>
          <w:p w:rsidR="003A1E1E" w:rsidRPr="00593AD2" w:rsidRDefault="003A1E1E"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w:t>
            </w:r>
          </w:p>
        </w:tc>
        <w:tc>
          <w:tcPr>
            <w:tcW w:w="2269" w:type="dxa"/>
            <w:vAlign w:val="center"/>
          </w:tcPr>
          <w:p w:rsidR="003A1E1E" w:rsidRPr="00593AD2" w:rsidRDefault="003A1E1E" w:rsidP="003A1E1E">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344,755,158.66</w:t>
            </w:r>
          </w:p>
        </w:tc>
      </w:tr>
      <w:tr w:rsidR="005C0C60" w:rsidRPr="00593AD2" w:rsidTr="005C0C60">
        <w:trPr>
          <w:jc w:val="center"/>
        </w:trPr>
        <w:tc>
          <w:tcPr>
            <w:tcW w:w="3279" w:type="dxa"/>
            <w:vAlign w:val="center"/>
          </w:tcPr>
          <w:p w:rsidR="005C0C60" w:rsidRPr="005C0C60" w:rsidRDefault="005C0C60" w:rsidP="005C0C60">
            <w:pPr>
              <w:autoSpaceDE w:val="0"/>
              <w:autoSpaceDN w:val="0"/>
              <w:adjustRightInd w:val="0"/>
              <w:spacing w:before="29" w:line="360" w:lineRule="auto"/>
              <w:ind w:left="17"/>
              <w:rPr>
                <w:rFonts w:eastAsiaTheme="minorEastAsia"/>
                <w:color w:val="000000" w:themeColor="text1"/>
                <w:kern w:val="0"/>
                <w:sz w:val="24"/>
              </w:rPr>
            </w:pPr>
            <w:r w:rsidRPr="005C0C60">
              <w:rPr>
                <w:rFonts w:asciiTheme="minorEastAsia" w:eastAsiaTheme="minorEastAsia" w:hAnsiTheme="minorEastAsia"/>
                <w:color w:val="000000" w:themeColor="text1"/>
                <w:kern w:val="0"/>
                <w:sz w:val="24"/>
              </w:rPr>
              <w:t>报告期期间</w:t>
            </w:r>
            <w:r w:rsidRPr="005C0C60">
              <w:rPr>
                <w:rFonts w:eastAsiaTheme="minorEastAsia"/>
                <w:color w:val="000000" w:themeColor="text1"/>
                <w:kern w:val="0"/>
                <w:sz w:val="24"/>
              </w:rPr>
              <w:t>基金拆分变动份额</w:t>
            </w:r>
          </w:p>
        </w:tc>
        <w:tc>
          <w:tcPr>
            <w:tcW w:w="2268" w:type="dxa"/>
            <w:vAlign w:val="center"/>
          </w:tcPr>
          <w:p w:rsidR="005C0C60" w:rsidRPr="005C0C60" w:rsidRDefault="005C0C60" w:rsidP="005C0C60">
            <w:pPr>
              <w:autoSpaceDE w:val="0"/>
              <w:autoSpaceDN w:val="0"/>
              <w:adjustRightInd w:val="0"/>
              <w:spacing w:before="29" w:line="360" w:lineRule="auto"/>
              <w:ind w:left="17"/>
              <w:jc w:val="right"/>
              <w:rPr>
                <w:rFonts w:asciiTheme="minorEastAsia" w:eastAsiaTheme="minorEastAsia" w:hAnsiTheme="minorEastAsia"/>
                <w:color w:val="000000" w:themeColor="text1"/>
                <w:sz w:val="24"/>
              </w:rPr>
            </w:pPr>
            <w:r w:rsidRPr="005C0C60">
              <w:rPr>
                <w:rFonts w:asciiTheme="minorEastAsia" w:eastAsiaTheme="minorEastAsia" w:hAnsiTheme="minorEastAsia"/>
                <w:color w:val="000000" w:themeColor="text1"/>
                <w:sz w:val="24"/>
              </w:rPr>
              <w:t>-</w:t>
            </w:r>
          </w:p>
        </w:tc>
        <w:tc>
          <w:tcPr>
            <w:tcW w:w="2268" w:type="dxa"/>
            <w:vAlign w:val="center"/>
          </w:tcPr>
          <w:p w:rsidR="005C0C60" w:rsidRPr="005C0C60" w:rsidRDefault="005C0C60" w:rsidP="005C0C60">
            <w:pPr>
              <w:autoSpaceDE w:val="0"/>
              <w:autoSpaceDN w:val="0"/>
              <w:adjustRightInd w:val="0"/>
              <w:spacing w:before="29" w:line="360" w:lineRule="auto"/>
              <w:ind w:left="17"/>
              <w:jc w:val="right"/>
              <w:rPr>
                <w:rFonts w:asciiTheme="minorEastAsia" w:eastAsiaTheme="minorEastAsia" w:hAnsiTheme="minorEastAsia"/>
                <w:color w:val="000000" w:themeColor="text1"/>
                <w:sz w:val="24"/>
              </w:rPr>
            </w:pPr>
            <w:r w:rsidRPr="005C0C60">
              <w:rPr>
                <w:rFonts w:asciiTheme="minorEastAsia" w:eastAsiaTheme="minorEastAsia" w:hAnsiTheme="minorEastAsia"/>
                <w:color w:val="000000" w:themeColor="text1"/>
                <w:sz w:val="24"/>
              </w:rPr>
              <w:t>-</w:t>
            </w:r>
          </w:p>
        </w:tc>
        <w:tc>
          <w:tcPr>
            <w:tcW w:w="2269" w:type="dxa"/>
            <w:vAlign w:val="center"/>
          </w:tcPr>
          <w:p w:rsidR="005C0C60" w:rsidRPr="005C0C60" w:rsidRDefault="005C0C60" w:rsidP="005C0C60">
            <w:pPr>
              <w:autoSpaceDE w:val="0"/>
              <w:autoSpaceDN w:val="0"/>
              <w:adjustRightInd w:val="0"/>
              <w:spacing w:before="29" w:line="360" w:lineRule="auto"/>
              <w:ind w:left="17"/>
              <w:jc w:val="right"/>
              <w:rPr>
                <w:rFonts w:asciiTheme="minorEastAsia" w:eastAsiaTheme="minorEastAsia" w:hAnsiTheme="minorEastAsia"/>
                <w:color w:val="000000" w:themeColor="text1"/>
                <w:sz w:val="24"/>
              </w:rPr>
            </w:pPr>
            <w:r w:rsidRPr="005C0C60">
              <w:rPr>
                <w:rFonts w:asciiTheme="minorEastAsia" w:eastAsiaTheme="minorEastAsia" w:hAnsiTheme="minorEastAsia"/>
                <w:color w:val="000000" w:themeColor="text1"/>
                <w:sz w:val="24"/>
              </w:rPr>
              <w:t>-</w:t>
            </w:r>
          </w:p>
        </w:tc>
      </w:tr>
      <w:tr w:rsidR="00593AD2" w:rsidRPr="00593AD2" w:rsidTr="00A40052">
        <w:trPr>
          <w:jc w:val="center"/>
        </w:trPr>
        <w:tc>
          <w:tcPr>
            <w:tcW w:w="3279" w:type="dxa"/>
          </w:tcPr>
          <w:p w:rsidR="003A1E1E" w:rsidRPr="00593AD2" w:rsidRDefault="003A1E1E" w:rsidP="00587524">
            <w:pPr>
              <w:adjustRightInd w:val="0"/>
              <w:snapToGrid w:val="0"/>
              <w:spacing w:line="340" w:lineRule="exact"/>
              <w:rPr>
                <w:rFonts w:ascii="宋体" w:hAnsi="宋体"/>
                <w:color w:val="000000" w:themeColor="text1"/>
                <w:sz w:val="24"/>
              </w:rPr>
            </w:pPr>
            <w:r w:rsidRPr="00593AD2">
              <w:rPr>
                <w:rFonts w:ascii="宋体" w:hAnsi="宋体" w:hint="eastAsia"/>
                <w:color w:val="000000" w:themeColor="text1"/>
                <w:sz w:val="24"/>
              </w:rPr>
              <w:t>报告期期末基金份额总额</w:t>
            </w:r>
          </w:p>
        </w:tc>
        <w:tc>
          <w:tcPr>
            <w:tcW w:w="2268" w:type="dxa"/>
            <w:vAlign w:val="center"/>
          </w:tcPr>
          <w:p w:rsidR="003A1E1E" w:rsidRPr="00593AD2" w:rsidRDefault="003A1E1E"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6,259,014,801.40</w:t>
            </w:r>
          </w:p>
        </w:tc>
        <w:tc>
          <w:tcPr>
            <w:tcW w:w="2268" w:type="dxa"/>
            <w:vAlign w:val="center"/>
          </w:tcPr>
          <w:p w:rsidR="003A1E1E" w:rsidRPr="00593AD2" w:rsidRDefault="003A1E1E"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w:t>
            </w:r>
          </w:p>
        </w:tc>
        <w:tc>
          <w:tcPr>
            <w:tcW w:w="2269" w:type="dxa"/>
            <w:vAlign w:val="center"/>
          </w:tcPr>
          <w:p w:rsidR="003A1E1E" w:rsidRPr="00593AD2" w:rsidRDefault="003A1E1E" w:rsidP="003A1E1E">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385,595,662.20</w:t>
            </w:r>
          </w:p>
        </w:tc>
      </w:tr>
    </w:tbl>
    <w:p w:rsidR="00D66016" w:rsidRPr="00593AD2" w:rsidRDefault="00D66016" w:rsidP="00631E43">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t xml:space="preserve">§7  </w:t>
      </w:r>
      <w:r w:rsidR="00877329" w:rsidRPr="00593AD2">
        <w:rPr>
          <w:rFonts w:asciiTheme="minorEastAsia" w:eastAsiaTheme="minorEastAsia" w:hAnsiTheme="minorEastAsia" w:cs="Arial" w:hint="eastAsia"/>
          <w:color w:val="000000" w:themeColor="text1"/>
          <w:kern w:val="0"/>
          <w:sz w:val="24"/>
          <w:szCs w:val="24"/>
        </w:rPr>
        <w:t>基金管理人运用固有资金投资本基金交易明细</w:t>
      </w:r>
    </w:p>
    <w:p w:rsidR="000A466F" w:rsidRPr="00593AD2" w:rsidRDefault="000A466F" w:rsidP="000A466F">
      <w:pPr>
        <w:autoSpaceDE w:val="0"/>
        <w:autoSpaceDN w:val="0"/>
        <w:adjustRightInd w:val="0"/>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无。</w:t>
      </w:r>
    </w:p>
    <w:p w:rsidR="009D74FC" w:rsidRPr="00593AD2" w:rsidRDefault="009D74FC" w:rsidP="00631E43">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t>§</w:t>
      </w:r>
      <w:r w:rsidR="00DA5831" w:rsidRPr="00593AD2">
        <w:rPr>
          <w:rFonts w:asciiTheme="minorEastAsia" w:eastAsiaTheme="minorEastAsia" w:hAnsiTheme="minorEastAsia" w:cs="Arial" w:hint="eastAsia"/>
          <w:color w:val="000000" w:themeColor="text1"/>
          <w:kern w:val="0"/>
          <w:sz w:val="24"/>
          <w:szCs w:val="24"/>
        </w:rPr>
        <w:t>8</w:t>
      </w:r>
      <w:r w:rsidRPr="00593AD2">
        <w:rPr>
          <w:rFonts w:asciiTheme="minorEastAsia" w:eastAsiaTheme="minorEastAsia" w:hAnsiTheme="minorEastAsia" w:cs="Arial"/>
          <w:color w:val="000000" w:themeColor="text1"/>
          <w:kern w:val="0"/>
          <w:sz w:val="24"/>
          <w:szCs w:val="24"/>
        </w:rPr>
        <w:t>备查文件目录</w:t>
      </w:r>
    </w:p>
    <w:p w:rsidR="00AB373C" w:rsidRPr="00593AD2"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593AD2">
        <w:rPr>
          <w:rFonts w:asciiTheme="minorEastAsia" w:eastAsiaTheme="minorEastAsia" w:hAnsiTheme="minorEastAsia" w:cs="Arial" w:hint="eastAsia"/>
          <w:b/>
          <w:color w:val="000000" w:themeColor="text1"/>
          <w:kern w:val="0"/>
          <w:sz w:val="24"/>
        </w:rPr>
        <w:t>8</w:t>
      </w:r>
      <w:r w:rsidR="00AB373C" w:rsidRPr="00593AD2">
        <w:rPr>
          <w:rFonts w:asciiTheme="minorEastAsia" w:eastAsiaTheme="minorEastAsia" w:hAnsiTheme="minorEastAsia"/>
          <w:b/>
          <w:bCs/>
          <w:color w:val="000000" w:themeColor="text1"/>
          <w:kern w:val="0"/>
          <w:sz w:val="24"/>
        </w:rPr>
        <w:t>.</w:t>
      </w:r>
      <w:r w:rsidR="00F1658B" w:rsidRPr="00593AD2">
        <w:rPr>
          <w:rFonts w:asciiTheme="minorEastAsia" w:eastAsiaTheme="minorEastAsia" w:hAnsiTheme="minorEastAsia"/>
          <w:b/>
          <w:bCs/>
          <w:color w:val="000000" w:themeColor="text1"/>
          <w:kern w:val="0"/>
          <w:sz w:val="24"/>
        </w:rPr>
        <w:t>1</w:t>
      </w:r>
      <w:r w:rsidR="00AB373C" w:rsidRPr="00593AD2">
        <w:rPr>
          <w:rFonts w:asciiTheme="minorEastAsia" w:eastAsiaTheme="minorEastAsia" w:hAnsiTheme="minorEastAsia" w:hint="eastAsia"/>
          <w:b/>
          <w:bCs/>
          <w:color w:val="000000" w:themeColor="text1"/>
          <w:kern w:val="0"/>
          <w:sz w:val="24"/>
        </w:rPr>
        <w:t>备查文件目录</w:t>
      </w:r>
    </w:p>
    <w:p w:rsidR="008509A1" w:rsidRDefault="00BE793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 中国证监会批准上投摩根天添盈货币市场基金设立的文件；</w:t>
      </w:r>
    </w:p>
    <w:p w:rsidR="008509A1" w:rsidRDefault="00BE793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 《上投摩根天添盈货币市场基金基金合同》；</w:t>
      </w:r>
    </w:p>
    <w:p w:rsidR="008509A1" w:rsidRDefault="00BE793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 《上投摩根天添盈货币市场基金基金托管协议》；</w:t>
      </w:r>
    </w:p>
    <w:p w:rsidR="008509A1" w:rsidRDefault="00BE793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 《上投摩根基金管理有限公司开放式基金业务规则》；</w:t>
      </w:r>
    </w:p>
    <w:p w:rsidR="008509A1" w:rsidRDefault="00BE793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5.  基金管理人业务资格批件、营业执照；</w:t>
      </w:r>
    </w:p>
    <w:p w:rsidR="00AB373C" w:rsidRPr="00593AD2" w:rsidRDefault="00AB373C" w:rsidP="00394BC1">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6.   基金托管人业务资格批件、营业执照。</w:t>
      </w:r>
    </w:p>
    <w:p w:rsidR="00162222" w:rsidRPr="00593AD2" w:rsidRDefault="00162222" w:rsidP="00394BC1">
      <w:pPr>
        <w:spacing w:line="360" w:lineRule="auto"/>
        <w:ind w:firstLineChars="200" w:firstLine="480"/>
        <w:rPr>
          <w:rFonts w:asciiTheme="minorEastAsia" w:eastAsiaTheme="minorEastAsia" w:hAnsiTheme="minorEastAsia"/>
          <w:color w:val="000000" w:themeColor="text1"/>
          <w:sz w:val="24"/>
        </w:rPr>
      </w:pPr>
    </w:p>
    <w:p w:rsidR="00AB373C" w:rsidRPr="00593AD2"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593AD2">
        <w:rPr>
          <w:rFonts w:asciiTheme="minorEastAsia" w:eastAsiaTheme="minorEastAsia" w:hAnsiTheme="minorEastAsia" w:cs="Arial" w:hint="eastAsia"/>
          <w:b/>
          <w:color w:val="000000" w:themeColor="text1"/>
          <w:kern w:val="0"/>
          <w:sz w:val="24"/>
        </w:rPr>
        <w:t>8</w:t>
      </w:r>
      <w:r w:rsidR="00AB373C" w:rsidRPr="00593AD2">
        <w:rPr>
          <w:rFonts w:asciiTheme="minorEastAsia" w:eastAsiaTheme="minorEastAsia" w:hAnsiTheme="minorEastAsia"/>
          <w:b/>
          <w:bCs/>
          <w:color w:val="000000" w:themeColor="text1"/>
          <w:kern w:val="0"/>
          <w:sz w:val="24"/>
        </w:rPr>
        <w:t>.</w:t>
      </w:r>
      <w:r w:rsidR="00F1658B" w:rsidRPr="00593AD2">
        <w:rPr>
          <w:rFonts w:asciiTheme="minorEastAsia" w:eastAsiaTheme="minorEastAsia" w:hAnsiTheme="minorEastAsia"/>
          <w:b/>
          <w:bCs/>
          <w:color w:val="000000" w:themeColor="text1"/>
          <w:kern w:val="0"/>
          <w:sz w:val="24"/>
        </w:rPr>
        <w:t>2</w:t>
      </w:r>
      <w:r w:rsidR="00AB373C" w:rsidRPr="00593AD2">
        <w:rPr>
          <w:rFonts w:asciiTheme="minorEastAsia" w:eastAsiaTheme="minorEastAsia" w:hAnsiTheme="minorEastAsia" w:hint="eastAsia"/>
          <w:b/>
          <w:bCs/>
          <w:color w:val="000000" w:themeColor="text1"/>
          <w:kern w:val="0"/>
          <w:sz w:val="24"/>
        </w:rPr>
        <w:t>存放地点</w:t>
      </w:r>
    </w:p>
    <w:p w:rsidR="00AB373C" w:rsidRPr="00593AD2" w:rsidRDefault="00AB373C" w:rsidP="00394BC1">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基金管理人或基金托管人处。</w:t>
      </w:r>
    </w:p>
    <w:p w:rsidR="00162222" w:rsidRPr="00593AD2" w:rsidRDefault="00162222" w:rsidP="00394BC1">
      <w:pPr>
        <w:spacing w:line="360" w:lineRule="auto"/>
        <w:ind w:firstLineChars="200" w:firstLine="480"/>
        <w:rPr>
          <w:rFonts w:asciiTheme="minorEastAsia" w:eastAsiaTheme="minorEastAsia" w:hAnsiTheme="minorEastAsia"/>
          <w:color w:val="000000" w:themeColor="text1"/>
          <w:sz w:val="24"/>
        </w:rPr>
      </w:pPr>
    </w:p>
    <w:p w:rsidR="00AB373C" w:rsidRPr="00593AD2"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593AD2">
        <w:rPr>
          <w:rFonts w:asciiTheme="minorEastAsia" w:eastAsiaTheme="minorEastAsia" w:hAnsiTheme="minorEastAsia" w:cs="Arial" w:hint="eastAsia"/>
          <w:b/>
          <w:color w:val="000000" w:themeColor="text1"/>
          <w:kern w:val="0"/>
          <w:sz w:val="24"/>
        </w:rPr>
        <w:t>8</w:t>
      </w:r>
      <w:r w:rsidR="00AB373C" w:rsidRPr="00593AD2">
        <w:rPr>
          <w:rFonts w:asciiTheme="minorEastAsia" w:eastAsiaTheme="minorEastAsia" w:hAnsiTheme="minorEastAsia"/>
          <w:b/>
          <w:bCs/>
          <w:color w:val="000000" w:themeColor="text1"/>
          <w:kern w:val="0"/>
          <w:sz w:val="24"/>
        </w:rPr>
        <w:t>.</w:t>
      </w:r>
      <w:r w:rsidR="00F1658B" w:rsidRPr="00593AD2">
        <w:rPr>
          <w:rFonts w:asciiTheme="minorEastAsia" w:eastAsiaTheme="minorEastAsia" w:hAnsiTheme="minorEastAsia"/>
          <w:b/>
          <w:bCs/>
          <w:color w:val="000000" w:themeColor="text1"/>
          <w:kern w:val="0"/>
          <w:sz w:val="24"/>
        </w:rPr>
        <w:t>3</w:t>
      </w:r>
      <w:r w:rsidR="00AB373C" w:rsidRPr="00593AD2">
        <w:rPr>
          <w:rFonts w:asciiTheme="minorEastAsia" w:eastAsiaTheme="minorEastAsia" w:hAnsiTheme="minorEastAsia" w:hint="eastAsia"/>
          <w:b/>
          <w:bCs/>
          <w:color w:val="000000" w:themeColor="text1"/>
          <w:kern w:val="0"/>
          <w:sz w:val="24"/>
        </w:rPr>
        <w:t>查阅方式</w:t>
      </w:r>
    </w:p>
    <w:p w:rsidR="009D74FC" w:rsidRPr="00593AD2" w:rsidRDefault="00AB373C" w:rsidP="00394BC1">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投资者可在营业时间免费查阅，也可按工本费购买复印件。</w:t>
      </w:r>
    </w:p>
    <w:p w:rsidR="00162222" w:rsidRPr="00593AD2" w:rsidRDefault="00162222" w:rsidP="004527E3">
      <w:pPr>
        <w:spacing w:line="360" w:lineRule="auto"/>
        <w:ind w:firstLineChars="200" w:firstLine="480"/>
        <w:rPr>
          <w:rFonts w:asciiTheme="minorEastAsia" w:eastAsiaTheme="minorEastAsia" w:hAnsiTheme="minorEastAsia"/>
          <w:color w:val="000000" w:themeColor="text1"/>
          <w:sz w:val="24"/>
        </w:rPr>
      </w:pPr>
    </w:p>
    <w:p w:rsidR="00162222" w:rsidRPr="00593AD2" w:rsidRDefault="00162222" w:rsidP="004527E3">
      <w:pPr>
        <w:spacing w:line="360" w:lineRule="auto"/>
        <w:ind w:firstLineChars="200" w:firstLine="480"/>
        <w:rPr>
          <w:rFonts w:asciiTheme="minorEastAsia" w:eastAsiaTheme="minorEastAsia" w:hAnsiTheme="minorEastAsia"/>
          <w:color w:val="000000" w:themeColor="text1"/>
          <w:sz w:val="24"/>
        </w:rPr>
      </w:pPr>
    </w:p>
    <w:p w:rsidR="00394BC1" w:rsidRPr="00593AD2"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593AD2"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593AD2"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593AD2"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593AD2" w:rsidRDefault="00394BC1" w:rsidP="004527E3">
      <w:pPr>
        <w:spacing w:line="360" w:lineRule="auto"/>
        <w:ind w:firstLineChars="200" w:firstLine="480"/>
        <w:rPr>
          <w:rFonts w:asciiTheme="minorEastAsia" w:eastAsiaTheme="minorEastAsia" w:hAnsiTheme="minorEastAsia"/>
          <w:color w:val="000000" w:themeColor="text1"/>
          <w:sz w:val="24"/>
        </w:rPr>
      </w:pPr>
    </w:p>
    <w:p w:rsidR="003B6DC6" w:rsidRPr="00593AD2" w:rsidRDefault="003B6DC6" w:rsidP="00196812">
      <w:pPr>
        <w:spacing w:line="360" w:lineRule="auto"/>
        <w:ind w:left="840"/>
        <w:jc w:val="right"/>
        <w:rPr>
          <w:rFonts w:asciiTheme="minorEastAsia" w:eastAsiaTheme="minorEastAsia" w:hAnsiTheme="minorEastAsia"/>
          <w:color w:val="000000" w:themeColor="text1"/>
          <w:sz w:val="24"/>
        </w:rPr>
      </w:pPr>
    </w:p>
    <w:p w:rsidR="002611C3" w:rsidRPr="00593AD2" w:rsidRDefault="002611C3" w:rsidP="00394BC1">
      <w:pPr>
        <w:spacing w:line="360" w:lineRule="auto"/>
        <w:jc w:val="right"/>
        <w:rPr>
          <w:rFonts w:asciiTheme="minorEastAsia" w:eastAsiaTheme="minorEastAsia" w:hAnsiTheme="minorEastAsia"/>
          <w:b/>
          <w:bCs/>
          <w:color w:val="000000" w:themeColor="text1"/>
          <w:sz w:val="24"/>
        </w:rPr>
      </w:pPr>
      <w:r w:rsidRPr="00593AD2">
        <w:rPr>
          <w:rFonts w:asciiTheme="minorEastAsia" w:eastAsiaTheme="minorEastAsia" w:hAnsiTheme="minorEastAsia"/>
          <w:b/>
          <w:bCs/>
          <w:color w:val="000000" w:themeColor="text1"/>
          <w:sz w:val="24"/>
        </w:rPr>
        <w:t>上投摩根基金管理有限公司</w:t>
      </w:r>
    </w:p>
    <w:p w:rsidR="003B6DC6" w:rsidRPr="00593AD2" w:rsidRDefault="00D87D00" w:rsidP="00394BC1">
      <w:pPr>
        <w:spacing w:line="360" w:lineRule="auto"/>
        <w:jc w:val="right"/>
        <w:rPr>
          <w:rFonts w:asciiTheme="minorEastAsia" w:eastAsiaTheme="minorEastAsia" w:hAnsiTheme="minorEastAsia"/>
          <w:b/>
          <w:bCs/>
          <w:color w:val="000000" w:themeColor="text1"/>
          <w:sz w:val="24"/>
        </w:rPr>
      </w:pPr>
      <w:r w:rsidRPr="00593AD2">
        <w:rPr>
          <w:rFonts w:asciiTheme="minorEastAsia" w:eastAsiaTheme="minorEastAsia" w:hAnsiTheme="minorEastAsia"/>
          <w:b/>
          <w:bCs/>
          <w:color w:val="000000" w:themeColor="text1"/>
          <w:sz w:val="24"/>
        </w:rPr>
        <w:t>二〇二二年四月二十二日</w:t>
      </w:r>
    </w:p>
    <w:sectPr w:rsidR="003B6DC6" w:rsidRPr="00593AD2" w:rsidSect="00075BBB">
      <w:pgSz w:w="11926" w:h="15840"/>
      <w:pgMar w:top="1420" w:right="1420" w:bottom="852" w:left="1420" w:header="851" w:footer="99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A42" w:rsidRDefault="00B15A42">
      <w:r>
        <w:separator/>
      </w:r>
    </w:p>
  </w:endnote>
  <w:endnote w:type="continuationSeparator" w:id="0">
    <w:p w:rsidR="00B15A42" w:rsidRDefault="00B15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C5D" w:rsidRPr="001D0DB0" w:rsidRDefault="00025C5D" w:rsidP="001D0DB0">
    <w:pPr>
      <w:pStyle w:val="a6"/>
      <w:jc w:val="center"/>
    </w:pPr>
    <w:r>
      <w:rPr>
        <w:rFonts w:hint="eastAsia"/>
        <w:kern w:val="0"/>
        <w:szCs w:val="21"/>
      </w:rPr>
      <w:t>第</w:t>
    </w:r>
    <w:r w:rsidR="00DE59DF">
      <w:rPr>
        <w:kern w:val="0"/>
        <w:szCs w:val="21"/>
      </w:rPr>
      <w:fldChar w:fldCharType="begin"/>
    </w:r>
    <w:r>
      <w:rPr>
        <w:kern w:val="0"/>
        <w:szCs w:val="21"/>
      </w:rPr>
      <w:instrText xml:space="preserve"> PAGE </w:instrText>
    </w:r>
    <w:r w:rsidR="00DE59DF">
      <w:rPr>
        <w:kern w:val="0"/>
        <w:szCs w:val="21"/>
      </w:rPr>
      <w:fldChar w:fldCharType="separate"/>
    </w:r>
    <w:r w:rsidR="002E1928">
      <w:rPr>
        <w:noProof/>
        <w:kern w:val="0"/>
        <w:szCs w:val="21"/>
      </w:rPr>
      <w:t>1</w:t>
    </w:r>
    <w:r w:rsidR="00DE59DF">
      <w:rPr>
        <w:kern w:val="0"/>
        <w:szCs w:val="21"/>
      </w:rPr>
      <w:fldChar w:fldCharType="end"/>
    </w:r>
    <w:r>
      <w:rPr>
        <w:rFonts w:hint="eastAsia"/>
        <w:kern w:val="0"/>
        <w:szCs w:val="21"/>
      </w:rPr>
      <w:t>页共</w:t>
    </w:r>
    <w:r w:rsidR="00DE59DF">
      <w:rPr>
        <w:kern w:val="0"/>
        <w:szCs w:val="21"/>
      </w:rPr>
      <w:fldChar w:fldCharType="begin"/>
    </w:r>
    <w:r>
      <w:rPr>
        <w:kern w:val="0"/>
        <w:szCs w:val="21"/>
      </w:rPr>
      <w:instrText xml:space="preserve"> NUMPAGES </w:instrText>
    </w:r>
    <w:r w:rsidR="00DE59DF">
      <w:rPr>
        <w:kern w:val="0"/>
        <w:szCs w:val="21"/>
      </w:rPr>
      <w:fldChar w:fldCharType="separate"/>
    </w:r>
    <w:r w:rsidR="002E1928">
      <w:rPr>
        <w:noProof/>
        <w:kern w:val="0"/>
        <w:szCs w:val="21"/>
      </w:rPr>
      <w:t>17</w:t>
    </w:r>
    <w:r w:rsidR="00DE59DF">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A42" w:rsidRDefault="00B15A42">
      <w:r>
        <w:separator/>
      </w:r>
    </w:p>
  </w:footnote>
  <w:footnote w:type="continuationSeparator" w:id="0">
    <w:p w:rsidR="00B15A42" w:rsidRDefault="00B15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C5D" w:rsidRDefault="00025C5D" w:rsidP="008379E2">
    <w:pPr>
      <w:pStyle w:val="a4"/>
      <w:pBdr>
        <w:bottom w:val="single" w:sz="6" w:space="0" w:color="auto"/>
      </w:pBdr>
      <w:jc w:val="right"/>
    </w:pPr>
    <w:r>
      <w:rPr>
        <w:sz w:val="21"/>
        <w:szCs w:val="21"/>
      </w:rPr>
      <w:t>上投摩根天添盈货币市场基金</w:t>
    </w:r>
    <w:r>
      <w:rPr>
        <w:sz w:val="21"/>
        <w:szCs w:val="21"/>
      </w:rPr>
      <w:t>2022</w:t>
    </w:r>
    <w:r>
      <w:rPr>
        <w:sz w:val="21"/>
        <w:szCs w:val="21"/>
      </w:rPr>
      <w:t>年第</w:t>
    </w:r>
    <w:r>
      <w:rPr>
        <w:sz w:val="21"/>
        <w:szCs w:val="21"/>
      </w:rPr>
      <w:t>1</w:t>
    </w:r>
    <w:r>
      <w:rPr>
        <w:sz w:val="21"/>
        <w:szCs w:val="21"/>
      </w:rPr>
      <w:t>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1" w15:restartNumberingAfterBreak="0">
    <w:nsid w:val="76E15721"/>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1552D"/>
    <w:rsid w:val="0001566B"/>
    <w:rsid w:val="0002085F"/>
    <w:rsid w:val="00025C5D"/>
    <w:rsid w:val="00035596"/>
    <w:rsid w:val="000417E0"/>
    <w:rsid w:val="00044724"/>
    <w:rsid w:val="0004699A"/>
    <w:rsid w:val="00052CA4"/>
    <w:rsid w:val="00054470"/>
    <w:rsid w:val="0005518A"/>
    <w:rsid w:val="000570EB"/>
    <w:rsid w:val="00057D26"/>
    <w:rsid w:val="00063BA4"/>
    <w:rsid w:val="0006697D"/>
    <w:rsid w:val="00070092"/>
    <w:rsid w:val="0007109E"/>
    <w:rsid w:val="00072602"/>
    <w:rsid w:val="00075BBB"/>
    <w:rsid w:val="00075CA2"/>
    <w:rsid w:val="0007770D"/>
    <w:rsid w:val="000A225E"/>
    <w:rsid w:val="000A39AB"/>
    <w:rsid w:val="000A466F"/>
    <w:rsid w:val="000B2044"/>
    <w:rsid w:val="000B2266"/>
    <w:rsid w:val="000C469F"/>
    <w:rsid w:val="000D0F44"/>
    <w:rsid w:val="000D6294"/>
    <w:rsid w:val="000E0F6E"/>
    <w:rsid w:val="000F3C21"/>
    <w:rsid w:val="000F4826"/>
    <w:rsid w:val="000F5947"/>
    <w:rsid w:val="00101278"/>
    <w:rsid w:val="00102307"/>
    <w:rsid w:val="001038EF"/>
    <w:rsid w:val="00103B93"/>
    <w:rsid w:val="001074D6"/>
    <w:rsid w:val="00113777"/>
    <w:rsid w:val="00114C97"/>
    <w:rsid w:val="001302DB"/>
    <w:rsid w:val="00136502"/>
    <w:rsid w:val="001539FE"/>
    <w:rsid w:val="00157B55"/>
    <w:rsid w:val="00162222"/>
    <w:rsid w:val="001635C7"/>
    <w:rsid w:val="001669F2"/>
    <w:rsid w:val="0016721A"/>
    <w:rsid w:val="0018401C"/>
    <w:rsid w:val="00185622"/>
    <w:rsid w:val="00186667"/>
    <w:rsid w:val="00191B28"/>
    <w:rsid w:val="00193BCF"/>
    <w:rsid w:val="00195C6F"/>
    <w:rsid w:val="00196812"/>
    <w:rsid w:val="00197ED0"/>
    <w:rsid w:val="001A2524"/>
    <w:rsid w:val="001B42BE"/>
    <w:rsid w:val="001B72D6"/>
    <w:rsid w:val="001B7CC6"/>
    <w:rsid w:val="001C5D80"/>
    <w:rsid w:val="001D0D4C"/>
    <w:rsid w:val="001D0DB0"/>
    <w:rsid w:val="001D3FAC"/>
    <w:rsid w:val="001D65C8"/>
    <w:rsid w:val="001D6ECD"/>
    <w:rsid w:val="001D75D9"/>
    <w:rsid w:val="001F0286"/>
    <w:rsid w:val="001F5907"/>
    <w:rsid w:val="00205D49"/>
    <w:rsid w:val="0020640F"/>
    <w:rsid w:val="0021251E"/>
    <w:rsid w:val="00220437"/>
    <w:rsid w:val="00232095"/>
    <w:rsid w:val="00233014"/>
    <w:rsid w:val="0024424F"/>
    <w:rsid w:val="002507FE"/>
    <w:rsid w:val="002525C7"/>
    <w:rsid w:val="002611C3"/>
    <w:rsid w:val="002622E8"/>
    <w:rsid w:val="00267283"/>
    <w:rsid w:val="00274FAC"/>
    <w:rsid w:val="002A4B7F"/>
    <w:rsid w:val="002B45A4"/>
    <w:rsid w:val="002D3ADF"/>
    <w:rsid w:val="002E040C"/>
    <w:rsid w:val="002E0F4A"/>
    <w:rsid w:val="002E1928"/>
    <w:rsid w:val="002F0E9D"/>
    <w:rsid w:val="002F1496"/>
    <w:rsid w:val="002F6539"/>
    <w:rsid w:val="00307062"/>
    <w:rsid w:val="00311ADA"/>
    <w:rsid w:val="00311AEB"/>
    <w:rsid w:val="00322B07"/>
    <w:rsid w:val="0032323A"/>
    <w:rsid w:val="00323377"/>
    <w:rsid w:val="00327FB0"/>
    <w:rsid w:val="0033599F"/>
    <w:rsid w:val="00340292"/>
    <w:rsid w:val="00340456"/>
    <w:rsid w:val="00340C3A"/>
    <w:rsid w:val="00343648"/>
    <w:rsid w:val="00343AF0"/>
    <w:rsid w:val="00346359"/>
    <w:rsid w:val="00346B82"/>
    <w:rsid w:val="0035022C"/>
    <w:rsid w:val="0035215C"/>
    <w:rsid w:val="00362E2A"/>
    <w:rsid w:val="00371E26"/>
    <w:rsid w:val="00373AAB"/>
    <w:rsid w:val="00383631"/>
    <w:rsid w:val="00384942"/>
    <w:rsid w:val="0039077A"/>
    <w:rsid w:val="00394455"/>
    <w:rsid w:val="00394BC1"/>
    <w:rsid w:val="00395D2C"/>
    <w:rsid w:val="003A0EC1"/>
    <w:rsid w:val="003A1E1E"/>
    <w:rsid w:val="003B36B4"/>
    <w:rsid w:val="003B6DC6"/>
    <w:rsid w:val="003C0E8C"/>
    <w:rsid w:val="003C1137"/>
    <w:rsid w:val="003C495A"/>
    <w:rsid w:val="003D1ECF"/>
    <w:rsid w:val="003D21F4"/>
    <w:rsid w:val="003E14FE"/>
    <w:rsid w:val="003E565B"/>
    <w:rsid w:val="003F43EB"/>
    <w:rsid w:val="00402654"/>
    <w:rsid w:val="00403ED2"/>
    <w:rsid w:val="004250C5"/>
    <w:rsid w:val="00425438"/>
    <w:rsid w:val="00433C1E"/>
    <w:rsid w:val="004369B0"/>
    <w:rsid w:val="00440828"/>
    <w:rsid w:val="0044257C"/>
    <w:rsid w:val="00446474"/>
    <w:rsid w:val="004527E3"/>
    <w:rsid w:val="00452D31"/>
    <w:rsid w:val="00455AA7"/>
    <w:rsid w:val="00460000"/>
    <w:rsid w:val="00461A70"/>
    <w:rsid w:val="004702DF"/>
    <w:rsid w:val="00470F55"/>
    <w:rsid w:val="00471444"/>
    <w:rsid w:val="00473E10"/>
    <w:rsid w:val="00473EC9"/>
    <w:rsid w:val="00474896"/>
    <w:rsid w:val="004771B9"/>
    <w:rsid w:val="004950A3"/>
    <w:rsid w:val="00496B2E"/>
    <w:rsid w:val="004A0C6B"/>
    <w:rsid w:val="004A2432"/>
    <w:rsid w:val="004A357E"/>
    <w:rsid w:val="004A46A0"/>
    <w:rsid w:val="004A5B68"/>
    <w:rsid w:val="004B1C09"/>
    <w:rsid w:val="004C5B7C"/>
    <w:rsid w:val="004D22E1"/>
    <w:rsid w:val="004D51CC"/>
    <w:rsid w:val="004D72C7"/>
    <w:rsid w:val="004E041A"/>
    <w:rsid w:val="004E3452"/>
    <w:rsid w:val="004E4E63"/>
    <w:rsid w:val="00500487"/>
    <w:rsid w:val="00506EF6"/>
    <w:rsid w:val="005109AB"/>
    <w:rsid w:val="005141F5"/>
    <w:rsid w:val="0051505A"/>
    <w:rsid w:val="00515166"/>
    <w:rsid w:val="0051578D"/>
    <w:rsid w:val="005212AE"/>
    <w:rsid w:val="00532457"/>
    <w:rsid w:val="00532749"/>
    <w:rsid w:val="00533490"/>
    <w:rsid w:val="0054464B"/>
    <w:rsid w:val="00546747"/>
    <w:rsid w:val="0054785C"/>
    <w:rsid w:val="00555883"/>
    <w:rsid w:val="00560F94"/>
    <w:rsid w:val="005633AD"/>
    <w:rsid w:val="00564C24"/>
    <w:rsid w:val="00570F8C"/>
    <w:rsid w:val="00575970"/>
    <w:rsid w:val="00582960"/>
    <w:rsid w:val="00592D0A"/>
    <w:rsid w:val="00593AD2"/>
    <w:rsid w:val="00594DCA"/>
    <w:rsid w:val="00595285"/>
    <w:rsid w:val="005A60B7"/>
    <w:rsid w:val="005B527B"/>
    <w:rsid w:val="005C0C60"/>
    <w:rsid w:val="005D1BAF"/>
    <w:rsid w:val="005D596C"/>
    <w:rsid w:val="005D6807"/>
    <w:rsid w:val="005E05CC"/>
    <w:rsid w:val="005E2087"/>
    <w:rsid w:val="005E4C7D"/>
    <w:rsid w:val="005E6FA5"/>
    <w:rsid w:val="005F17EC"/>
    <w:rsid w:val="005F41D2"/>
    <w:rsid w:val="005F668B"/>
    <w:rsid w:val="005F6B28"/>
    <w:rsid w:val="00613327"/>
    <w:rsid w:val="006214E4"/>
    <w:rsid w:val="006254A5"/>
    <w:rsid w:val="006317E8"/>
    <w:rsid w:val="00631E43"/>
    <w:rsid w:val="0063302E"/>
    <w:rsid w:val="00633177"/>
    <w:rsid w:val="006331F2"/>
    <w:rsid w:val="00636261"/>
    <w:rsid w:val="00636B17"/>
    <w:rsid w:val="0064191E"/>
    <w:rsid w:val="00664834"/>
    <w:rsid w:val="00672BEF"/>
    <w:rsid w:val="00673BA5"/>
    <w:rsid w:val="006911A1"/>
    <w:rsid w:val="006A0876"/>
    <w:rsid w:val="006A1E40"/>
    <w:rsid w:val="006A2D00"/>
    <w:rsid w:val="006B4C67"/>
    <w:rsid w:val="006B4FD5"/>
    <w:rsid w:val="006B56E1"/>
    <w:rsid w:val="006D27DD"/>
    <w:rsid w:val="006D4647"/>
    <w:rsid w:val="006D4C22"/>
    <w:rsid w:val="006E4EB5"/>
    <w:rsid w:val="006F1C55"/>
    <w:rsid w:val="006F3CEE"/>
    <w:rsid w:val="006F58CA"/>
    <w:rsid w:val="006F622C"/>
    <w:rsid w:val="00704607"/>
    <w:rsid w:val="00707CB2"/>
    <w:rsid w:val="00710487"/>
    <w:rsid w:val="00714B3D"/>
    <w:rsid w:val="00714FD1"/>
    <w:rsid w:val="007277D1"/>
    <w:rsid w:val="00727EA0"/>
    <w:rsid w:val="0073105A"/>
    <w:rsid w:val="00734B8E"/>
    <w:rsid w:val="00737060"/>
    <w:rsid w:val="00741288"/>
    <w:rsid w:val="0074455F"/>
    <w:rsid w:val="00746FAF"/>
    <w:rsid w:val="007521F9"/>
    <w:rsid w:val="00756489"/>
    <w:rsid w:val="00756EA2"/>
    <w:rsid w:val="00757F37"/>
    <w:rsid w:val="007600BC"/>
    <w:rsid w:val="00762326"/>
    <w:rsid w:val="00762E87"/>
    <w:rsid w:val="00764CF7"/>
    <w:rsid w:val="007723FD"/>
    <w:rsid w:val="00772687"/>
    <w:rsid w:val="00774E1E"/>
    <w:rsid w:val="00780252"/>
    <w:rsid w:val="007806BE"/>
    <w:rsid w:val="00782061"/>
    <w:rsid w:val="00783AD8"/>
    <w:rsid w:val="00785897"/>
    <w:rsid w:val="00785C32"/>
    <w:rsid w:val="007A3F82"/>
    <w:rsid w:val="007B082A"/>
    <w:rsid w:val="007B1C3E"/>
    <w:rsid w:val="007C42E5"/>
    <w:rsid w:val="007E0C02"/>
    <w:rsid w:val="007E5ADE"/>
    <w:rsid w:val="007F1DE3"/>
    <w:rsid w:val="007F7BD7"/>
    <w:rsid w:val="0080026E"/>
    <w:rsid w:val="008011BF"/>
    <w:rsid w:val="008056FA"/>
    <w:rsid w:val="00810ECA"/>
    <w:rsid w:val="008115B6"/>
    <w:rsid w:val="00813897"/>
    <w:rsid w:val="00814461"/>
    <w:rsid w:val="00824D84"/>
    <w:rsid w:val="00825EA5"/>
    <w:rsid w:val="00833555"/>
    <w:rsid w:val="008347B3"/>
    <w:rsid w:val="00834D9F"/>
    <w:rsid w:val="00835BDD"/>
    <w:rsid w:val="008379E2"/>
    <w:rsid w:val="008509A1"/>
    <w:rsid w:val="00852119"/>
    <w:rsid w:val="0085498E"/>
    <w:rsid w:val="0086245E"/>
    <w:rsid w:val="00877329"/>
    <w:rsid w:val="00880EE6"/>
    <w:rsid w:val="00882323"/>
    <w:rsid w:val="00893021"/>
    <w:rsid w:val="008B23BD"/>
    <w:rsid w:val="008C579A"/>
    <w:rsid w:val="008D0A39"/>
    <w:rsid w:val="008D55F2"/>
    <w:rsid w:val="008E4638"/>
    <w:rsid w:val="008E71D2"/>
    <w:rsid w:val="008F44F3"/>
    <w:rsid w:val="009004F7"/>
    <w:rsid w:val="00902E3F"/>
    <w:rsid w:val="00903E98"/>
    <w:rsid w:val="00903F06"/>
    <w:rsid w:val="00906C9B"/>
    <w:rsid w:val="00910FB5"/>
    <w:rsid w:val="00911C0E"/>
    <w:rsid w:val="009153D7"/>
    <w:rsid w:val="009223B5"/>
    <w:rsid w:val="00924D28"/>
    <w:rsid w:val="00927F83"/>
    <w:rsid w:val="0094213C"/>
    <w:rsid w:val="0094236C"/>
    <w:rsid w:val="00943AFD"/>
    <w:rsid w:val="0097021E"/>
    <w:rsid w:val="00971C19"/>
    <w:rsid w:val="00971D35"/>
    <w:rsid w:val="00973773"/>
    <w:rsid w:val="00976A1A"/>
    <w:rsid w:val="00984794"/>
    <w:rsid w:val="0099296A"/>
    <w:rsid w:val="009965A5"/>
    <w:rsid w:val="009A56D7"/>
    <w:rsid w:val="009A755D"/>
    <w:rsid w:val="009B15FD"/>
    <w:rsid w:val="009B2693"/>
    <w:rsid w:val="009B3C3F"/>
    <w:rsid w:val="009B73A7"/>
    <w:rsid w:val="009B7B0C"/>
    <w:rsid w:val="009C1A42"/>
    <w:rsid w:val="009D19C1"/>
    <w:rsid w:val="009D60EB"/>
    <w:rsid w:val="009D74FC"/>
    <w:rsid w:val="009E07F4"/>
    <w:rsid w:val="009E2527"/>
    <w:rsid w:val="009E2BAA"/>
    <w:rsid w:val="009E3E0B"/>
    <w:rsid w:val="009F1592"/>
    <w:rsid w:val="009F480F"/>
    <w:rsid w:val="00A01505"/>
    <w:rsid w:val="00A01DDC"/>
    <w:rsid w:val="00A1530B"/>
    <w:rsid w:val="00A16747"/>
    <w:rsid w:val="00A16D78"/>
    <w:rsid w:val="00A24DC0"/>
    <w:rsid w:val="00A42A96"/>
    <w:rsid w:val="00A455A0"/>
    <w:rsid w:val="00A457E5"/>
    <w:rsid w:val="00A50D92"/>
    <w:rsid w:val="00A608C4"/>
    <w:rsid w:val="00A62DD4"/>
    <w:rsid w:val="00A65A66"/>
    <w:rsid w:val="00A7219D"/>
    <w:rsid w:val="00A805BC"/>
    <w:rsid w:val="00A8086F"/>
    <w:rsid w:val="00A80F9F"/>
    <w:rsid w:val="00A81075"/>
    <w:rsid w:val="00A87550"/>
    <w:rsid w:val="00A95FA9"/>
    <w:rsid w:val="00AA5B03"/>
    <w:rsid w:val="00AA68D4"/>
    <w:rsid w:val="00AB24CA"/>
    <w:rsid w:val="00AB373C"/>
    <w:rsid w:val="00AB5159"/>
    <w:rsid w:val="00AC2B47"/>
    <w:rsid w:val="00AC3D9E"/>
    <w:rsid w:val="00AC6C3D"/>
    <w:rsid w:val="00AD1ADB"/>
    <w:rsid w:val="00AE17F1"/>
    <w:rsid w:val="00AE2FB9"/>
    <w:rsid w:val="00AE342F"/>
    <w:rsid w:val="00AE4F96"/>
    <w:rsid w:val="00AE6D9A"/>
    <w:rsid w:val="00AE7435"/>
    <w:rsid w:val="00AF2397"/>
    <w:rsid w:val="00AF27F9"/>
    <w:rsid w:val="00AF3D19"/>
    <w:rsid w:val="00B040BC"/>
    <w:rsid w:val="00B0441A"/>
    <w:rsid w:val="00B044FC"/>
    <w:rsid w:val="00B06458"/>
    <w:rsid w:val="00B15A42"/>
    <w:rsid w:val="00B213AC"/>
    <w:rsid w:val="00B25119"/>
    <w:rsid w:val="00B27004"/>
    <w:rsid w:val="00B33F45"/>
    <w:rsid w:val="00B33FA5"/>
    <w:rsid w:val="00B415B8"/>
    <w:rsid w:val="00B420AC"/>
    <w:rsid w:val="00B4354A"/>
    <w:rsid w:val="00B54CC5"/>
    <w:rsid w:val="00B60E27"/>
    <w:rsid w:val="00B64D62"/>
    <w:rsid w:val="00B6626F"/>
    <w:rsid w:val="00B83944"/>
    <w:rsid w:val="00B94B49"/>
    <w:rsid w:val="00BA7AF1"/>
    <w:rsid w:val="00BB03CC"/>
    <w:rsid w:val="00BB252C"/>
    <w:rsid w:val="00BB5126"/>
    <w:rsid w:val="00BB735C"/>
    <w:rsid w:val="00BB7518"/>
    <w:rsid w:val="00BC0205"/>
    <w:rsid w:val="00BC14F5"/>
    <w:rsid w:val="00BC2146"/>
    <w:rsid w:val="00BD6918"/>
    <w:rsid w:val="00BE1FC8"/>
    <w:rsid w:val="00BE439F"/>
    <w:rsid w:val="00BE5584"/>
    <w:rsid w:val="00BE7933"/>
    <w:rsid w:val="00BF1111"/>
    <w:rsid w:val="00BF3886"/>
    <w:rsid w:val="00C009AF"/>
    <w:rsid w:val="00C2005E"/>
    <w:rsid w:val="00C205E4"/>
    <w:rsid w:val="00C262B2"/>
    <w:rsid w:val="00C2782D"/>
    <w:rsid w:val="00C3040F"/>
    <w:rsid w:val="00C31708"/>
    <w:rsid w:val="00C36C15"/>
    <w:rsid w:val="00C4213A"/>
    <w:rsid w:val="00C4371A"/>
    <w:rsid w:val="00C4627A"/>
    <w:rsid w:val="00C637D1"/>
    <w:rsid w:val="00C640B8"/>
    <w:rsid w:val="00C7033B"/>
    <w:rsid w:val="00C75870"/>
    <w:rsid w:val="00C83157"/>
    <w:rsid w:val="00C916DD"/>
    <w:rsid w:val="00C927D5"/>
    <w:rsid w:val="00CA0730"/>
    <w:rsid w:val="00CA1C04"/>
    <w:rsid w:val="00CA3808"/>
    <w:rsid w:val="00CA592F"/>
    <w:rsid w:val="00CA65DD"/>
    <w:rsid w:val="00CB0E8A"/>
    <w:rsid w:val="00CC05B9"/>
    <w:rsid w:val="00CC3F83"/>
    <w:rsid w:val="00CC57FC"/>
    <w:rsid w:val="00CC7DB0"/>
    <w:rsid w:val="00CD5F24"/>
    <w:rsid w:val="00CE0E18"/>
    <w:rsid w:val="00CE193A"/>
    <w:rsid w:val="00CE5ABB"/>
    <w:rsid w:val="00CE6A71"/>
    <w:rsid w:val="00CF6DF0"/>
    <w:rsid w:val="00CF7E28"/>
    <w:rsid w:val="00D02B35"/>
    <w:rsid w:val="00D06255"/>
    <w:rsid w:val="00D15D82"/>
    <w:rsid w:val="00D1705E"/>
    <w:rsid w:val="00D20E97"/>
    <w:rsid w:val="00D25602"/>
    <w:rsid w:val="00D272EB"/>
    <w:rsid w:val="00D30BD3"/>
    <w:rsid w:val="00D33791"/>
    <w:rsid w:val="00D33BA8"/>
    <w:rsid w:val="00D364EB"/>
    <w:rsid w:val="00D40363"/>
    <w:rsid w:val="00D451BC"/>
    <w:rsid w:val="00D51E96"/>
    <w:rsid w:val="00D568BB"/>
    <w:rsid w:val="00D63B9E"/>
    <w:rsid w:val="00D65D90"/>
    <w:rsid w:val="00D66016"/>
    <w:rsid w:val="00D769BA"/>
    <w:rsid w:val="00D8034F"/>
    <w:rsid w:val="00D81755"/>
    <w:rsid w:val="00D8617C"/>
    <w:rsid w:val="00D87D00"/>
    <w:rsid w:val="00D94E23"/>
    <w:rsid w:val="00DA1983"/>
    <w:rsid w:val="00DA2F1E"/>
    <w:rsid w:val="00DA5831"/>
    <w:rsid w:val="00DB2873"/>
    <w:rsid w:val="00DC2192"/>
    <w:rsid w:val="00DC4482"/>
    <w:rsid w:val="00DD5028"/>
    <w:rsid w:val="00DE59DF"/>
    <w:rsid w:val="00DF1198"/>
    <w:rsid w:val="00E009CD"/>
    <w:rsid w:val="00E12082"/>
    <w:rsid w:val="00E13C0E"/>
    <w:rsid w:val="00E17226"/>
    <w:rsid w:val="00E17870"/>
    <w:rsid w:val="00E21589"/>
    <w:rsid w:val="00E24D9E"/>
    <w:rsid w:val="00E257C8"/>
    <w:rsid w:val="00E26581"/>
    <w:rsid w:val="00E2722E"/>
    <w:rsid w:val="00E3447D"/>
    <w:rsid w:val="00E431CE"/>
    <w:rsid w:val="00E445F8"/>
    <w:rsid w:val="00E503E4"/>
    <w:rsid w:val="00E55E02"/>
    <w:rsid w:val="00E571C4"/>
    <w:rsid w:val="00E63B3D"/>
    <w:rsid w:val="00E64479"/>
    <w:rsid w:val="00E65A8C"/>
    <w:rsid w:val="00E67D99"/>
    <w:rsid w:val="00E75556"/>
    <w:rsid w:val="00E75EFA"/>
    <w:rsid w:val="00E76F1F"/>
    <w:rsid w:val="00E80BE2"/>
    <w:rsid w:val="00E8309D"/>
    <w:rsid w:val="00E90A9C"/>
    <w:rsid w:val="00E9326F"/>
    <w:rsid w:val="00E93AA5"/>
    <w:rsid w:val="00E95356"/>
    <w:rsid w:val="00E966E5"/>
    <w:rsid w:val="00EA3D96"/>
    <w:rsid w:val="00EA6B69"/>
    <w:rsid w:val="00EA6B7B"/>
    <w:rsid w:val="00EB25E4"/>
    <w:rsid w:val="00EB3D8B"/>
    <w:rsid w:val="00ED1B77"/>
    <w:rsid w:val="00ED5511"/>
    <w:rsid w:val="00ED57D1"/>
    <w:rsid w:val="00EF3B7C"/>
    <w:rsid w:val="00EF56FA"/>
    <w:rsid w:val="00EF6216"/>
    <w:rsid w:val="00EF6E42"/>
    <w:rsid w:val="00F0613C"/>
    <w:rsid w:val="00F11244"/>
    <w:rsid w:val="00F14A7B"/>
    <w:rsid w:val="00F1658B"/>
    <w:rsid w:val="00F2540D"/>
    <w:rsid w:val="00F26602"/>
    <w:rsid w:val="00F31380"/>
    <w:rsid w:val="00F333BF"/>
    <w:rsid w:val="00F34499"/>
    <w:rsid w:val="00F406E3"/>
    <w:rsid w:val="00F40C82"/>
    <w:rsid w:val="00F5114E"/>
    <w:rsid w:val="00F53B1A"/>
    <w:rsid w:val="00F54568"/>
    <w:rsid w:val="00F56343"/>
    <w:rsid w:val="00F57249"/>
    <w:rsid w:val="00F62DE3"/>
    <w:rsid w:val="00F77131"/>
    <w:rsid w:val="00F85D7E"/>
    <w:rsid w:val="00F95038"/>
    <w:rsid w:val="00FA4C13"/>
    <w:rsid w:val="00FB0D19"/>
    <w:rsid w:val="00FB345F"/>
    <w:rsid w:val="00FB4DA5"/>
    <w:rsid w:val="00FB56E0"/>
    <w:rsid w:val="00FC57A1"/>
    <w:rsid w:val="00FC6D26"/>
    <w:rsid w:val="00FD3820"/>
    <w:rsid w:val="00FE6E6D"/>
    <w:rsid w:val="00FF0DAE"/>
    <w:rsid w:val="00FF3092"/>
    <w:rsid w:val="00FF4B06"/>
    <w:rsid w:val="00FF7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5:docId w15:val="{B5925761-9D6D-4930-9DFF-4CA4A404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794"/>
    <w:pPr>
      <w:widowControl w:val="0"/>
      <w:jc w:val="both"/>
    </w:pPr>
    <w:rPr>
      <w:kern w:val="2"/>
      <w:sz w:val="21"/>
      <w:szCs w:val="24"/>
    </w:rPr>
  </w:style>
  <w:style w:type="paragraph" w:styleId="1">
    <w:name w:val="heading 1"/>
    <w:basedOn w:val="a"/>
    <w:next w:val="a"/>
    <w:link w:val="10"/>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613327"/>
    <w:pPr>
      <w:pBdr>
        <w:bottom w:val="single" w:sz="6" w:space="1" w:color="auto"/>
      </w:pBdr>
      <w:tabs>
        <w:tab w:val="center" w:pos="4153"/>
        <w:tab w:val="right" w:pos="8306"/>
      </w:tabs>
      <w:snapToGrid w:val="0"/>
      <w:jc w:val="center"/>
    </w:pPr>
    <w:rPr>
      <w:sz w:val="18"/>
      <w:szCs w:val="18"/>
    </w:rPr>
  </w:style>
  <w:style w:type="paragraph" w:styleId="a6">
    <w:name w:val="footer"/>
    <w:basedOn w:val="a"/>
    <w:rsid w:val="00613327"/>
    <w:pPr>
      <w:tabs>
        <w:tab w:val="center" w:pos="4153"/>
        <w:tab w:val="right" w:pos="8306"/>
      </w:tabs>
      <w:snapToGrid w:val="0"/>
      <w:jc w:val="left"/>
    </w:pPr>
    <w:rPr>
      <w:sz w:val="18"/>
      <w:szCs w:val="18"/>
    </w:rPr>
  </w:style>
  <w:style w:type="paragraph" w:customStyle="1" w:styleId="Char">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7">
    <w:name w:val="Plain Text"/>
    <w:basedOn w:val="a"/>
    <w:link w:val="a8"/>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9">
    <w:name w:val="Document Map"/>
    <w:basedOn w:val="a"/>
    <w:semiHidden/>
    <w:rsid w:val="005212AE"/>
    <w:pPr>
      <w:shd w:val="clear" w:color="auto" w:fill="000080"/>
    </w:pPr>
  </w:style>
  <w:style w:type="character" w:customStyle="1" w:styleId="a8">
    <w:name w:val="纯文本 字符"/>
    <w:link w:val="a7"/>
    <w:uiPriority w:val="99"/>
    <w:rsid w:val="00E63B3D"/>
    <w:rPr>
      <w:rFonts w:ascii="宋体" w:hAnsi="Courier New"/>
      <w:kern w:val="2"/>
      <w:sz w:val="21"/>
      <w:szCs w:val="21"/>
    </w:rPr>
  </w:style>
  <w:style w:type="paragraph" w:styleId="aa">
    <w:name w:val="Balloon Text"/>
    <w:basedOn w:val="a"/>
    <w:link w:val="ab"/>
    <w:rsid w:val="00E63B3D"/>
    <w:rPr>
      <w:sz w:val="18"/>
      <w:szCs w:val="18"/>
    </w:rPr>
  </w:style>
  <w:style w:type="character" w:customStyle="1" w:styleId="ab">
    <w:name w:val="批注框文本 字符"/>
    <w:basedOn w:val="a1"/>
    <w:link w:val="aa"/>
    <w:rsid w:val="00E63B3D"/>
    <w:rPr>
      <w:kern w:val="2"/>
      <w:sz w:val="18"/>
      <w:szCs w:val="18"/>
    </w:rPr>
  </w:style>
  <w:style w:type="paragraph" w:styleId="ac">
    <w:name w:val="List Paragraph"/>
    <w:basedOn w:val="a"/>
    <w:uiPriority w:val="34"/>
    <w:qFormat/>
    <w:rsid w:val="005F668B"/>
    <w:pPr>
      <w:ind w:firstLineChars="200" w:firstLine="420"/>
    </w:pPr>
  </w:style>
  <w:style w:type="table" w:styleId="ad">
    <w:name w:val="Table Grid"/>
    <w:basedOn w:val="a2"/>
    <w:uiPriority w:val="99"/>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a5">
    <w:name w:val="页眉 字符"/>
    <w:basedOn w:val="a1"/>
    <w:link w:val="a4"/>
    <w:uiPriority w:val="99"/>
    <w:rsid w:val="008379E2"/>
    <w:rPr>
      <w:kern w:val="2"/>
      <w:sz w:val="18"/>
      <w:szCs w:val="18"/>
    </w:rPr>
  </w:style>
  <w:style w:type="character" w:customStyle="1" w:styleId="10">
    <w:name w:val="标题 1 字符"/>
    <w:basedOn w:val="a1"/>
    <w:link w:val="1"/>
    <w:rsid w:val="00CA65DD"/>
    <w:rPr>
      <w:b/>
      <w:bCs/>
      <w:kern w:val="44"/>
      <w:sz w:val="44"/>
      <w:szCs w:val="44"/>
    </w:rPr>
  </w:style>
  <w:style w:type="paragraph" w:styleId="af">
    <w:name w:val="Date"/>
    <w:basedOn w:val="a"/>
    <w:next w:val="a"/>
    <w:link w:val="af0"/>
    <w:rsid w:val="00D66016"/>
    <w:rPr>
      <w:sz w:val="24"/>
      <w:szCs w:val="20"/>
    </w:rPr>
  </w:style>
  <w:style w:type="character" w:customStyle="1" w:styleId="af0">
    <w:name w:val="日期 字符"/>
    <w:basedOn w:val="a1"/>
    <w:link w:val="af"/>
    <w:rsid w:val="00D66016"/>
    <w:rPr>
      <w:kern w:val="2"/>
      <w:sz w:val="24"/>
    </w:rPr>
  </w:style>
  <w:style w:type="paragraph" w:styleId="af1">
    <w:name w:val="footnote text"/>
    <w:basedOn w:val="a"/>
    <w:link w:val="af2"/>
    <w:rsid w:val="006B56E1"/>
    <w:pPr>
      <w:snapToGrid w:val="0"/>
      <w:jc w:val="left"/>
    </w:pPr>
    <w:rPr>
      <w:sz w:val="18"/>
      <w:szCs w:val="18"/>
    </w:rPr>
  </w:style>
  <w:style w:type="character" w:customStyle="1" w:styleId="af2">
    <w:name w:val="脚注文本 字符"/>
    <w:basedOn w:val="a1"/>
    <w:link w:val="af1"/>
    <w:rsid w:val="006B56E1"/>
    <w:rPr>
      <w:kern w:val="2"/>
      <w:sz w:val="18"/>
      <w:szCs w:val="18"/>
    </w:rPr>
  </w:style>
  <w:style w:type="character" w:styleId="af3">
    <w:name w:val="footnote reference"/>
    <w:rsid w:val="006B56E1"/>
    <w:rPr>
      <w:vertAlign w:val="superscript"/>
    </w:rPr>
  </w:style>
  <w:style w:type="character" w:styleId="af4">
    <w:name w:val="Strong"/>
    <w:basedOn w:val="a1"/>
    <w:uiPriority w:val="22"/>
    <w:qFormat/>
    <w:rsid w:val="009B7B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1307</Words>
  <Characters>7454</Characters>
  <Application>Microsoft Office Word</Application>
  <DocSecurity>0</DocSecurity>
  <Lines>62</Lines>
  <Paragraphs>17</Paragraphs>
  <ScaleCrop>false</ScaleCrop>
  <Company>jysld</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Wentian.Zhou@FA</cp:lastModifiedBy>
  <cp:revision>8</cp:revision>
  <cp:lastPrinted>2009-01-22T10:11:00Z</cp:lastPrinted>
  <dcterms:created xsi:type="dcterms:W3CDTF">2017-07-25T14:30:00Z</dcterms:created>
  <dcterms:modified xsi:type="dcterms:W3CDTF">2022-04-21T03:00:00Z</dcterms:modified>
</cp:coreProperties>
</file>