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bookmarkStart w:id="0" w:name="_GoBack"/>
      <w:bookmarkEnd w:id="0"/>
    </w:p>
    <w:p w:rsidR="002B45A4" w:rsidRPr="00593AD2" w:rsidRDefault="002B45A4"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575970" w:rsidRPr="00593AD2" w:rsidRDefault="00575970"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593AD2" w:rsidRDefault="00B60E27"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上投摩根天添盈货币市场基金</w:t>
      </w:r>
    </w:p>
    <w:p w:rsidR="00B60E27" w:rsidRPr="00593AD2" w:rsidRDefault="00B60E27"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hint="eastAsia"/>
          <w:b/>
          <w:color w:val="000000" w:themeColor="text1"/>
          <w:sz w:val="36"/>
          <w:szCs w:val="36"/>
        </w:rPr>
        <w:t>2021年第2季度报告</w:t>
      </w:r>
    </w:p>
    <w:p w:rsidR="002B45A4" w:rsidRPr="00593AD2" w:rsidRDefault="00D87D00" w:rsidP="0002085F">
      <w:pPr>
        <w:spacing w:line="360" w:lineRule="auto"/>
        <w:jc w:val="center"/>
        <w:rPr>
          <w:rFonts w:asciiTheme="minorEastAsia" w:eastAsiaTheme="minorEastAsia" w:hAnsiTheme="minorEastAsia"/>
          <w:b/>
          <w:color w:val="000000" w:themeColor="text1"/>
          <w:sz w:val="36"/>
          <w:szCs w:val="36"/>
        </w:rPr>
      </w:pPr>
      <w:r w:rsidRPr="00593AD2">
        <w:rPr>
          <w:rFonts w:asciiTheme="minorEastAsia" w:eastAsiaTheme="minorEastAsia" w:hAnsiTheme="minorEastAsia"/>
          <w:b/>
          <w:color w:val="000000" w:themeColor="text1"/>
          <w:sz w:val="36"/>
          <w:szCs w:val="36"/>
        </w:rPr>
        <w:t>2021年6月30日</w:t>
      </w: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jc w:val="center"/>
        <w:rPr>
          <w:rFonts w:asciiTheme="minorEastAsia" w:eastAsiaTheme="minorEastAsia" w:hAnsiTheme="minorEastAsia"/>
          <w:b/>
          <w:color w:val="000000" w:themeColor="text1"/>
          <w:sz w:val="24"/>
        </w:rPr>
      </w:pPr>
    </w:p>
    <w:p w:rsidR="002B45A4" w:rsidRPr="00593AD2" w:rsidRDefault="002B45A4" w:rsidP="00196812">
      <w:pPr>
        <w:spacing w:line="360" w:lineRule="auto"/>
        <w:rPr>
          <w:rFonts w:asciiTheme="minorEastAsia" w:eastAsiaTheme="minorEastAsia" w:hAnsiTheme="minorEastAsia"/>
          <w:b/>
          <w:color w:val="000000" w:themeColor="text1"/>
          <w:sz w:val="24"/>
        </w:rPr>
      </w:pPr>
    </w:p>
    <w:p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基金管理人：</w:t>
      </w:r>
      <w:r w:rsidRPr="00593AD2">
        <w:rPr>
          <w:rFonts w:asciiTheme="minorEastAsia" w:eastAsiaTheme="minorEastAsia" w:hAnsiTheme="minorEastAsia"/>
          <w:b/>
          <w:color w:val="000000" w:themeColor="text1"/>
          <w:sz w:val="24"/>
        </w:rPr>
        <w:t>上投摩根基金管理有限公司</w:t>
      </w:r>
    </w:p>
    <w:p w:rsidR="00F77131" w:rsidRPr="00593AD2" w:rsidRDefault="00F77131" w:rsidP="0002085F">
      <w:pPr>
        <w:spacing w:line="360" w:lineRule="auto"/>
        <w:ind w:firstLineChars="900" w:firstLine="2168"/>
        <w:rPr>
          <w:rFonts w:asciiTheme="minorEastAsia" w:eastAsiaTheme="minorEastAsia" w:hAnsiTheme="minorEastAsia"/>
          <w:b/>
          <w:color w:val="000000" w:themeColor="text1"/>
          <w:sz w:val="24"/>
        </w:rPr>
      </w:pPr>
      <w:r w:rsidRPr="00593AD2">
        <w:rPr>
          <w:rFonts w:asciiTheme="minorEastAsia" w:eastAsiaTheme="minorEastAsia" w:hAnsiTheme="minorEastAsia" w:hint="eastAsia"/>
          <w:b/>
          <w:color w:val="000000" w:themeColor="text1"/>
          <w:sz w:val="24"/>
        </w:rPr>
        <w:t>基金托管人：</w:t>
      </w:r>
      <w:r w:rsidRPr="00593AD2">
        <w:rPr>
          <w:rFonts w:asciiTheme="minorEastAsia" w:eastAsiaTheme="minorEastAsia" w:hAnsiTheme="minorEastAsia"/>
          <w:b/>
          <w:color w:val="000000" w:themeColor="text1"/>
          <w:sz w:val="24"/>
        </w:rPr>
        <w:t>中信银行股份有限公司</w:t>
      </w:r>
    </w:p>
    <w:p w:rsidR="00902E3F" w:rsidRPr="00593AD2" w:rsidRDefault="00F77131" w:rsidP="0002085F">
      <w:pPr>
        <w:spacing w:line="360" w:lineRule="auto"/>
        <w:ind w:firstLineChars="900" w:firstLine="2168"/>
        <w:rPr>
          <w:rFonts w:asciiTheme="minorEastAsia" w:eastAsiaTheme="minorEastAsia" w:hAnsiTheme="minorEastAsia"/>
          <w:b/>
          <w:color w:val="000000" w:themeColor="text1"/>
          <w:sz w:val="24"/>
        </w:rPr>
        <w:sectPr w:rsidR="00902E3F" w:rsidRPr="00593AD2" w:rsidSect="005633AD">
          <w:headerReference w:type="default" r:id="rId7"/>
          <w:footerReference w:type="default" r:id="rId8"/>
          <w:pgSz w:w="11926" w:h="15840"/>
          <w:pgMar w:top="1418" w:right="1418" w:bottom="851" w:left="1418" w:header="851" w:footer="992" w:gutter="0"/>
          <w:cols w:space="720"/>
          <w:noEndnote/>
        </w:sectPr>
      </w:pPr>
      <w:r w:rsidRPr="00593AD2">
        <w:rPr>
          <w:rFonts w:asciiTheme="minorEastAsia" w:eastAsiaTheme="minorEastAsia" w:hAnsiTheme="minorEastAsia" w:hint="eastAsia"/>
          <w:b/>
          <w:color w:val="000000" w:themeColor="text1"/>
          <w:sz w:val="24"/>
        </w:rPr>
        <w:t>报告送出日期：</w:t>
      </w:r>
      <w:r w:rsidR="00EF56FA" w:rsidRPr="00593AD2">
        <w:rPr>
          <w:rFonts w:asciiTheme="minorEastAsia" w:eastAsiaTheme="minorEastAsia" w:hAnsiTheme="minorEastAsia"/>
          <w:b/>
          <w:color w:val="000000" w:themeColor="text1"/>
          <w:sz w:val="24"/>
        </w:rPr>
        <w:t>二〇二一年七月二十一日</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b w:val="0"/>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lastRenderedPageBreak/>
        <w:t>§</w:t>
      </w:r>
      <w:r w:rsidRPr="00593AD2">
        <w:rPr>
          <w:rFonts w:asciiTheme="minorEastAsia" w:eastAsiaTheme="minorEastAsia" w:hAnsiTheme="minorEastAsia" w:cs="Arial"/>
          <w:color w:val="000000" w:themeColor="text1"/>
          <w:kern w:val="0"/>
          <w:sz w:val="24"/>
          <w:szCs w:val="24"/>
        </w:rPr>
        <w:t xml:space="preserve">1  </w:t>
      </w:r>
      <w:r w:rsidRPr="00593AD2">
        <w:rPr>
          <w:rFonts w:asciiTheme="minorEastAsia" w:eastAsiaTheme="minorEastAsia" w:hAnsiTheme="minorEastAsia" w:cs="Arial" w:hint="eastAsia"/>
          <w:color w:val="000000" w:themeColor="text1"/>
          <w:kern w:val="0"/>
          <w:sz w:val="24"/>
          <w:szCs w:val="24"/>
        </w:rPr>
        <w:t>重要提示</w:t>
      </w:r>
    </w:p>
    <w:p w:rsidR="00922320" w:rsidRDefault="002811EB">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sz w:val="24"/>
        </w:rPr>
        <w:t xml:space="preserve"> </w:t>
      </w:r>
    </w:p>
    <w:p w:rsidR="00922320" w:rsidRDefault="002811EB">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基金托管人中信银行股份有限公司根据本基金合同规定，于</w:t>
      </w:r>
      <w:r>
        <w:rPr>
          <w:rFonts w:asciiTheme="minorEastAsia" w:eastAsiaTheme="minorEastAsia" w:hAnsiTheme="minorEastAsia"/>
          <w:color w:val="000000" w:themeColor="text1"/>
          <w:sz w:val="24"/>
        </w:rPr>
        <w:t>2021</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7</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sz w:val="24"/>
        </w:rPr>
        <w:t xml:space="preserve"> </w:t>
      </w:r>
    </w:p>
    <w:p w:rsidR="00922320" w:rsidRDefault="002811EB">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基金管理人承诺以诚实信用、勤勉尽责的原则管理和运用基金资产，但不保证基金一定盈利。</w:t>
      </w:r>
      <w:r>
        <w:rPr>
          <w:rFonts w:asciiTheme="minorEastAsia" w:eastAsiaTheme="minorEastAsia" w:hAnsiTheme="minorEastAsia"/>
          <w:color w:val="000000" w:themeColor="text1"/>
          <w:sz w:val="24"/>
        </w:rPr>
        <w:t xml:space="preserve"> </w:t>
      </w:r>
    </w:p>
    <w:p w:rsidR="00922320" w:rsidRDefault="002811EB">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sz w:val="24"/>
        </w:rPr>
        <w:t xml:space="preserve"> </w:t>
      </w:r>
    </w:p>
    <w:p w:rsidR="00922320" w:rsidRDefault="002811EB">
      <w:pPr>
        <w:adjustRightInd w:val="0"/>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本报告中财务资料未经审计。</w:t>
      </w:r>
    </w:p>
    <w:p w:rsidR="00186667" w:rsidRPr="00593AD2" w:rsidRDefault="00A805BC" w:rsidP="00307062">
      <w:pPr>
        <w:adjustRightInd w:val="0"/>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本报告期自2021年4月1日起至6月30日止。</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2  </w:t>
      </w:r>
      <w:r w:rsidRPr="00593AD2">
        <w:rPr>
          <w:rFonts w:asciiTheme="minorEastAsia" w:eastAsiaTheme="minorEastAsia" w:hAnsiTheme="minorEastAsia" w:cs="Arial" w:hint="eastAsia"/>
          <w:color w:val="000000" w:themeColor="text1"/>
          <w:kern w:val="0"/>
          <w:sz w:val="24"/>
          <w:szCs w:val="24"/>
        </w:rPr>
        <w:t>基金产品概况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2300"/>
        <w:gridCol w:w="2300"/>
        <w:gridCol w:w="2301"/>
      </w:tblGrid>
      <w:tr w:rsidR="00593AD2" w:rsidRPr="00593AD2" w:rsidTr="009D19C1">
        <w:trPr>
          <w:jc w:val="center"/>
        </w:trPr>
        <w:tc>
          <w:tcPr>
            <w:tcW w:w="2835" w:type="dxa"/>
          </w:tcPr>
          <w:p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基金简称</w:t>
            </w:r>
          </w:p>
        </w:tc>
        <w:tc>
          <w:tcPr>
            <w:tcW w:w="6901" w:type="dxa"/>
            <w:gridSpan w:val="3"/>
          </w:tcPr>
          <w:p w:rsidR="00A805BC" w:rsidRPr="00593AD2" w:rsidRDefault="00A805BC"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上投摩根天添盈货币</w:t>
            </w:r>
          </w:p>
        </w:tc>
      </w:tr>
      <w:tr w:rsidR="00593AD2" w:rsidRPr="00593AD2" w:rsidTr="009D19C1">
        <w:trPr>
          <w:jc w:val="center"/>
        </w:trPr>
        <w:tc>
          <w:tcPr>
            <w:tcW w:w="2835" w:type="dxa"/>
            <w:tcBorders>
              <w:top w:val="single" w:sz="4" w:space="0" w:color="auto"/>
              <w:left w:val="single" w:sz="4" w:space="0" w:color="auto"/>
              <w:bottom w:val="single" w:sz="4" w:space="0" w:color="auto"/>
              <w:right w:val="single" w:sz="4" w:space="0" w:color="auto"/>
            </w:tcBorders>
            <w:hideMark/>
          </w:tcPr>
          <w:p w:rsidR="00D06255" w:rsidRPr="00593AD2" w:rsidRDefault="00D06255"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基金主代码</w:t>
            </w:r>
          </w:p>
        </w:tc>
        <w:tc>
          <w:tcPr>
            <w:tcW w:w="6901" w:type="dxa"/>
            <w:gridSpan w:val="3"/>
            <w:tcBorders>
              <w:top w:val="single" w:sz="4" w:space="0" w:color="auto"/>
              <w:left w:val="single" w:sz="4" w:space="0" w:color="auto"/>
              <w:bottom w:val="single" w:sz="4" w:space="0" w:color="auto"/>
              <w:right w:val="single" w:sz="4" w:space="0" w:color="auto"/>
            </w:tcBorders>
            <w:hideMark/>
          </w:tcPr>
          <w:p w:rsidR="00D06255" w:rsidRPr="00593AD2" w:rsidRDefault="00D06255"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000855</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基金运作方式</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契约型开放式</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基金合同生效日</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2014年11月25日</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报告期末基金份额总额</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8,357,590,387.45</w:t>
            </w:r>
            <w:r w:rsidRPr="00593AD2">
              <w:rPr>
                <w:rFonts w:asciiTheme="minorEastAsia" w:eastAsiaTheme="minorEastAsia" w:hAnsiTheme="minorEastAsia" w:hint="eastAsia"/>
                <w:color w:val="000000" w:themeColor="text1"/>
                <w:kern w:val="0"/>
                <w:sz w:val="24"/>
              </w:rPr>
              <w:t>份</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投资目标</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 xml:space="preserve">在有效控制投资风险和保持较高流动性的前提下，为投资者提供资金的流动性储备，进一步优化现金管理，并力求获得高于业绩比较基准的稳定回报。 </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投资策略</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本基金将综合考虑各类可投资品种的收益性、流动性及风险性特征，对各类资产进行合理的配置和选择。在保证基金资产的安全性和流动性基础上，力争为投资者创造稳定的投资收益。本基金以短期金融工具作为投资对象，基于对各细分市场的市场规模、</w:t>
            </w:r>
            <w:r w:rsidRPr="00593AD2">
              <w:rPr>
                <w:rFonts w:asciiTheme="minorEastAsia" w:eastAsiaTheme="minorEastAsia" w:hAnsiTheme="minorEastAsia"/>
                <w:color w:val="000000" w:themeColor="text1"/>
                <w:kern w:val="0"/>
                <w:sz w:val="24"/>
              </w:rPr>
              <w:lastRenderedPageBreak/>
              <w:t>交易情况、各交易品种的流动性、相对收益、信用风险以及投资组合平均剩余期限要求等重要指标的分析，确定（调整）投资组合的类别资产配置比例。利率变化是影响债券价格的最重要因素，本基金将通过对国内外宏观经济走势、货币政策和财政政策、市场结构变化和短期资金供给等因素的综合分析，形成对未来货币市场利率变动的预期，并依此确定和调整组合的平均剩余期限。在个券选择层面，本基金将综合考虑安全性、流动性和收益性等因素，通过分析各个金融产品的剩余期限与收益率的配比状况、信用等级、流动性指标等因素进行证券选择，选择风险收益配比最合理的证券作为投资对象。</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lastRenderedPageBreak/>
              <w:t>业绩比较基准</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同期七天通知存款利率（税后）</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风险收益特征</w:t>
            </w:r>
          </w:p>
        </w:tc>
        <w:tc>
          <w:tcPr>
            <w:tcW w:w="6901" w:type="dxa"/>
            <w:gridSpan w:val="3"/>
          </w:tcPr>
          <w:p w:rsidR="00922320" w:rsidRDefault="002811EB">
            <w:pPr>
              <w:adjustRightInd w:val="0"/>
              <w:spacing w:before="29" w:line="360" w:lineRule="auto"/>
              <w:ind w:left="17"/>
              <w:jc w:val="left"/>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本基金为货币市场基金，是证券投资基金中的低风险品种。本基金的风险和预期收益低于股票型基金、混合型基金和债券型基金。</w:t>
            </w:r>
          </w:p>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基金管理人</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上投摩根基金管理有限公司</w:t>
            </w:r>
          </w:p>
        </w:tc>
      </w:tr>
      <w:tr w:rsidR="00593AD2" w:rsidRPr="00593AD2" w:rsidTr="009D19C1">
        <w:trPr>
          <w:jc w:val="center"/>
        </w:trPr>
        <w:tc>
          <w:tcPr>
            <w:tcW w:w="2835" w:type="dxa"/>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kern w:val="0"/>
                <w:sz w:val="24"/>
              </w:rPr>
              <w:t>基金托管人</w:t>
            </w:r>
          </w:p>
        </w:tc>
        <w:tc>
          <w:tcPr>
            <w:tcW w:w="6901" w:type="dxa"/>
            <w:gridSpan w:val="3"/>
          </w:tcPr>
          <w:p w:rsidR="00340456" w:rsidRPr="00593AD2" w:rsidRDefault="00340456"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中信银行股份有限公司</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s="宋体"/>
                <w:color w:val="000000" w:themeColor="text1"/>
                <w:kern w:val="0"/>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级基金的</w:t>
            </w:r>
            <w:r w:rsidR="00340456" w:rsidRPr="00593AD2">
              <w:rPr>
                <w:rFonts w:asciiTheme="minorEastAsia" w:eastAsiaTheme="minorEastAsia" w:hAnsiTheme="minorEastAsia" w:hint="eastAsia"/>
                <w:color w:val="000000" w:themeColor="text1"/>
                <w:sz w:val="24"/>
              </w:rPr>
              <w:t>基金简称</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上投摩根天添盈货币A类</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上投摩根天添盈货币B类</w:t>
            </w:r>
          </w:p>
        </w:tc>
        <w:tc>
          <w:tcPr>
            <w:tcW w:w="2301" w:type="dxa"/>
            <w:vAlign w:val="center"/>
          </w:tcPr>
          <w:p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上投摩根天添盈货币E类</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FF721F">
              <w:rPr>
                <w:rFonts w:asciiTheme="minorEastAsia" w:eastAsiaTheme="minorEastAsia" w:hAnsiTheme="minorEastAsia" w:cs="宋体" w:hint="eastAsia"/>
                <w:color w:val="000000" w:themeColor="text1"/>
                <w:kern w:val="0"/>
                <w:sz w:val="24"/>
              </w:rPr>
              <w:t>下属</w:t>
            </w:r>
            <w:r w:rsidR="00FF721F" w:rsidRPr="00FF721F">
              <w:rPr>
                <w:rFonts w:asciiTheme="minorEastAsia" w:eastAsiaTheme="minorEastAsia" w:hAnsiTheme="minorEastAsia" w:cs="宋体" w:hint="eastAsia"/>
                <w:color w:val="000000" w:themeColor="text1"/>
                <w:kern w:val="0"/>
                <w:sz w:val="24"/>
              </w:rPr>
              <w:t>分</w:t>
            </w:r>
            <w:r w:rsidR="00340456" w:rsidRPr="00FF721F">
              <w:rPr>
                <w:rFonts w:asciiTheme="minorEastAsia" w:eastAsiaTheme="minorEastAsia" w:hAnsiTheme="minorEastAsia" w:cs="宋体" w:hint="eastAsia"/>
                <w:color w:val="000000" w:themeColor="text1"/>
                <w:kern w:val="0"/>
                <w:sz w:val="24"/>
              </w:rPr>
              <w:t>级基金</w:t>
            </w:r>
            <w:r w:rsidR="00340456" w:rsidRPr="00593AD2">
              <w:rPr>
                <w:rFonts w:asciiTheme="minorEastAsia" w:eastAsiaTheme="minorEastAsia" w:hAnsiTheme="minorEastAsia" w:hint="eastAsia"/>
                <w:color w:val="000000" w:themeColor="text1"/>
                <w:sz w:val="24"/>
              </w:rPr>
              <w:t>的交易代码</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000855</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000856</w:t>
            </w:r>
          </w:p>
        </w:tc>
        <w:tc>
          <w:tcPr>
            <w:tcW w:w="2301" w:type="dxa"/>
            <w:vAlign w:val="center"/>
          </w:tcPr>
          <w:p w:rsidR="00340456" w:rsidRPr="00593AD2" w:rsidRDefault="00340456" w:rsidP="001669F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000857</w:t>
            </w:r>
          </w:p>
        </w:tc>
      </w:tr>
      <w:tr w:rsidR="00593AD2" w:rsidRPr="00593AD2" w:rsidTr="009D19C1">
        <w:trPr>
          <w:jc w:val="center"/>
        </w:trPr>
        <w:tc>
          <w:tcPr>
            <w:tcW w:w="2835" w:type="dxa"/>
          </w:tcPr>
          <w:p w:rsidR="00340456" w:rsidRPr="00593AD2" w:rsidRDefault="009D19C1" w:rsidP="00196812">
            <w:pPr>
              <w:adjustRightInd w:val="0"/>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w:t>
            </w:r>
            <w:r w:rsidRPr="00FF721F">
              <w:rPr>
                <w:rFonts w:asciiTheme="minorEastAsia" w:eastAsiaTheme="minorEastAsia" w:hAnsiTheme="minorEastAsia" w:cs="宋体" w:hint="eastAsia"/>
                <w:color w:val="000000" w:themeColor="text1"/>
                <w:kern w:val="0"/>
                <w:sz w:val="24"/>
              </w:rPr>
              <w:t>期末下属</w:t>
            </w:r>
            <w:r w:rsidR="00FF721F" w:rsidRPr="00FF721F">
              <w:rPr>
                <w:rFonts w:asciiTheme="minorEastAsia" w:eastAsiaTheme="minorEastAsia" w:hAnsiTheme="minorEastAsia" w:cs="宋体" w:hint="eastAsia"/>
                <w:color w:val="000000" w:themeColor="text1"/>
                <w:kern w:val="0"/>
                <w:sz w:val="24"/>
              </w:rPr>
              <w:t>分</w:t>
            </w:r>
            <w:r w:rsidR="00340456" w:rsidRPr="00593AD2">
              <w:rPr>
                <w:rFonts w:asciiTheme="minorEastAsia" w:eastAsiaTheme="minorEastAsia" w:hAnsiTheme="minorEastAsia" w:hint="eastAsia"/>
                <w:color w:val="000000" w:themeColor="text1"/>
                <w:sz w:val="24"/>
              </w:rPr>
              <w:t>级基金的份额总额</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8,072,113,027.98</w:t>
            </w:r>
            <w:r w:rsidRPr="00593AD2">
              <w:rPr>
                <w:rFonts w:asciiTheme="minorEastAsia" w:eastAsiaTheme="minorEastAsia" w:hAnsiTheme="minorEastAsia" w:hint="eastAsia"/>
                <w:color w:val="000000" w:themeColor="text1"/>
                <w:sz w:val="24"/>
              </w:rPr>
              <w:t>份</w:t>
            </w:r>
          </w:p>
        </w:tc>
        <w:tc>
          <w:tcPr>
            <w:tcW w:w="2300" w:type="dxa"/>
            <w:vAlign w:val="center"/>
          </w:tcPr>
          <w:p w:rsidR="00340456" w:rsidRPr="00593AD2" w:rsidRDefault="00340456" w:rsidP="00196812">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w:t>
            </w:r>
            <w:r w:rsidRPr="00593AD2">
              <w:rPr>
                <w:rFonts w:asciiTheme="minorEastAsia" w:eastAsiaTheme="minorEastAsia" w:hAnsiTheme="minorEastAsia" w:hint="eastAsia"/>
                <w:color w:val="000000" w:themeColor="text1"/>
                <w:sz w:val="24"/>
              </w:rPr>
              <w:t>份</w:t>
            </w:r>
          </w:p>
        </w:tc>
        <w:tc>
          <w:tcPr>
            <w:tcW w:w="2301" w:type="dxa"/>
            <w:vAlign w:val="center"/>
          </w:tcPr>
          <w:p w:rsidR="00340456" w:rsidRPr="00593AD2" w:rsidRDefault="00340456" w:rsidP="00025C5D">
            <w:pPr>
              <w:spacing w:line="360" w:lineRule="auto"/>
              <w:jc w:val="left"/>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285,477,359.47</w:t>
            </w:r>
            <w:r w:rsidRPr="00593AD2">
              <w:rPr>
                <w:rFonts w:asciiTheme="minorEastAsia" w:eastAsiaTheme="minorEastAsia" w:hAnsiTheme="minorEastAsia" w:hint="eastAsia"/>
                <w:color w:val="000000" w:themeColor="text1"/>
                <w:sz w:val="24"/>
              </w:rPr>
              <w:t>份</w:t>
            </w:r>
          </w:p>
        </w:tc>
      </w:tr>
    </w:tbl>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lastRenderedPageBreak/>
        <w:t>§</w:t>
      </w:r>
      <w:r w:rsidRPr="00593AD2">
        <w:rPr>
          <w:rFonts w:asciiTheme="minorEastAsia" w:eastAsiaTheme="minorEastAsia" w:hAnsiTheme="minorEastAsia" w:cs="Arial"/>
          <w:color w:val="000000" w:themeColor="text1"/>
          <w:kern w:val="0"/>
          <w:sz w:val="24"/>
          <w:szCs w:val="24"/>
        </w:rPr>
        <w:t xml:space="preserve">3  </w:t>
      </w:r>
      <w:r w:rsidRPr="00593AD2">
        <w:rPr>
          <w:rFonts w:asciiTheme="minorEastAsia" w:eastAsiaTheme="minorEastAsia" w:hAnsiTheme="minorEastAsia" w:cs="Arial" w:hint="eastAsia"/>
          <w:color w:val="000000" w:themeColor="text1"/>
          <w:kern w:val="0"/>
          <w:sz w:val="24"/>
          <w:szCs w:val="24"/>
        </w:rPr>
        <w:t>主要财务指标和基金净值表现</w:t>
      </w: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3.1 </w:t>
      </w:r>
      <w:r w:rsidRPr="00593AD2">
        <w:rPr>
          <w:rFonts w:asciiTheme="minorEastAsia" w:eastAsiaTheme="minorEastAsia" w:hAnsiTheme="minorEastAsia" w:cs="Arial" w:hint="eastAsia"/>
          <w:b/>
          <w:color w:val="000000" w:themeColor="text1"/>
          <w:kern w:val="0"/>
          <w:sz w:val="24"/>
        </w:rPr>
        <w:t>主要财务指标</w:t>
      </w:r>
    </w:p>
    <w:p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单位：人民币元</w:t>
      </w: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3"/>
        <w:gridCol w:w="2410"/>
        <w:gridCol w:w="1984"/>
        <w:gridCol w:w="1827"/>
      </w:tblGrid>
      <w:tr w:rsidR="00593AD2" w:rsidRPr="00593AD2" w:rsidTr="0033599F">
        <w:trPr>
          <w:jc w:val="center"/>
        </w:trPr>
        <w:tc>
          <w:tcPr>
            <w:tcW w:w="3373" w:type="dxa"/>
            <w:vMerge w:val="restart"/>
            <w:vAlign w:val="center"/>
          </w:tcPr>
          <w:p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主要财务指标</w:t>
            </w:r>
          </w:p>
        </w:tc>
        <w:tc>
          <w:tcPr>
            <w:tcW w:w="6221" w:type="dxa"/>
            <w:gridSpan w:val="3"/>
            <w:vAlign w:val="center"/>
          </w:tcPr>
          <w:p w:rsidR="00F31380" w:rsidRPr="00593AD2" w:rsidRDefault="00F31380" w:rsidP="00196812">
            <w:pPr>
              <w:adjustRightInd w:val="0"/>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报告期(</w:t>
            </w:r>
            <w:r w:rsidRPr="00593AD2">
              <w:rPr>
                <w:rFonts w:asciiTheme="minorEastAsia" w:eastAsiaTheme="minorEastAsia" w:hAnsiTheme="minorEastAsia" w:cs="宋体"/>
                <w:color w:val="000000" w:themeColor="text1"/>
                <w:sz w:val="24"/>
              </w:rPr>
              <w:t>2021年4月1日-2021年6月30日</w:t>
            </w:r>
            <w:r w:rsidRPr="00593AD2">
              <w:rPr>
                <w:rFonts w:asciiTheme="minorEastAsia" w:eastAsiaTheme="minorEastAsia" w:hAnsiTheme="minorEastAsia" w:cs="宋体" w:hint="eastAsia"/>
                <w:color w:val="000000" w:themeColor="text1"/>
                <w:sz w:val="24"/>
              </w:rPr>
              <w:t>)</w:t>
            </w:r>
          </w:p>
        </w:tc>
      </w:tr>
      <w:tr w:rsidR="00593AD2" w:rsidRPr="00593AD2" w:rsidTr="00D20E97">
        <w:trPr>
          <w:jc w:val="center"/>
        </w:trPr>
        <w:tc>
          <w:tcPr>
            <w:tcW w:w="3373" w:type="dxa"/>
            <w:vMerge/>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kern w:val="0"/>
                <w:sz w:val="24"/>
              </w:rPr>
            </w:pPr>
          </w:p>
        </w:tc>
        <w:tc>
          <w:tcPr>
            <w:tcW w:w="2410" w:type="dxa"/>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上投摩根天添盈货币A类</w:t>
            </w:r>
          </w:p>
        </w:tc>
        <w:tc>
          <w:tcPr>
            <w:tcW w:w="1984" w:type="dxa"/>
            <w:vAlign w:val="center"/>
          </w:tcPr>
          <w:p w:rsidR="00025C5D" w:rsidRPr="00593AD2" w:rsidRDefault="00025C5D" w:rsidP="00196812">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color w:val="000000" w:themeColor="text1"/>
                <w:sz w:val="24"/>
              </w:rPr>
              <w:t>上投摩根天添盈货币B类</w:t>
            </w:r>
          </w:p>
        </w:tc>
        <w:tc>
          <w:tcPr>
            <w:tcW w:w="1827" w:type="dxa"/>
            <w:vAlign w:val="center"/>
          </w:tcPr>
          <w:p w:rsidR="00025C5D" w:rsidRPr="00593AD2" w:rsidRDefault="00025C5D" w:rsidP="00025C5D">
            <w:pPr>
              <w:adjustRightInd w:val="0"/>
              <w:spacing w:before="29" w:line="360" w:lineRule="auto"/>
              <w:ind w:left="17"/>
              <w:jc w:val="center"/>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上投摩根天添盈货币E类</w:t>
            </w:r>
          </w:p>
        </w:tc>
      </w:tr>
      <w:tr w:rsidR="00593AD2" w:rsidRPr="00593AD2" w:rsidTr="00D20E97">
        <w:trPr>
          <w:trHeight w:val="840"/>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1.</w:t>
            </w:r>
            <w:r w:rsidRPr="00593AD2">
              <w:rPr>
                <w:rFonts w:asciiTheme="minorEastAsia" w:eastAsiaTheme="minorEastAsia" w:hAnsiTheme="minorEastAsia" w:cs="宋体" w:hint="eastAsia"/>
                <w:color w:val="000000" w:themeColor="text1"/>
                <w:kern w:val="0"/>
                <w:sz w:val="24"/>
              </w:rPr>
              <w:t>本期已实现收益</w:t>
            </w:r>
          </w:p>
        </w:tc>
        <w:tc>
          <w:tcPr>
            <w:tcW w:w="2410"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45,849,920.58</w:t>
            </w:r>
          </w:p>
        </w:tc>
        <w:tc>
          <w:tcPr>
            <w:tcW w:w="1984"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vAlign w:val="bottom"/>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1,788,043.16</w:t>
            </w:r>
          </w:p>
        </w:tc>
      </w:tr>
      <w:tr w:rsidR="00593AD2" w:rsidRPr="00593AD2" w:rsidTr="00D20E97">
        <w:trPr>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color w:val="000000" w:themeColor="text1"/>
                <w:kern w:val="0"/>
                <w:sz w:val="24"/>
              </w:rPr>
              <w:t>2.</w:t>
            </w:r>
            <w:r w:rsidRPr="00593AD2">
              <w:rPr>
                <w:rFonts w:asciiTheme="minorEastAsia" w:eastAsiaTheme="minorEastAsia" w:hAnsiTheme="minorEastAsia" w:cs="宋体" w:hint="eastAsia"/>
                <w:color w:val="000000" w:themeColor="text1"/>
                <w:kern w:val="0"/>
                <w:sz w:val="24"/>
              </w:rPr>
              <w:t>本期利润</w:t>
            </w:r>
          </w:p>
        </w:tc>
        <w:tc>
          <w:tcPr>
            <w:tcW w:w="2410"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45,849,920.58</w:t>
            </w:r>
          </w:p>
        </w:tc>
        <w:tc>
          <w:tcPr>
            <w:tcW w:w="1984" w:type="dxa"/>
            <w:vAlign w:val="bottom"/>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vAlign w:val="bottom"/>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1,788,043.16</w:t>
            </w:r>
          </w:p>
        </w:tc>
      </w:tr>
      <w:tr w:rsidR="00593AD2" w:rsidRPr="00593AD2" w:rsidTr="00D20E97">
        <w:trPr>
          <w:jc w:val="center"/>
        </w:trPr>
        <w:tc>
          <w:tcPr>
            <w:tcW w:w="3373" w:type="dxa"/>
          </w:tcPr>
          <w:p w:rsidR="00025C5D" w:rsidRPr="00593AD2" w:rsidRDefault="00025C5D" w:rsidP="00196812">
            <w:pPr>
              <w:adjustRightInd w:val="0"/>
              <w:spacing w:before="29" w:line="360" w:lineRule="auto"/>
              <w:ind w:left="17"/>
              <w:rPr>
                <w:rFonts w:asciiTheme="minorEastAsia" w:eastAsiaTheme="minorEastAsia" w:hAnsiTheme="minorEastAsia"/>
                <w:color w:val="000000" w:themeColor="text1"/>
                <w:kern w:val="0"/>
                <w:sz w:val="24"/>
              </w:rPr>
            </w:pPr>
            <w:r w:rsidRPr="00593AD2">
              <w:rPr>
                <w:rFonts w:asciiTheme="minorEastAsia" w:eastAsiaTheme="minorEastAsia" w:hAnsiTheme="minorEastAsia" w:cs="方正仿宋简体" w:hint="eastAsia"/>
                <w:color w:val="000000" w:themeColor="text1"/>
                <w:kern w:val="0"/>
                <w:sz w:val="24"/>
              </w:rPr>
              <w:t>3</w:t>
            </w:r>
            <w:r w:rsidRPr="00593AD2">
              <w:rPr>
                <w:rFonts w:asciiTheme="minorEastAsia" w:eastAsiaTheme="minorEastAsia" w:hAnsiTheme="minorEastAsia" w:cs="方正仿宋简体"/>
                <w:color w:val="000000" w:themeColor="text1"/>
                <w:kern w:val="0"/>
                <w:sz w:val="24"/>
              </w:rPr>
              <w:t>.</w:t>
            </w:r>
            <w:r w:rsidRPr="00593AD2">
              <w:rPr>
                <w:rFonts w:asciiTheme="minorEastAsia" w:eastAsiaTheme="minorEastAsia" w:hAnsiTheme="minorEastAsia" w:cs="宋体" w:hint="eastAsia"/>
                <w:color w:val="000000" w:themeColor="text1"/>
                <w:kern w:val="0"/>
                <w:sz w:val="24"/>
              </w:rPr>
              <w:t>期末基金资产净值</w:t>
            </w:r>
          </w:p>
        </w:tc>
        <w:tc>
          <w:tcPr>
            <w:tcW w:w="2410" w:type="dxa"/>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8,072,113,027.98</w:t>
            </w:r>
          </w:p>
        </w:tc>
        <w:tc>
          <w:tcPr>
            <w:tcW w:w="1984" w:type="dxa"/>
          </w:tcPr>
          <w:p w:rsidR="00025C5D" w:rsidRPr="00593AD2" w:rsidRDefault="00025C5D" w:rsidP="00196812">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1827" w:type="dxa"/>
          </w:tcPr>
          <w:p w:rsidR="00025C5D" w:rsidRPr="00593AD2" w:rsidRDefault="00025C5D" w:rsidP="00025C5D">
            <w:pPr>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285,477,359.47</w:t>
            </w:r>
          </w:p>
        </w:tc>
      </w:tr>
    </w:tbl>
    <w:p w:rsidR="00922320" w:rsidRDefault="002811EB">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注：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893021" w:rsidRPr="00593AD2" w:rsidRDefault="00893021"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上述基金业绩指标不包括交易基金的各项费用（例如基金转换费等），计入费用后实际收益水平要低于所列数字。</w:t>
      </w:r>
    </w:p>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 </w:t>
      </w:r>
      <w:r w:rsidRPr="00593AD2">
        <w:rPr>
          <w:rFonts w:asciiTheme="minorEastAsia" w:eastAsiaTheme="minorEastAsia" w:hAnsiTheme="minorEastAsia" w:cs="Arial" w:hint="eastAsia"/>
          <w:b/>
          <w:color w:val="000000" w:themeColor="text1"/>
          <w:kern w:val="0"/>
          <w:sz w:val="24"/>
        </w:rPr>
        <w:t>基金净值表现</w:t>
      </w: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3.2.1 </w:t>
      </w:r>
      <w:r w:rsidRPr="00593AD2">
        <w:rPr>
          <w:rFonts w:asciiTheme="minorEastAsia" w:eastAsiaTheme="minorEastAsia" w:hAnsiTheme="minorEastAsia" w:cs="Arial" w:hint="eastAsia"/>
          <w:b/>
          <w:color w:val="000000" w:themeColor="text1"/>
          <w:kern w:val="0"/>
          <w:sz w:val="24"/>
        </w:rPr>
        <w:t>本报告期基金份额净值收益率及其与同期业绩比较基准收益率的比较</w:t>
      </w:r>
    </w:p>
    <w:p w:rsidR="00DA1983"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1</w:t>
      </w:r>
      <w:r w:rsidR="00570F8C" w:rsidRPr="00593AD2">
        <w:rPr>
          <w:rFonts w:asciiTheme="minorEastAsia" w:eastAsiaTheme="minorEastAsia" w:hAnsiTheme="minorEastAsia" w:hint="eastAsia"/>
          <w:b/>
          <w:color w:val="000000" w:themeColor="text1"/>
        </w:rPr>
        <w:t>、</w:t>
      </w:r>
      <w:r w:rsidR="0024424F" w:rsidRPr="00593AD2">
        <w:rPr>
          <w:rFonts w:asciiTheme="minorEastAsia" w:eastAsiaTheme="minorEastAsia" w:hAnsiTheme="minorEastAsia" w:hint="eastAsia"/>
          <w:b/>
          <w:color w:val="000000" w:themeColor="text1"/>
        </w:rPr>
        <w:t>上投摩根天添盈货币A类:</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636B17">
        <w:tc>
          <w:tcPr>
            <w:tcW w:w="1328"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rsidR="008B23BD" w:rsidRPr="00593AD2" w:rsidRDefault="008B23BD" w:rsidP="00196812">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t>过去三个月</w:t>
            </w:r>
          </w:p>
        </w:tc>
        <w:tc>
          <w:tcPr>
            <w:tcW w:w="1329" w:type="dxa"/>
            <w:vAlign w:val="center"/>
          </w:tcPr>
          <w:p w:rsidR="00922320" w:rsidRDefault="002811EB">
            <w:pPr>
              <w:jc w:val="center"/>
            </w:pPr>
            <w:r>
              <w:rPr>
                <w:rFonts w:asciiTheme="minorEastAsia" w:eastAsiaTheme="minorEastAsia" w:hAnsiTheme="minorEastAsia"/>
                <w:color w:val="000000" w:themeColor="text1"/>
              </w:rPr>
              <w:t>0.5458%</w:t>
            </w:r>
          </w:p>
        </w:tc>
        <w:tc>
          <w:tcPr>
            <w:tcW w:w="1329" w:type="dxa"/>
            <w:vAlign w:val="center"/>
          </w:tcPr>
          <w:p w:rsidR="00922320" w:rsidRDefault="002811EB">
            <w:pPr>
              <w:jc w:val="center"/>
            </w:pPr>
            <w:r>
              <w:rPr>
                <w:rFonts w:asciiTheme="minorEastAsia" w:eastAsiaTheme="minorEastAsia" w:hAnsiTheme="minorEastAsia"/>
                <w:color w:val="000000" w:themeColor="text1"/>
              </w:rPr>
              <w:t>0.0005%</w:t>
            </w:r>
          </w:p>
        </w:tc>
        <w:tc>
          <w:tcPr>
            <w:tcW w:w="1329" w:type="dxa"/>
            <w:vAlign w:val="center"/>
          </w:tcPr>
          <w:p w:rsidR="00922320" w:rsidRDefault="002811EB">
            <w:pPr>
              <w:jc w:val="center"/>
            </w:pPr>
            <w:r>
              <w:rPr>
                <w:rFonts w:asciiTheme="minorEastAsia" w:eastAsiaTheme="minorEastAsia" w:hAnsiTheme="minorEastAsia"/>
                <w:color w:val="000000" w:themeColor="text1"/>
              </w:rPr>
              <w:t>0.3366%</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0.2092%</w:t>
            </w:r>
          </w:p>
        </w:tc>
        <w:tc>
          <w:tcPr>
            <w:tcW w:w="1329" w:type="dxa"/>
            <w:vAlign w:val="center"/>
          </w:tcPr>
          <w:p w:rsidR="00922320" w:rsidRDefault="002811EB">
            <w:pPr>
              <w:jc w:val="center"/>
            </w:pPr>
            <w:r>
              <w:rPr>
                <w:rFonts w:asciiTheme="minorEastAsia" w:eastAsiaTheme="minorEastAsia" w:hAnsiTheme="minorEastAsia"/>
                <w:color w:val="000000" w:themeColor="text1"/>
              </w:rPr>
              <w:t>0.0005%</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t>过去六个月</w:t>
            </w:r>
          </w:p>
        </w:tc>
        <w:tc>
          <w:tcPr>
            <w:tcW w:w="1329" w:type="dxa"/>
            <w:vAlign w:val="center"/>
          </w:tcPr>
          <w:p w:rsidR="00922320" w:rsidRDefault="002811EB">
            <w:pPr>
              <w:jc w:val="center"/>
            </w:pPr>
            <w:r>
              <w:rPr>
                <w:rFonts w:asciiTheme="minorEastAsia" w:eastAsiaTheme="minorEastAsia" w:hAnsiTheme="minorEastAsia"/>
                <w:color w:val="000000" w:themeColor="text1"/>
              </w:rPr>
              <w:t>1.1030%</w:t>
            </w:r>
          </w:p>
        </w:tc>
        <w:tc>
          <w:tcPr>
            <w:tcW w:w="1329" w:type="dxa"/>
            <w:vAlign w:val="center"/>
          </w:tcPr>
          <w:p w:rsidR="00922320" w:rsidRDefault="002811EB">
            <w:pPr>
              <w:jc w:val="center"/>
            </w:pPr>
            <w:r>
              <w:rPr>
                <w:rFonts w:asciiTheme="minorEastAsia" w:eastAsiaTheme="minorEastAsia" w:hAnsiTheme="minorEastAsia"/>
                <w:color w:val="000000" w:themeColor="text1"/>
              </w:rPr>
              <w:t>0.0006%</w:t>
            </w:r>
          </w:p>
        </w:tc>
        <w:tc>
          <w:tcPr>
            <w:tcW w:w="1329" w:type="dxa"/>
            <w:vAlign w:val="center"/>
          </w:tcPr>
          <w:p w:rsidR="00922320" w:rsidRDefault="002811EB">
            <w:pPr>
              <w:jc w:val="center"/>
            </w:pPr>
            <w:r>
              <w:rPr>
                <w:rFonts w:asciiTheme="minorEastAsia" w:eastAsiaTheme="minorEastAsia" w:hAnsiTheme="minorEastAsia"/>
                <w:color w:val="000000" w:themeColor="text1"/>
              </w:rPr>
              <w:t>0.6695%</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0.4335%</w:t>
            </w:r>
          </w:p>
        </w:tc>
        <w:tc>
          <w:tcPr>
            <w:tcW w:w="1329" w:type="dxa"/>
            <w:vAlign w:val="center"/>
          </w:tcPr>
          <w:p w:rsidR="00922320" w:rsidRDefault="002811EB">
            <w:pPr>
              <w:jc w:val="center"/>
            </w:pPr>
            <w:r>
              <w:rPr>
                <w:rFonts w:asciiTheme="minorEastAsia" w:eastAsiaTheme="minorEastAsia" w:hAnsiTheme="minorEastAsia"/>
                <w:color w:val="000000" w:themeColor="text1"/>
              </w:rPr>
              <w:t>0.0006%</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t>过去一年</w:t>
            </w:r>
          </w:p>
        </w:tc>
        <w:tc>
          <w:tcPr>
            <w:tcW w:w="1329" w:type="dxa"/>
            <w:vAlign w:val="center"/>
          </w:tcPr>
          <w:p w:rsidR="00922320" w:rsidRDefault="002811EB">
            <w:pPr>
              <w:jc w:val="center"/>
            </w:pPr>
            <w:r>
              <w:rPr>
                <w:rFonts w:asciiTheme="minorEastAsia" w:eastAsiaTheme="minorEastAsia" w:hAnsiTheme="minorEastAsia"/>
                <w:color w:val="000000" w:themeColor="text1"/>
              </w:rPr>
              <w:t>2.0522%</w:t>
            </w:r>
          </w:p>
        </w:tc>
        <w:tc>
          <w:tcPr>
            <w:tcW w:w="1329" w:type="dxa"/>
            <w:vAlign w:val="center"/>
          </w:tcPr>
          <w:p w:rsidR="00922320" w:rsidRDefault="002811EB">
            <w:pPr>
              <w:jc w:val="center"/>
            </w:pPr>
            <w:r>
              <w:rPr>
                <w:rFonts w:asciiTheme="minorEastAsia" w:eastAsiaTheme="minorEastAsia" w:hAnsiTheme="minorEastAsia"/>
                <w:color w:val="000000" w:themeColor="text1"/>
              </w:rPr>
              <w:t>0.0010%</w:t>
            </w:r>
          </w:p>
        </w:tc>
        <w:tc>
          <w:tcPr>
            <w:tcW w:w="1329" w:type="dxa"/>
            <w:vAlign w:val="center"/>
          </w:tcPr>
          <w:p w:rsidR="00922320" w:rsidRDefault="002811EB">
            <w:pPr>
              <w:jc w:val="center"/>
            </w:pPr>
            <w:r>
              <w:rPr>
                <w:rFonts w:asciiTheme="minorEastAsia" w:eastAsiaTheme="minorEastAsia" w:hAnsiTheme="minorEastAsia"/>
                <w:color w:val="000000" w:themeColor="text1"/>
              </w:rPr>
              <w:t>1.3500%</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0.7022%</w:t>
            </w:r>
          </w:p>
        </w:tc>
        <w:tc>
          <w:tcPr>
            <w:tcW w:w="1329" w:type="dxa"/>
            <w:vAlign w:val="center"/>
          </w:tcPr>
          <w:p w:rsidR="00922320" w:rsidRDefault="002811EB">
            <w:pPr>
              <w:jc w:val="center"/>
            </w:pPr>
            <w:r>
              <w:rPr>
                <w:rFonts w:asciiTheme="minorEastAsia" w:eastAsiaTheme="minorEastAsia" w:hAnsiTheme="minorEastAsia"/>
                <w:color w:val="000000" w:themeColor="text1"/>
              </w:rPr>
              <w:t>0.0010%</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t>过去三年</w:t>
            </w:r>
          </w:p>
        </w:tc>
        <w:tc>
          <w:tcPr>
            <w:tcW w:w="1329" w:type="dxa"/>
            <w:vAlign w:val="center"/>
          </w:tcPr>
          <w:p w:rsidR="00922320" w:rsidRDefault="002811EB">
            <w:pPr>
              <w:jc w:val="center"/>
            </w:pPr>
            <w:r>
              <w:rPr>
                <w:rFonts w:asciiTheme="minorEastAsia" w:eastAsiaTheme="minorEastAsia" w:hAnsiTheme="minorEastAsia"/>
                <w:color w:val="000000" w:themeColor="text1"/>
              </w:rPr>
              <w:t>6.8517%</w:t>
            </w:r>
          </w:p>
        </w:tc>
        <w:tc>
          <w:tcPr>
            <w:tcW w:w="1329" w:type="dxa"/>
            <w:vAlign w:val="center"/>
          </w:tcPr>
          <w:p w:rsidR="00922320" w:rsidRDefault="002811EB">
            <w:pPr>
              <w:jc w:val="center"/>
            </w:pPr>
            <w:r>
              <w:rPr>
                <w:rFonts w:asciiTheme="minorEastAsia" w:eastAsiaTheme="minorEastAsia" w:hAnsiTheme="minorEastAsia"/>
                <w:color w:val="000000" w:themeColor="text1"/>
              </w:rPr>
              <w:t>0.0012%</w:t>
            </w:r>
          </w:p>
        </w:tc>
        <w:tc>
          <w:tcPr>
            <w:tcW w:w="1329" w:type="dxa"/>
            <w:vAlign w:val="center"/>
          </w:tcPr>
          <w:p w:rsidR="00922320" w:rsidRDefault="002811EB">
            <w:pPr>
              <w:jc w:val="center"/>
            </w:pPr>
            <w:r>
              <w:rPr>
                <w:rFonts w:asciiTheme="minorEastAsia" w:eastAsiaTheme="minorEastAsia" w:hAnsiTheme="minorEastAsia"/>
                <w:color w:val="000000" w:themeColor="text1"/>
              </w:rPr>
              <w:t>4.0537%</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2.7980%</w:t>
            </w:r>
          </w:p>
        </w:tc>
        <w:tc>
          <w:tcPr>
            <w:tcW w:w="1329" w:type="dxa"/>
            <w:vAlign w:val="center"/>
          </w:tcPr>
          <w:p w:rsidR="00922320" w:rsidRDefault="002811EB">
            <w:pPr>
              <w:jc w:val="center"/>
            </w:pPr>
            <w:r>
              <w:rPr>
                <w:rFonts w:asciiTheme="minorEastAsia" w:eastAsiaTheme="minorEastAsia" w:hAnsiTheme="minorEastAsia"/>
                <w:color w:val="000000" w:themeColor="text1"/>
              </w:rPr>
              <w:t>0.0012%</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lastRenderedPageBreak/>
              <w:t>过去五年</w:t>
            </w:r>
          </w:p>
        </w:tc>
        <w:tc>
          <w:tcPr>
            <w:tcW w:w="1329" w:type="dxa"/>
            <w:vAlign w:val="center"/>
          </w:tcPr>
          <w:p w:rsidR="00922320" w:rsidRDefault="002811EB">
            <w:pPr>
              <w:jc w:val="center"/>
            </w:pPr>
            <w:r>
              <w:rPr>
                <w:rFonts w:asciiTheme="minorEastAsia" w:eastAsiaTheme="minorEastAsia" w:hAnsiTheme="minorEastAsia"/>
                <w:color w:val="000000" w:themeColor="text1"/>
              </w:rPr>
              <w:t>13.8277%</w:t>
            </w:r>
          </w:p>
        </w:tc>
        <w:tc>
          <w:tcPr>
            <w:tcW w:w="1329" w:type="dxa"/>
            <w:vAlign w:val="center"/>
          </w:tcPr>
          <w:p w:rsidR="00922320" w:rsidRDefault="002811EB">
            <w:pPr>
              <w:jc w:val="center"/>
            </w:pPr>
            <w:r>
              <w:rPr>
                <w:rFonts w:asciiTheme="minorEastAsia" w:eastAsiaTheme="minorEastAsia" w:hAnsiTheme="minorEastAsia"/>
                <w:color w:val="000000" w:themeColor="text1"/>
              </w:rPr>
              <w:t>0.0022%</w:t>
            </w:r>
          </w:p>
        </w:tc>
        <w:tc>
          <w:tcPr>
            <w:tcW w:w="1329" w:type="dxa"/>
            <w:vAlign w:val="center"/>
          </w:tcPr>
          <w:p w:rsidR="00922320" w:rsidRDefault="002811EB">
            <w:pPr>
              <w:jc w:val="center"/>
            </w:pPr>
            <w:r>
              <w:rPr>
                <w:rFonts w:asciiTheme="minorEastAsia" w:eastAsiaTheme="minorEastAsia" w:hAnsiTheme="minorEastAsia"/>
                <w:color w:val="000000" w:themeColor="text1"/>
              </w:rPr>
              <w:t>6.7537%</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7.0740%</w:t>
            </w:r>
          </w:p>
        </w:tc>
        <w:tc>
          <w:tcPr>
            <w:tcW w:w="1329" w:type="dxa"/>
            <w:vAlign w:val="center"/>
          </w:tcPr>
          <w:p w:rsidR="00922320" w:rsidRDefault="002811EB">
            <w:pPr>
              <w:jc w:val="center"/>
            </w:pPr>
            <w:r>
              <w:rPr>
                <w:rFonts w:asciiTheme="minorEastAsia" w:eastAsiaTheme="minorEastAsia" w:hAnsiTheme="minorEastAsia"/>
                <w:color w:val="000000" w:themeColor="text1"/>
              </w:rPr>
              <w:t>0.0022%</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t>自基金合同生效起至今</w:t>
            </w:r>
          </w:p>
        </w:tc>
        <w:tc>
          <w:tcPr>
            <w:tcW w:w="1329" w:type="dxa"/>
            <w:vAlign w:val="center"/>
          </w:tcPr>
          <w:p w:rsidR="00922320" w:rsidRDefault="002811EB">
            <w:pPr>
              <w:jc w:val="center"/>
            </w:pPr>
            <w:r>
              <w:rPr>
                <w:rFonts w:asciiTheme="minorEastAsia" w:eastAsiaTheme="minorEastAsia" w:hAnsiTheme="minorEastAsia"/>
                <w:color w:val="000000" w:themeColor="text1"/>
              </w:rPr>
              <w:t>18.4926%</w:t>
            </w:r>
          </w:p>
        </w:tc>
        <w:tc>
          <w:tcPr>
            <w:tcW w:w="1329" w:type="dxa"/>
            <w:vAlign w:val="center"/>
          </w:tcPr>
          <w:p w:rsidR="00922320" w:rsidRDefault="002811EB">
            <w:pPr>
              <w:jc w:val="center"/>
            </w:pPr>
            <w:r>
              <w:rPr>
                <w:rFonts w:asciiTheme="minorEastAsia" w:eastAsiaTheme="minorEastAsia" w:hAnsiTheme="minorEastAsia"/>
                <w:color w:val="000000" w:themeColor="text1"/>
              </w:rPr>
              <w:t>0.0024%</w:t>
            </w:r>
          </w:p>
        </w:tc>
        <w:tc>
          <w:tcPr>
            <w:tcW w:w="1329" w:type="dxa"/>
            <w:vAlign w:val="center"/>
          </w:tcPr>
          <w:p w:rsidR="00922320" w:rsidRDefault="002811EB">
            <w:pPr>
              <w:jc w:val="center"/>
            </w:pPr>
            <w:r>
              <w:rPr>
                <w:rFonts w:asciiTheme="minorEastAsia" w:eastAsiaTheme="minorEastAsia" w:hAnsiTheme="minorEastAsia"/>
                <w:color w:val="000000" w:themeColor="text1"/>
              </w:rPr>
              <w:t>8.9137%</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9.5789%</w:t>
            </w:r>
          </w:p>
        </w:tc>
        <w:tc>
          <w:tcPr>
            <w:tcW w:w="1329" w:type="dxa"/>
            <w:vAlign w:val="center"/>
          </w:tcPr>
          <w:p w:rsidR="00922320" w:rsidRDefault="002811EB">
            <w:pPr>
              <w:jc w:val="center"/>
            </w:pPr>
            <w:r>
              <w:rPr>
                <w:rFonts w:asciiTheme="minorEastAsia" w:eastAsiaTheme="minorEastAsia" w:hAnsiTheme="minorEastAsia"/>
                <w:color w:val="000000" w:themeColor="text1"/>
              </w:rPr>
              <w:t>0.0024%</w:t>
            </w:r>
          </w:p>
        </w:tc>
      </w:tr>
    </w:tbl>
    <w:p w:rsidR="00186667" w:rsidRPr="00593AD2" w:rsidRDefault="00186667" w:rsidP="00196812">
      <w:pPr>
        <w:tabs>
          <w:tab w:val="left" w:pos="1800"/>
        </w:tabs>
        <w:adjustRightInd w:val="0"/>
        <w:spacing w:line="360" w:lineRule="auto"/>
        <w:rPr>
          <w:rFonts w:asciiTheme="minorEastAsia" w:eastAsiaTheme="minorEastAsia" w:hAnsiTheme="minorEastAsia"/>
          <w:color w:val="000000" w:themeColor="text1"/>
          <w:sz w:val="24"/>
        </w:rPr>
      </w:pPr>
    </w:p>
    <w:p w:rsidR="00186667" w:rsidRPr="00593AD2" w:rsidRDefault="00186667" w:rsidP="009A75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2</w:t>
      </w:r>
      <w:r w:rsidR="00570F8C" w:rsidRPr="00593AD2">
        <w:rPr>
          <w:rFonts w:asciiTheme="minorEastAsia" w:eastAsiaTheme="minorEastAsia" w:hAnsiTheme="minorEastAsia" w:hint="eastAsia"/>
          <w:b/>
          <w:color w:val="000000" w:themeColor="text1"/>
        </w:rPr>
        <w:t>、</w:t>
      </w:r>
      <w:r w:rsidR="000B2044" w:rsidRPr="00593AD2">
        <w:rPr>
          <w:rFonts w:asciiTheme="minorEastAsia" w:eastAsiaTheme="minorEastAsia" w:hAnsiTheme="minorEastAsia" w:hint="eastAsia"/>
          <w:b/>
          <w:color w:val="000000" w:themeColor="text1"/>
        </w:rPr>
        <w:t>上投摩根天添盈货币B类：</w:t>
      </w:r>
    </w:p>
    <w:p w:rsidR="000B2044" w:rsidRPr="00593AD2" w:rsidRDefault="000B2044"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自2018年6月22日起，本基金B类基金份额为零且停止计算B类基金份额每万份收益。</w:t>
      </w:r>
    </w:p>
    <w:p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rsidR="00025C5D" w:rsidRPr="00593AD2" w:rsidRDefault="00025C5D" w:rsidP="00025C5D">
      <w:pPr>
        <w:pStyle w:val="20"/>
        <w:spacing w:line="360" w:lineRule="auto"/>
        <w:ind w:firstLineChars="0" w:firstLine="0"/>
        <w:rPr>
          <w:rFonts w:asciiTheme="minorEastAsia" w:eastAsiaTheme="minorEastAsia" w:hAnsiTheme="minorEastAsia"/>
          <w:b/>
          <w:color w:val="000000" w:themeColor="text1"/>
        </w:rPr>
      </w:pPr>
      <w:r w:rsidRPr="00593AD2">
        <w:rPr>
          <w:rFonts w:asciiTheme="minorEastAsia" w:eastAsiaTheme="minorEastAsia" w:hAnsiTheme="minorEastAsia" w:hint="eastAsia"/>
          <w:b/>
          <w:color w:val="000000" w:themeColor="text1"/>
        </w:rPr>
        <w:t>3、上投摩根天添盈货币E类：</w:t>
      </w:r>
    </w:p>
    <w:tbl>
      <w:tblPr>
        <w:tblStyle w:val="ad"/>
        <w:tblW w:w="0" w:type="auto"/>
        <w:tblLayout w:type="fixed"/>
        <w:tblLook w:val="04A0" w:firstRow="1" w:lastRow="0" w:firstColumn="1" w:lastColumn="0" w:noHBand="0" w:noVBand="1"/>
      </w:tblPr>
      <w:tblGrid>
        <w:gridCol w:w="1328"/>
        <w:gridCol w:w="1329"/>
        <w:gridCol w:w="1329"/>
        <w:gridCol w:w="1329"/>
        <w:gridCol w:w="1329"/>
        <w:gridCol w:w="1329"/>
        <w:gridCol w:w="1329"/>
      </w:tblGrid>
      <w:tr w:rsidR="00593AD2" w:rsidRPr="00593AD2" w:rsidTr="00025C5D">
        <w:tc>
          <w:tcPr>
            <w:tcW w:w="1328"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阶段</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净值收益率①</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净值收益率标准差②</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业绩比较基准收益率③</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业绩比较基准收益率标准差④</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①-③</w:t>
            </w:r>
          </w:p>
        </w:tc>
        <w:tc>
          <w:tcPr>
            <w:tcW w:w="1329" w:type="dxa"/>
            <w:vAlign w:val="center"/>
          </w:tcPr>
          <w:p w:rsidR="00025C5D" w:rsidRPr="00593AD2" w:rsidRDefault="00025C5D" w:rsidP="00025C5D">
            <w:pPr>
              <w:pStyle w:val="ae"/>
              <w:adjustRightInd w:val="0"/>
              <w:snapToGrid w:val="0"/>
              <w:spacing w:before="0" w:beforeAutospacing="0" w:after="0" w:afterAutospacing="0" w:line="360" w:lineRule="auto"/>
              <w:jc w:val="center"/>
              <w:rPr>
                <w:rFonts w:asciiTheme="minorEastAsia" w:eastAsiaTheme="minorEastAsia" w:hAnsiTheme="minorEastAsia"/>
                <w:color w:val="000000" w:themeColor="text1"/>
                <w:szCs w:val="24"/>
              </w:rPr>
            </w:pPr>
            <w:r w:rsidRPr="00593AD2">
              <w:rPr>
                <w:rFonts w:asciiTheme="minorEastAsia" w:eastAsiaTheme="minorEastAsia" w:hAnsiTheme="minorEastAsia" w:hint="eastAsia"/>
                <w:color w:val="000000" w:themeColor="text1"/>
                <w:szCs w:val="24"/>
              </w:rPr>
              <w:t>②-④</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t>过去三个月</w:t>
            </w:r>
          </w:p>
        </w:tc>
        <w:tc>
          <w:tcPr>
            <w:tcW w:w="1329" w:type="dxa"/>
            <w:vAlign w:val="center"/>
          </w:tcPr>
          <w:p w:rsidR="00922320" w:rsidRDefault="002811EB">
            <w:pPr>
              <w:jc w:val="center"/>
            </w:pPr>
            <w:r>
              <w:rPr>
                <w:rFonts w:asciiTheme="minorEastAsia" w:eastAsiaTheme="minorEastAsia" w:hAnsiTheme="minorEastAsia"/>
                <w:color w:val="000000" w:themeColor="text1"/>
              </w:rPr>
              <w:t>0.5834%</w:t>
            </w:r>
          </w:p>
        </w:tc>
        <w:tc>
          <w:tcPr>
            <w:tcW w:w="1329" w:type="dxa"/>
            <w:vAlign w:val="center"/>
          </w:tcPr>
          <w:p w:rsidR="00922320" w:rsidRDefault="002811EB">
            <w:pPr>
              <w:jc w:val="center"/>
            </w:pPr>
            <w:r>
              <w:rPr>
                <w:rFonts w:asciiTheme="minorEastAsia" w:eastAsiaTheme="minorEastAsia" w:hAnsiTheme="minorEastAsia"/>
                <w:color w:val="000000" w:themeColor="text1"/>
              </w:rPr>
              <w:t>0.0005%</w:t>
            </w:r>
          </w:p>
        </w:tc>
        <w:tc>
          <w:tcPr>
            <w:tcW w:w="1329" w:type="dxa"/>
            <w:vAlign w:val="center"/>
          </w:tcPr>
          <w:p w:rsidR="00922320" w:rsidRDefault="002811EB">
            <w:pPr>
              <w:jc w:val="center"/>
            </w:pPr>
            <w:r>
              <w:rPr>
                <w:rFonts w:asciiTheme="minorEastAsia" w:eastAsiaTheme="minorEastAsia" w:hAnsiTheme="minorEastAsia"/>
                <w:color w:val="000000" w:themeColor="text1"/>
              </w:rPr>
              <w:t>0.3366%</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0.2468%</w:t>
            </w:r>
          </w:p>
        </w:tc>
        <w:tc>
          <w:tcPr>
            <w:tcW w:w="1329" w:type="dxa"/>
            <w:vAlign w:val="center"/>
          </w:tcPr>
          <w:p w:rsidR="00922320" w:rsidRDefault="002811EB">
            <w:pPr>
              <w:jc w:val="center"/>
            </w:pPr>
            <w:r>
              <w:rPr>
                <w:rFonts w:asciiTheme="minorEastAsia" w:eastAsiaTheme="minorEastAsia" w:hAnsiTheme="minorEastAsia"/>
                <w:color w:val="000000" w:themeColor="text1"/>
              </w:rPr>
              <w:t>0.0005%</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t>过去六个月</w:t>
            </w:r>
          </w:p>
        </w:tc>
        <w:tc>
          <w:tcPr>
            <w:tcW w:w="1329" w:type="dxa"/>
            <w:vAlign w:val="center"/>
          </w:tcPr>
          <w:p w:rsidR="00922320" w:rsidRDefault="002811EB">
            <w:pPr>
              <w:jc w:val="center"/>
            </w:pPr>
            <w:r>
              <w:rPr>
                <w:rFonts w:asciiTheme="minorEastAsia" w:eastAsiaTheme="minorEastAsia" w:hAnsiTheme="minorEastAsia"/>
                <w:color w:val="000000" w:themeColor="text1"/>
              </w:rPr>
              <w:t>1.1783%</w:t>
            </w:r>
          </w:p>
        </w:tc>
        <w:tc>
          <w:tcPr>
            <w:tcW w:w="1329" w:type="dxa"/>
            <w:vAlign w:val="center"/>
          </w:tcPr>
          <w:p w:rsidR="00922320" w:rsidRDefault="002811EB">
            <w:pPr>
              <w:jc w:val="center"/>
            </w:pPr>
            <w:r>
              <w:rPr>
                <w:rFonts w:asciiTheme="minorEastAsia" w:eastAsiaTheme="minorEastAsia" w:hAnsiTheme="minorEastAsia"/>
                <w:color w:val="000000" w:themeColor="text1"/>
              </w:rPr>
              <w:t>0.0006%</w:t>
            </w:r>
          </w:p>
        </w:tc>
        <w:tc>
          <w:tcPr>
            <w:tcW w:w="1329" w:type="dxa"/>
            <w:vAlign w:val="center"/>
          </w:tcPr>
          <w:p w:rsidR="00922320" w:rsidRDefault="002811EB">
            <w:pPr>
              <w:jc w:val="center"/>
            </w:pPr>
            <w:r>
              <w:rPr>
                <w:rFonts w:asciiTheme="minorEastAsia" w:eastAsiaTheme="minorEastAsia" w:hAnsiTheme="minorEastAsia"/>
                <w:color w:val="000000" w:themeColor="text1"/>
              </w:rPr>
              <w:t>0.6695%</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0.5088%</w:t>
            </w:r>
          </w:p>
        </w:tc>
        <w:tc>
          <w:tcPr>
            <w:tcW w:w="1329" w:type="dxa"/>
            <w:vAlign w:val="center"/>
          </w:tcPr>
          <w:p w:rsidR="00922320" w:rsidRDefault="002811EB">
            <w:pPr>
              <w:jc w:val="center"/>
            </w:pPr>
            <w:r>
              <w:rPr>
                <w:rFonts w:asciiTheme="minorEastAsia" w:eastAsiaTheme="minorEastAsia" w:hAnsiTheme="minorEastAsia"/>
                <w:color w:val="000000" w:themeColor="text1"/>
              </w:rPr>
              <w:t>0.0006%</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t>过去一年</w:t>
            </w:r>
          </w:p>
        </w:tc>
        <w:tc>
          <w:tcPr>
            <w:tcW w:w="1329" w:type="dxa"/>
            <w:vAlign w:val="center"/>
          </w:tcPr>
          <w:p w:rsidR="00922320" w:rsidRDefault="002811EB">
            <w:pPr>
              <w:jc w:val="center"/>
            </w:pPr>
            <w:r>
              <w:rPr>
                <w:rFonts w:asciiTheme="minorEastAsia" w:eastAsiaTheme="minorEastAsia" w:hAnsiTheme="minorEastAsia"/>
                <w:color w:val="000000" w:themeColor="text1"/>
              </w:rPr>
              <w:t>2.2053%</w:t>
            </w:r>
          </w:p>
        </w:tc>
        <w:tc>
          <w:tcPr>
            <w:tcW w:w="1329" w:type="dxa"/>
            <w:vAlign w:val="center"/>
          </w:tcPr>
          <w:p w:rsidR="00922320" w:rsidRDefault="002811EB">
            <w:pPr>
              <w:jc w:val="center"/>
            </w:pPr>
            <w:r>
              <w:rPr>
                <w:rFonts w:asciiTheme="minorEastAsia" w:eastAsiaTheme="minorEastAsia" w:hAnsiTheme="minorEastAsia"/>
                <w:color w:val="000000" w:themeColor="text1"/>
              </w:rPr>
              <w:t>0.0010%</w:t>
            </w:r>
          </w:p>
        </w:tc>
        <w:tc>
          <w:tcPr>
            <w:tcW w:w="1329" w:type="dxa"/>
            <w:vAlign w:val="center"/>
          </w:tcPr>
          <w:p w:rsidR="00922320" w:rsidRDefault="002811EB">
            <w:pPr>
              <w:jc w:val="center"/>
            </w:pPr>
            <w:r>
              <w:rPr>
                <w:rFonts w:asciiTheme="minorEastAsia" w:eastAsiaTheme="minorEastAsia" w:hAnsiTheme="minorEastAsia"/>
                <w:color w:val="000000" w:themeColor="text1"/>
              </w:rPr>
              <w:t>1.3500%</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0.8553%</w:t>
            </w:r>
          </w:p>
        </w:tc>
        <w:tc>
          <w:tcPr>
            <w:tcW w:w="1329" w:type="dxa"/>
            <w:vAlign w:val="center"/>
          </w:tcPr>
          <w:p w:rsidR="00922320" w:rsidRDefault="002811EB">
            <w:pPr>
              <w:jc w:val="center"/>
            </w:pPr>
            <w:r>
              <w:rPr>
                <w:rFonts w:asciiTheme="minorEastAsia" w:eastAsiaTheme="minorEastAsia" w:hAnsiTheme="minorEastAsia"/>
                <w:color w:val="000000" w:themeColor="text1"/>
              </w:rPr>
              <w:t>0.0010%</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t>过去三年</w:t>
            </w:r>
          </w:p>
        </w:tc>
        <w:tc>
          <w:tcPr>
            <w:tcW w:w="1329" w:type="dxa"/>
            <w:vAlign w:val="center"/>
          </w:tcPr>
          <w:p w:rsidR="00922320" w:rsidRDefault="002811EB">
            <w:pPr>
              <w:jc w:val="center"/>
            </w:pPr>
            <w:r>
              <w:rPr>
                <w:rFonts w:asciiTheme="minorEastAsia" w:eastAsiaTheme="minorEastAsia" w:hAnsiTheme="minorEastAsia"/>
                <w:color w:val="000000" w:themeColor="text1"/>
              </w:rPr>
              <w:t>7.3288%</w:t>
            </w:r>
          </w:p>
        </w:tc>
        <w:tc>
          <w:tcPr>
            <w:tcW w:w="1329" w:type="dxa"/>
            <w:vAlign w:val="center"/>
          </w:tcPr>
          <w:p w:rsidR="00922320" w:rsidRDefault="002811EB">
            <w:pPr>
              <w:jc w:val="center"/>
            </w:pPr>
            <w:r>
              <w:rPr>
                <w:rFonts w:asciiTheme="minorEastAsia" w:eastAsiaTheme="minorEastAsia" w:hAnsiTheme="minorEastAsia"/>
                <w:color w:val="000000" w:themeColor="text1"/>
              </w:rPr>
              <w:t>0.0011%</w:t>
            </w:r>
          </w:p>
        </w:tc>
        <w:tc>
          <w:tcPr>
            <w:tcW w:w="1329" w:type="dxa"/>
            <w:vAlign w:val="center"/>
          </w:tcPr>
          <w:p w:rsidR="00922320" w:rsidRDefault="002811EB">
            <w:pPr>
              <w:jc w:val="center"/>
            </w:pPr>
            <w:r>
              <w:rPr>
                <w:rFonts w:asciiTheme="minorEastAsia" w:eastAsiaTheme="minorEastAsia" w:hAnsiTheme="minorEastAsia"/>
                <w:color w:val="000000" w:themeColor="text1"/>
              </w:rPr>
              <w:t>4.0537%</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3.2751%</w:t>
            </w:r>
          </w:p>
        </w:tc>
        <w:tc>
          <w:tcPr>
            <w:tcW w:w="1329" w:type="dxa"/>
            <w:vAlign w:val="center"/>
          </w:tcPr>
          <w:p w:rsidR="00922320" w:rsidRDefault="002811EB">
            <w:pPr>
              <w:jc w:val="center"/>
            </w:pPr>
            <w:r>
              <w:rPr>
                <w:rFonts w:asciiTheme="minorEastAsia" w:eastAsiaTheme="minorEastAsia" w:hAnsiTheme="minorEastAsia"/>
                <w:color w:val="000000" w:themeColor="text1"/>
              </w:rPr>
              <w:t>0.0011%</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t>过去五年</w:t>
            </w:r>
          </w:p>
        </w:tc>
        <w:tc>
          <w:tcPr>
            <w:tcW w:w="1329" w:type="dxa"/>
            <w:vAlign w:val="center"/>
          </w:tcPr>
          <w:p w:rsidR="00922320" w:rsidRDefault="002811EB">
            <w:pPr>
              <w:jc w:val="center"/>
            </w:pPr>
            <w:r>
              <w:rPr>
                <w:rFonts w:asciiTheme="minorEastAsia" w:eastAsiaTheme="minorEastAsia" w:hAnsiTheme="minorEastAsia"/>
                <w:color w:val="000000" w:themeColor="text1"/>
              </w:rPr>
              <w:t>14.6812%</w:t>
            </w:r>
          </w:p>
        </w:tc>
        <w:tc>
          <w:tcPr>
            <w:tcW w:w="1329" w:type="dxa"/>
            <w:vAlign w:val="center"/>
          </w:tcPr>
          <w:p w:rsidR="00922320" w:rsidRDefault="002811EB">
            <w:pPr>
              <w:jc w:val="center"/>
            </w:pPr>
            <w:r>
              <w:rPr>
                <w:rFonts w:asciiTheme="minorEastAsia" w:eastAsiaTheme="minorEastAsia" w:hAnsiTheme="minorEastAsia"/>
                <w:color w:val="000000" w:themeColor="text1"/>
              </w:rPr>
              <w:t>0.0022%</w:t>
            </w:r>
          </w:p>
        </w:tc>
        <w:tc>
          <w:tcPr>
            <w:tcW w:w="1329" w:type="dxa"/>
            <w:vAlign w:val="center"/>
          </w:tcPr>
          <w:p w:rsidR="00922320" w:rsidRDefault="002811EB">
            <w:pPr>
              <w:jc w:val="center"/>
            </w:pPr>
            <w:r>
              <w:rPr>
                <w:rFonts w:asciiTheme="minorEastAsia" w:eastAsiaTheme="minorEastAsia" w:hAnsiTheme="minorEastAsia"/>
                <w:color w:val="000000" w:themeColor="text1"/>
              </w:rPr>
              <w:t>6.7537%</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7.9275%</w:t>
            </w:r>
          </w:p>
        </w:tc>
        <w:tc>
          <w:tcPr>
            <w:tcW w:w="1329" w:type="dxa"/>
            <w:vAlign w:val="center"/>
          </w:tcPr>
          <w:p w:rsidR="00922320" w:rsidRDefault="002811EB">
            <w:pPr>
              <w:jc w:val="center"/>
            </w:pPr>
            <w:r>
              <w:rPr>
                <w:rFonts w:asciiTheme="minorEastAsia" w:eastAsiaTheme="minorEastAsia" w:hAnsiTheme="minorEastAsia"/>
                <w:color w:val="000000" w:themeColor="text1"/>
              </w:rPr>
              <w:t>0.0022%</w:t>
            </w:r>
          </w:p>
        </w:tc>
      </w:tr>
      <w:tr w:rsidR="00922320">
        <w:tc>
          <w:tcPr>
            <w:tcW w:w="1328" w:type="dxa"/>
            <w:vAlign w:val="center"/>
          </w:tcPr>
          <w:p w:rsidR="00922320" w:rsidRDefault="002811EB">
            <w:pPr>
              <w:jc w:val="left"/>
            </w:pPr>
            <w:r>
              <w:rPr>
                <w:rFonts w:asciiTheme="minorEastAsia" w:eastAsiaTheme="minorEastAsia" w:hAnsiTheme="minorEastAsia"/>
                <w:color w:val="000000" w:themeColor="text1"/>
              </w:rPr>
              <w:t>自基金合同生效起至今</w:t>
            </w:r>
          </w:p>
        </w:tc>
        <w:tc>
          <w:tcPr>
            <w:tcW w:w="1329" w:type="dxa"/>
            <w:vAlign w:val="center"/>
          </w:tcPr>
          <w:p w:rsidR="00922320" w:rsidRDefault="002811EB">
            <w:pPr>
              <w:jc w:val="center"/>
            </w:pPr>
            <w:r>
              <w:rPr>
                <w:rFonts w:asciiTheme="minorEastAsia" w:eastAsiaTheme="minorEastAsia" w:hAnsiTheme="minorEastAsia"/>
                <w:color w:val="000000" w:themeColor="text1"/>
              </w:rPr>
              <w:t>19.6753%</w:t>
            </w:r>
          </w:p>
        </w:tc>
        <w:tc>
          <w:tcPr>
            <w:tcW w:w="1329" w:type="dxa"/>
            <w:vAlign w:val="center"/>
          </w:tcPr>
          <w:p w:rsidR="00922320" w:rsidRDefault="002811EB">
            <w:pPr>
              <w:jc w:val="center"/>
            </w:pPr>
            <w:r>
              <w:rPr>
                <w:rFonts w:asciiTheme="minorEastAsia" w:eastAsiaTheme="minorEastAsia" w:hAnsiTheme="minorEastAsia"/>
                <w:color w:val="000000" w:themeColor="text1"/>
              </w:rPr>
              <w:t>0.0024%</w:t>
            </w:r>
          </w:p>
        </w:tc>
        <w:tc>
          <w:tcPr>
            <w:tcW w:w="1329" w:type="dxa"/>
            <w:vAlign w:val="center"/>
          </w:tcPr>
          <w:p w:rsidR="00922320" w:rsidRDefault="002811EB">
            <w:pPr>
              <w:jc w:val="center"/>
            </w:pPr>
            <w:r>
              <w:rPr>
                <w:rFonts w:asciiTheme="minorEastAsia" w:eastAsiaTheme="minorEastAsia" w:hAnsiTheme="minorEastAsia"/>
                <w:color w:val="000000" w:themeColor="text1"/>
              </w:rPr>
              <w:t>8.9137%</w:t>
            </w:r>
          </w:p>
        </w:tc>
        <w:tc>
          <w:tcPr>
            <w:tcW w:w="1329" w:type="dxa"/>
            <w:vAlign w:val="center"/>
          </w:tcPr>
          <w:p w:rsidR="00922320" w:rsidRDefault="002811EB">
            <w:pPr>
              <w:jc w:val="center"/>
            </w:pPr>
            <w:r>
              <w:rPr>
                <w:rFonts w:asciiTheme="minorEastAsia" w:eastAsiaTheme="minorEastAsia" w:hAnsiTheme="minorEastAsia"/>
                <w:color w:val="000000" w:themeColor="text1"/>
              </w:rPr>
              <w:t>0.0000%</w:t>
            </w:r>
          </w:p>
        </w:tc>
        <w:tc>
          <w:tcPr>
            <w:tcW w:w="1329" w:type="dxa"/>
            <w:vAlign w:val="center"/>
          </w:tcPr>
          <w:p w:rsidR="00922320" w:rsidRDefault="002811EB">
            <w:pPr>
              <w:jc w:val="center"/>
            </w:pPr>
            <w:r>
              <w:rPr>
                <w:rFonts w:asciiTheme="minorEastAsia" w:eastAsiaTheme="minorEastAsia" w:hAnsiTheme="minorEastAsia"/>
                <w:color w:val="000000" w:themeColor="text1"/>
              </w:rPr>
              <w:t>10.7616%</w:t>
            </w:r>
          </w:p>
        </w:tc>
        <w:tc>
          <w:tcPr>
            <w:tcW w:w="1329" w:type="dxa"/>
            <w:vAlign w:val="center"/>
          </w:tcPr>
          <w:p w:rsidR="00922320" w:rsidRDefault="002811EB">
            <w:pPr>
              <w:jc w:val="center"/>
            </w:pPr>
            <w:r>
              <w:rPr>
                <w:rFonts w:asciiTheme="minorEastAsia" w:eastAsiaTheme="minorEastAsia" w:hAnsiTheme="minorEastAsia"/>
                <w:color w:val="000000" w:themeColor="text1"/>
              </w:rPr>
              <w:t>0.0024%</w:t>
            </w:r>
          </w:p>
        </w:tc>
      </w:tr>
    </w:tbl>
    <w:p w:rsidR="0064191E" w:rsidRPr="00593AD2" w:rsidRDefault="0064191E"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注：本基金收益分配按日结转份额。</w:t>
      </w:r>
    </w:p>
    <w:p w:rsidR="001F0286" w:rsidRPr="00593AD2" w:rsidRDefault="001F0286" w:rsidP="00196812">
      <w:pPr>
        <w:tabs>
          <w:tab w:val="left" w:pos="1800"/>
        </w:tabs>
        <w:spacing w:line="360" w:lineRule="auto"/>
        <w:rPr>
          <w:rFonts w:asciiTheme="minorEastAsia" w:eastAsiaTheme="minorEastAsia" w:hAnsiTheme="minorEastAsia"/>
          <w:color w:val="000000" w:themeColor="text1"/>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3.2.2</w:t>
      </w:r>
      <w:r w:rsidR="009B7B0C" w:rsidRPr="00593AD2">
        <w:rPr>
          <w:rStyle w:val="af4"/>
          <w:rFonts w:hint="eastAsia"/>
          <w:color w:val="000000" w:themeColor="text1"/>
          <w:sz w:val="24"/>
          <w:shd w:val="clear" w:color="auto" w:fill="FFFFFF"/>
        </w:rPr>
        <w:t>自基金合同生效以来</w:t>
      </w:r>
      <w:r w:rsidRPr="00593AD2">
        <w:rPr>
          <w:rFonts w:asciiTheme="minorEastAsia" w:eastAsiaTheme="minorEastAsia" w:hAnsiTheme="minorEastAsia" w:cs="Arial" w:hint="eastAsia"/>
          <w:b/>
          <w:color w:val="000000" w:themeColor="text1"/>
          <w:kern w:val="0"/>
          <w:sz w:val="24"/>
        </w:rPr>
        <w:t>基金累计净值收益率变动及其与同期业绩比较基准收益率变动的比较</w:t>
      </w:r>
    </w:p>
    <w:p w:rsidR="00E63B3D" w:rsidRPr="00593AD2" w:rsidRDefault="00E63B3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上投摩根天添盈货币市场基金</w:t>
      </w:r>
    </w:p>
    <w:p w:rsidR="00E63B3D" w:rsidRPr="00593AD2" w:rsidRDefault="00533490" w:rsidP="009A755D">
      <w:pPr>
        <w:pStyle w:val="a7"/>
        <w:snapToGrid w:val="0"/>
        <w:spacing w:line="360" w:lineRule="auto"/>
        <w:jc w:val="center"/>
        <w:rPr>
          <w:rFonts w:asciiTheme="minorEastAsia" w:eastAsiaTheme="minorEastAsia" w:hAnsiTheme="minorEastAsia"/>
          <w:color w:val="000000" w:themeColor="text1"/>
          <w:sz w:val="24"/>
          <w:szCs w:val="24"/>
        </w:rPr>
      </w:pPr>
      <w:r w:rsidRPr="00593AD2">
        <w:rPr>
          <w:rFonts w:asciiTheme="minorEastAsia" w:eastAsiaTheme="minorEastAsia" w:hAnsiTheme="minorEastAsia" w:hint="eastAsia"/>
          <w:color w:val="000000" w:themeColor="text1"/>
          <w:sz w:val="24"/>
          <w:szCs w:val="24"/>
        </w:rPr>
        <w:t>份额</w:t>
      </w:r>
      <w:r w:rsidR="00E63B3D" w:rsidRPr="00593AD2">
        <w:rPr>
          <w:rFonts w:asciiTheme="minorEastAsia" w:eastAsiaTheme="minorEastAsia" w:hAnsiTheme="minorEastAsia" w:hint="eastAsia"/>
          <w:color w:val="000000" w:themeColor="text1"/>
          <w:sz w:val="24"/>
          <w:szCs w:val="24"/>
        </w:rPr>
        <w:t>累计净值收益率与业绩比较基准收益率历史走势对比图</w:t>
      </w:r>
    </w:p>
    <w:p w:rsidR="00A7219D" w:rsidRPr="00593AD2" w:rsidRDefault="00A7219D" w:rsidP="009A755D">
      <w:pPr>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w:t>
      </w:r>
      <w:r w:rsidR="00D87D00" w:rsidRPr="00593AD2">
        <w:rPr>
          <w:rFonts w:asciiTheme="minorEastAsia" w:eastAsiaTheme="minorEastAsia" w:hAnsiTheme="minorEastAsia"/>
          <w:color w:val="000000" w:themeColor="text1"/>
          <w:kern w:val="0"/>
          <w:sz w:val="24"/>
        </w:rPr>
        <w:t>2014年11月25日</w:t>
      </w:r>
      <w:r w:rsidRPr="00593AD2">
        <w:rPr>
          <w:rFonts w:asciiTheme="minorEastAsia" w:eastAsiaTheme="minorEastAsia" w:hAnsiTheme="minorEastAsia" w:hint="eastAsia"/>
          <w:color w:val="000000" w:themeColor="text1"/>
          <w:kern w:val="0"/>
          <w:sz w:val="24"/>
        </w:rPr>
        <w:t>至2021年6月30日)</w:t>
      </w:r>
    </w:p>
    <w:p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1、</w:t>
      </w:r>
      <w:r w:rsidR="00E63B3D" w:rsidRPr="00593AD2">
        <w:rPr>
          <w:rFonts w:asciiTheme="minorEastAsia" w:eastAsiaTheme="minorEastAsia" w:hAnsiTheme="minorEastAsia"/>
          <w:color w:val="000000" w:themeColor="text1"/>
          <w:kern w:val="0"/>
          <w:sz w:val="24"/>
        </w:rPr>
        <w:t>上投摩根天添盈货币A类</w:t>
      </w:r>
    </w:p>
    <w:p w:rsidR="00E63B3D" w:rsidRPr="00593AD2" w:rsidRDefault="00E17870" w:rsidP="00196812">
      <w:pPr>
        <w:tabs>
          <w:tab w:val="left" w:pos="0"/>
        </w:tabs>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lastRenderedPageBreak/>
        <w:drawing>
          <wp:inline distT="0" distB="0" distL="0" distR="0" wp14:anchorId="24FA3D58" wp14:editId="2F1011EA">
            <wp:extent cx="5772150" cy="3381375"/>
            <wp:effectExtent l="0" t="0" r="0" b="9525"/>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825EA5" w:rsidRPr="00593AD2" w:rsidRDefault="00825EA5" w:rsidP="00196812">
      <w:pPr>
        <w:adjustRightInd w:val="0"/>
        <w:snapToGrid w:val="0"/>
        <w:spacing w:line="360" w:lineRule="auto"/>
        <w:rPr>
          <w:rFonts w:asciiTheme="minorEastAsia" w:eastAsiaTheme="minorEastAsia" w:hAnsiTheme="minorEastAsia"/>
          <w:color w:val="000000" w:themeColor="text1"/>
          <w:sz w:val="24"/>
        </w:rPr>
      </w:pPr>
    </w:p>
    <w:p w:rsidR="00825EA5"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2、</w:t>
      </w:r>
      <w:r w:rsidR="005F668B" w:rsidRPr="00593AD2">
        <w:rPr>
          <w:rFonts w:asciiTheme="minorEastAsia" w:eastAsiaTheme="minorEastAsia" w:hAnsiTheme="minorEastAsia"/>
          <w:color w:val="000000" w:themeColor="text1"/>
          <w:kern w:val="0"/>
          <w:sz w:val="24"/>
        </w:rPr>
        <w:t>上投摩根天添盈货币B类</w:t>
      </w:r>
    </w:p>
    <w:p w:rsidR="005F668B" w:rsidRPr="00593AD2" w:rsidRDefault="00834D9F" w:rsidP="00196812">
      <w:pPr>
        <w:snapToGri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drawing>
          <wp:inline distT="0" distB="0" distL="0" distR="0" wp14:anchorId="168C19A6" wp14:editId="17C0AE67">
            <wp:extent cx="5772150" cy="3381375"/>
            <wp:effectExtent l="0" t="0" r="0" b="9525"/>
            <wp:docPr id="2" name="图片 2"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浏览器下载\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025C5D" w:rsidRPr="00593AD2" w:rsidRDefault="00025C5D" w:rsidP="004527E3">
      <w:pPr>
        <w:autoSpaceDE w:val="0"/>
        <w:autoSpaceDN w:val="0"/>
        <w:adjustRightInd w:val="0"/>
        <w:spacing w:line="360" w:lineRule="auto"/>
        <w:jc w:val="left"/>
        <w:rPr>
          <w:rFonts w:asciiTheme="minorEastAsia" w:eastAsiaTheme="minorEastAsia" w:hAnsiTheme="minorEastAsia"/>
          <w:color w:val="000000" w:themeColor="text1"/>
          <w:sz w:val="24"/>
        </w:rPr>
      </w:pPr>
    </w:p>
    <w:p w:rsidR="00025C5D" w:rsidRPr="00593AD2" w:rsidRDefault="00025C5D" w:rsidP="00025C5D">
      <w:pPr>
        <w:snapToGrid w:val="0"/>
        <w:spacing w:line="360" w:lineRule="auto"/>
        <w:ind w:left="47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kern w:val="0"/>
          <w:sz w:val="24"/>
        </w:rPr>
        <w:t>3、</w:t>
      </w:r>
      <w:r w:rsidRPr="00593AD2">
        <w:rPr>
          <w:rFonts w:asciiTheme="minorEastAsia" w:eastAsiaTheme="minorEastAsia" w:hAnsiTheme="minorEastAsia"/>
          <w:color w:val="000000" w:themeColor="text1"/>
          <w:kern w:val="0"/>
          <w:sz w:val="24"/>
        </w:rPr>
        <w:t>上投摩根天添盈货币E类</w:t>
      </w:r>
    </w:p>
    <w:p w:rsidR="00025C5D" w:rsidRPr="00593AD2" w:rsidRDefault="00CA592F" w:rsidP="00220437">
      <w:pPr>
        <w:autoSpaceDE w:val="0"/>
        <w:autoSpaceDN w:val="0"/>
        <w:adjustRightInd w:val="0"/>
        <w:spacing w:line="360" w:lineRule="auto"/>
        <w:jc w:val="center"/>
        <w:rPr>
          <w:rFonts w:asciiTheme="minorEastAsia" w:eastAsiaTheme="minorEastAsia" w:hAnsiTheme="minorEastAsia"/>
          <w:color w:val="000000" w:themeColor="text1"/>
          <w:sz w:val="24"/>
        </w:rPr>
      </w:pPr>
      <w:r w:rsidRPr="00593AD2">
        <w:rPr>
          <w:rFonts w:asciiTheme="minorEastAsia" w:eastAsiaTheme="minorEastAsia" w:hAnsiTheme="minorEastAsia"/>
          <w:noProof/>
          <w:color w:val="000000" w:themeColor="text1"/>
          <w:sz w:val="24"/>
        </w:rPr>
        <w:lastRenderedPageBreak/>
        <w:drawing>
          <wp:inline distT="0" distB="0" distL="0" distR="0" wp14:anchorId="55EF68A1" wp14:editId="5C8DBFB4">
            <wp:extent cx="5772150" cy="3381375"/>
            <wp:effectExtent l="0" t="0" r="0" b="9525"/>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2150" cy="3381375"/>
                    </a:xfrm>
                    <a:prstGeom prst="rect">
                      <a:avLst/>
                    </a:prstGeom>
                    <a:noFill/>
                    <a:ln>
                      <a:noFill/>
                    </a:ln>
                  </pic:spPr>
                </pic:pic>
              </a:graphicData>
            </a:graphic>
          </wp:inline>
        </w:drawing>
      </w:r>
    </w:p>
    <w:p w:rsidR="00922320" w:rsidRDefault="002811EB">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w:t>
      </w:r>
      <w:r>
        <w:rPr>
          <w:rFonts w:asciiTheme="minorEastAsia" w:eastAsiaTheme="minorEastAsia" w:hAnsiTheme="minorEastAsia" w:hint="eastAsia"/>
          <w:color w:val="000000" w:themeColor="text1"/>
          <w:sz w:val="24"/>
        </w:rPr>
        <w:t>1.</w:t>
      </w:r>
      <w:r>
        <w:rPr>
          <w:rFonts w:asciiTheme="minorEastAsia" w:eastAsiaTheme="minorEastAsia" w:hAnsiTheme="minorEastAsia" w:hint="eastAsia"/>
          <w:color w:val="000000" w:themeColor="text1"/>
          <w:sz w:val="24"/>
        </w:rPr>
        <w:t>本基金合同生效日为</w:t>
      </w:r>
      <w:r>
        <w:rPr>
          <w:rFonts w:asciiTheme="minorEastAsia" w:eastAsiaTheme="minorEastAsia" w:hAnsiTheme="minorEastAsia" w:hint="eastAsia"/>
          <w:color w:val="000000" w:themeColor="text1"/>
          <w:sz w:val="24"/>
        </w:rPr>
        <w:t>2014</w:t>
      </w:r>
      <w:r>
        <w:rPr>
          <w:rFonts w:asciiTheme="minorEastAsia" w:eastAsiaTheme="minorEastAsia" w:hAnsiTheme="minorEastAsia" w:hint="eastAsia"/>
          <w:color w:val="000000" w:themeColor="text1"/>
          <w:sz w:val="24"/>
        </w:rPr>
        <w:t>年</w:t>
      </w:r>
      <w:r>
        <w:rPr>
          <w:rFonts w:asciiTheme="minorEastAsia" w:eastAsiaTheme="minorEastAsia" w:hAnsiTheme="minorEastAsia" w:hint="eastAsia"/>
          <w:color w:val="000000" w:themeColor="text1"/>
          <w:sz w:val="24"/>
        </w:rPr>
        <w:t>11</w:t>
      </w:r>
      <w:r>
        <w:rPr>
          <w:rFonts w:asciiTheme="minorEastAsia" w:eastAsiaTheme="minorEastAsia" w:hAnsiTheme="minorEastAsia" w:hint="eastAsia"/>
          <w:color w:val="000000" w:themeColor="text1"/>
          <w:sz w:val="24"/>
        </w:rPr>
        <w:t>月</w:t>
      </w:r>
      <w:r>
        <w:rPr>
          <w:rFonts w:asciiTheme="minorEastAsia" w:eastAsiaTheme="minorEastAsia" w:hAnsiTheme="minorEastAsia" w:hint="eastAsia"/>
          <w:color w:val="000000" w:themeColor="text1"/>
          <w:sz w:val="24"/>
        </w:rPr>
        <w:t>25</w:t>
      </w:r>
      <w:r>
        <w:rPr>
          <w:rFonts w:asciiTheme="minorEastAsia" w:eastAsiaTheme="minorEastAsia" w:hAnsiTheme="minorEastAsia" w:hint="eastAsia"/>
          <w:color w:val="000000" w:themeColor="text1"/>
          <w:sz w:val="24"/>
        </w:rPr>
        <w:t>日，图示的时间段为合同生效日至本报告期末。</w:t>
      </w:r>
    </w:p>
    <w:p w:rsidR="00922320" w:rsidRDefault="002811EB">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w:t>
      </w:r>
      <w:r>
        <w:rPr>
          <w:rFonts w:asciiTheme="minorEastAsia" w:eastAsiaTheme="minorEastAsia" w:hAnsiTheme="minorEastAsia" w:hint="eastAsia"/>
          <w:color w:val="000000" w:themeColor="text1"/>
          <w:sz w:val="24"/>
        </w:rPr>
        <w:t>本基金建仓期为本基金合同生效日起</w:t>
      </w:r>
      <w:r>
        <w:rPr>
          <w:rFonts w:asciiTheme="minorEastAsia" w:eastAsiaTheme="minorEastAsia" w:hAnsiTheme="minorEastAsia" w:hint="eastAsia"/>
          <w:color w:val="000000" w:themeColor="text1"/>
          <w:sz w:val="24"/>
        </w:rPr>
        <w:t xml:space="preserve"> 6 </w:t>
      </w:r>
      <w:r>
        <w:rPr>
          <w:rFonts w:asciiTheme="minorEastAsia" w:eastAsiaTheme="minorEastAsia" w:hAnsiTheme="minorEastAsia" w:hint="eastAsia"/>
          <w:color w:val="000000" w:themeColor="text1"/>
          <w:sz w:val="24"/>
        </w:rPr>
        <w:t>个月</w:t>
      </w:r>
      <w:r>
        <w:rPr>
          <w:rFonts w:asciiTheme="minorEastAsia" w:eastAsiaTheme="minorEastAsia" w:hAnsiTheme="minorEastAsia" w:hint="eastAsia"/>
          <w:color w:val="000000" w:themeColor="text1"/>
          <w:sz w:val="24"/>
        </w:rPr>
        <w:t xml:space="preserve">, </w:t>
      </w:r>
      <w:r>
        <w:rPr>
          <w:rFonts w:asciiTheme="minorEastAsia" w:eastAsiaTheme="minorEastAsia" w:hAnsiTheme="minorEastAsia" w:hint="eastAsia"/>
          <w:color w:val="000000" w:themeColor="text1"/>
          <w:sz w:val="24"/>
        </w:rPr>
        <w:t>建仓期结束时资产配置比例符合本基金基金合同的规定。</w:t>
      </w:r>
    </w:p>
    <w:p w:rsidR="00707CB2" w:rsidRPr="00593AD2" w:rsidRDefault="00C4213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3.自2018年6月22日起，本基金B类基金份额为零且停止计算B类基金份额每万份收益。</w:t>
      </w:r>
    </w:p>
    <w:p w:rsidR="00CA65DD" w:rsidRPr="00593AD2" w:rsidRDefault="00CA65DD" w:rsidP="00196812">
      <w:pPr>
        <w:tabs>
          <w:tab w:val="left" w:pos="1800"/>
        </w:tabs>
        <w:spacing w:line="360" w:lineRule="auto"/>
        <w:rPr>
          <w:rFonts w:asciiTheme="minorEastAsia" w:eastAsiaTheme="minorEastAsia" w:hAnsiTheme="minorEastAsia"/>
          <w:color w:val="000000" w:themeColor="text1"/>
          <w:sz w:val="24"/>
        </w:rPr>
      </w:pP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4  </w:t>
      </w:r>
      <w:r w:rsidRPr="00593AD2">
        <w:rPr>
          <w:rFonts w:asciiTheme="minorEastAsia" w:eastAsiaTheme="minorEastAsia" w:hAnsiTheme="minorEastAsia" w:cs="Arial" w:hint="eastAsia"/>
          <w:color w:val="000000" w:themeColor="text1"/>
          <w:kern w:val="0"/>
          <w:sz w:val="24"/>
          <w:szCs w:val="24"/>
        </w:rPr>
        <w:t>管理人报告</w:t>
      </w:r>
    </w:p>
    <w:p w:rsidR="00902E3F" w:rsidRPr="00593AD2" w:rsidRDefault="00902E3F" w:rsidP="009A755D">
      <w:pPr>
        <w:autoSpaceDE w:val="0"/>
        <w:autoSpaceDN w:val="0"/>
        <w:adjustRightInd w:val="0"/>
        <w:spacing w:line="360" w:lineRule="auto"/>
        <w:jc w:val="left"/>
        <w:rPr>
          <w:rFonts w:asciiTheme="minorEastAsia" w:eastAsiaTheme="minorEastAsia" w:hAnsiTheme="minorEastAsia"/>
          <w:b/>
          <w:bCs/>
          <w:color w:val="000000" w:themeColor="text1"/>
          <w:sz w:val="24"/>
        </w:rPr>
      </w:pPr>
      <w:r w:rsidRPr="00593AD2">
        <w:rPr>
          <w:rFonts w:asciiTheme="minorEastAsia" w:eastAsiaTheme="minorEastAsia" w:hAnsiTheme="minorEastAsia" w:cs="Arial"/>
          <w:b/>
          <w:color w:val="000000" w:themeColor="text1"/>
          <w:kern w:val="0"/>
          <w:sz w:val="24"/>
        </w:rPr>
        <w:t xml:space="preserve">4.1 </w:t>
      </w:r>
      <w:r w:rsidRPr="00593AD2">
        <w:rPr>
          <w:rFonts w:asciiTheme="minorEastAsia" w:eastAsiaTheme="minorEastAsia" w:hAnsiTheme="minorEastAsia" w:cs="Arial" w:hint="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1600"/>
        <w:gridCol w:w="1488"/>
        <w:gridCol w:w="1489"/>
        <w:gridCol w:w="992"/>
        <w:gridCol w:w="2410"/>
      </w:tblGrid>
      <w:tr w:rsidR="00593AD2" w:rsidRPr="00593AD2" w:rsidTr="00AC3D9E">
        <w:trPr>
          <w:cantSplit/>
        </w:trPr>
        <w:tc>
          <w:tcPr>
            <w:tcW w:w="952"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姓名</w:t>
            </w:r>
          </w:p>
        </w:tc>
        <w:tc>
          <w:tcPr>
            <w:tcW w:w="1600"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职务</w:t>
            </w:r>
          </w:p>
        </w:tc>
        <w:tc>
          <w:tcPr>
            <w:tcW w:w="2977" w:type="dxa"/>
            <w:gridSpan w:val="2"/>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任本基金的基金经理期限</w:t>
            </w:r>
          </w:p>
        </w:tc>
        <w:tc>
          <w:tcPr>
            <w:tcW w:w="992"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证券从业年限</w:t>
            </w:r>
          </w:p>
        </w:tc>
        <w:tc>
          <w:tcPr>
            <w:tcW w:w="2410" w:type="dxa"/>
            <w:vMerge w:val="restart"/>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说明</w:t>
            </w:r>
          </w:p>
        </w:tc>
      </w:tr>
      <w:tr w:rsidR="00593AD2" w:rsidRPr="00593AD2" w:rsidTr="00AC3D9E">
        <w:trPr>
          <w:cantSplit/>
        </w:trPr>
        <w:tc>
          <w:tcPr>
            <w:tcW w:w="952"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600" w:type="dxa"/>
            <w:vMerge/>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1488" w:type="dxa"/>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任职日期</w:t>
            </w:r>
          </w:p>
        </w:tc>
        <w:tc>
          <w:tcPr>
            <w:tcW w:w="1489" w:type="dxa"/>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离任日期</w:t>
            </w:r>
          </w:p>
        </w:tc>
        <w:tc>
          <w:tcPr>
            <w:tcW w:w="992"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c>
          <w:tcPr>
            <w:tcW w:w="2410" w:type="dxa"/>
            <w:vMerge/>
            <w:vAlign w:val="center"/>
          </w:tcPr>
          <w:p w:rsidR="00C4627A" w:rsidRPr="00593AD2" w:rsidRDefault="00C4627A" w:rsidP="0019681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p>
        </w:tc>
      </w:tr>
      <w:tr w:rsidR="00922320">
        <w:tc>
          <w:tcPr>
            <w:tcW w:w="952" w:type="dxa"/>
            <w:vAlign w:val="center"/>
          </w:tcPr>
          <w:p w:rsidR="00922320" w:rsidRDefault="002811EB">
            <w:pPr>
              <w:jc w:val="center"/>
            </w:pPr>
            <w:r>
              <w:rPr>
                <w:rFonts w:asciiTheme="minorEastAsia" w:eastAsiaTheme="minorEastAsia" w:hAnsiTheme="minorEastAsia"/>
                <w:color w:val="000000" w:themeColor="text1"/>
                <w:sz w:val="24"/>
              </w:rPr>
              <w:t>鞠婷</w:t>
            </w:r>
          </w:p>
        </w:tc>
        <w:tc>
          <w:tcPr>
            <w:tcW w:w="1600" w:type="dxa"/>
            <w:vAlign w:val="center"/>
          </w:tcPr>
          <w:p w:rsidR="00922320" w:rsidRDefault="002811EB">
            <w:pPr>
              <w:jc w:val="center"/>
            </w:pPr>
            <w:r>
              <w:rPr>
                <w:rFonts w:asciiTheme="minorEastAsia" w:eastAsiaTheme="minorEastAsia" w:hAnsiTheme="minorEastAsia"/>
                <w:color w:val="000000" w:themeColor="text1"/>
                <w:sz w:val="24"/>
              </w:rPr>
              <w:t>本基金基金经理</w:t>
            </w:r>
          </w:p>
        </w:tc>
        <w:tc>
          <w:tcPr>
            <w:tcW w:w="1488" w:type="dxa"/>
            <w:vAlign w:val="center"/>
          </w:tcPr>
          <w:p w:rsidR="00922320" w:rsidRDefault="002811EB">
            <w:pPr>
              <w:jc w:val="center"/>
            </w:pPr>
            <w:r>
              <w:rPr>
                <w:rFonts w:asciiTheme="minorEastAsia" w:eastAsiaTheme="minorEastAsia" w:hAnsiTheme="minorEastAsia"/>
                <w:color w:val="000000" w:themeColor="text1"/>
                <w:sz w:val="24"/>
              </w:rPr>
              <w:t>2016-05-27</w:t>
            </w:r>
          </w:p>
        </w:tc>
        <w:tc>
          <w:tcPr>
            <w:tcW w:w="1489" w:type="dxa"/>
            <w:vAlign w:val="center"/>
          </w:tcPr>
          <w:p w:rsidR="00922320" w:rsidRDefault="002811EB">
            <w:pPr>
              <w:jc w:val="center"/>
            </w:pPr>
            <w:r>
              <w:rPr>
                <w:rFonts w:asciiTheme="minorEastAsia" w:eastAsiaTheme="minorEastAsia" w:hAnsiTheme="minorEastAsia"/>
                <w:color w:val="000000" w:themeColor="text1"/>
                <w:sz w:val="24"/>
              </w:rPr>
              <w:t>-</w:t>
            </w:r>
          </w:p>
        </w:tc>
        <w:tc>
          <w:tcPr>
            <w:tcW w:w="992" w:type="dxa"/>
            <w:vAlign w:val="center"/>
          </w:tcPr>
          <w:p w:rsidR="00922320" w:rsidRDefault="002811EB">
            <w:pPr>
              <w:jc w:val="center"/>
            </w:pPr>
            <w:r>
              <w:rPr>
                <w:rFonts w:asciiTheme="minorEastAsia" w:eastAsiaTheme="minorEastAsia" w:hAnsiTheme="minorEastAsia"/>
                <w:color w:val="000000" w:themeColor="text1"/>
                <w:sz w:val="24"/>
              </w:rPr>
              <w:t>15</w:t>
            </w:r>
            <w:r>
              <w:rPr>
                <w:rFonts w:asciiTheme="minorEastAsia" w:eastAsiaTheme="minorEastAsia" w:hAnsiTheme="minorEastAsia"/>
                <w:color w:val="000000" w:themeColor="text1"/>
                <w:sz w:val="24"/>
              </w:rPr>
              <w:t>年</w:t>
            </w:r>
          </w:p>
        </w:tc>
        <w:tc>
          <w:tcPr>
            <w:tcW w:w="2410" w:type="dxa"/>
            <w:vAlign w:val="center"/>
          </w:tcPr>
          <w:p w:rsidR="00922320" w:rsidRDefault="002811EB">
            <w:r>
              <w:rPr>
                <w:rFonts w:asciiTheme="minorEastAsia" w:eastAsiaTheme="minorEastAsia" w:hAnsiTheme="minorEastAsia"/>
                <w:color w:val="000000" w:themeColor="text1"/>
                <w:sz w:val="24"/>
              </w:rPr>
              <w:t>鞠婷女士，</w:t>
            </w:r>
            <w:r>
              <w:rPr>
                <w:rFonts w:asciiTheme="minorEastAsia" w:eastAsiaTheme="minorEastAsia" w:hAnsiTheme="minorEastAsia"/>
                <w:color w:val="000000" w:themeColor="text1"/>
                <w:sz w:val="24"/>
              </w:rPr>
              <w:t>1997</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7</w:t>
            </w:r>
            <w:r>
              <w:rPr>
                <w:rFonts w:asciiTheme="minorEastAsia" w:eastAsiaTheme="minorEastAsia" w:hAnsiTheme="minorEastAsia"/>
                <w:color w:val="000000" w:themeColor="text1"/>
                <w:sz w:val="24"/>
              </w:rPr>
              <w:t>月至</w:t>
            </w:r>
            <w:r>
              <w:rPr>
                <w:rFonts w:asciiTheme="minorEastAsia" w:eastAsiaTheme="minorEastAsia" w:hAnsiTheme="minorEastAsia"/>
                <w:color w:val="000000" w:themeColor="text1"/>
                <w:sz w:val="24"/>
              </w:rPr>
              <w:t>2001</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月在中国建设银行第一支行担任助理经济师，</w:t>
            </w:r>
            <w:r>
              <w:rPr>
                <w:rFonts w:asciiTheme="minorEastAsia" w:eastAsiaTheme="minorEastAsia" w:hAnsiTheme="minorEastAsia"/>
                <w:color w:val="000000" w:themeColor="text1"/>
                <w:sz w:val="24"/>
              </w:rPr>
              <w:t>2006</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3</w:t>
            </w:r>
            <w:r>
              <w:rPr>
                <w:rFonts w:asciiTheme="minorEastAsia" w:eastAsiaTheme="minorEastAsia" w:hAnsiTheme="minorEastAsia"/>
                <w:color w:val="000000" w:themeColor="text1"/>
                <w:sz w:val="24"/>
              </w:rPr>
              <w:t>月至</w:t>
            </w:r>
            <w:r>
              <w:rPr>
                <w:rFonts w:asciiTheme="minorEastAsia" w:eastAsiaTheme="minorEastAsia" w:hAnsiTheme="minorEastAsia"/>
                <w:color w:val="000000" w:themeColor="text1"/>
                <w:sz w:val="24"/>
              </w:rPr>
              <w:t>2014</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月在瑞穗银行总行担任总经理助理。自</w:t>
            </w:r>
            <w:r>
              <w:rPr>
                <w:rFonts w:asciiTheme="minorEastAsia" w:eastAsiaTheme="minorEastAsia" w:hAnsiTheme="minorEastAsia"/>
                <w:color w:val="000000" w:themeColor="text1"/>
                <w:sz w:val="24"/>
              </w:rPr>
              <w:t>2014</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10</w:t>
            </w:r>
            <w:r>
              <w:rPr>
                <w:rFonts w:asciiTheme="minorEastAsia" w:eastAsiaTheme="minorEastAsia" w:hAnsiTheme="minorEastAsia"/>
                <w:color w:val="000000" w:themeColor="text1"/>
                <w:sz w:val="24"/>
              </w:rPr>
              <w:t>月起加入上投摩根基金</w:t>
            </w:r>
            <w:r>
              <w:rPr>
                <w:rFonts w:asciiTheme="minorEastAsia" w:eastAsiaTheme="minorEastAsia" w:hAnsiTheme="minorEastAsia"/>
                <w:color w:val="000000" w:themeColor="text1"/>
                <w:sz w:val="24"/>
              </w:rPr>
              <w:lastRenderedPageBreak/>
              <w:t>管理有限公司，先后担任我公司货币市场投资部基金经理助理、基金经理、高级基金经理，</w:t>
            </w:r>
            <w:r>
              <w:rPr>
                <w:rFonts w:asciiTheme="minorEastAsia" w:eastAsiaTheme="minorEastAsia" w:hAnsiTheme="minorEastAsia"/>
                <w:color w:val="000000" w:themeColor="text1"/>
                <w:sz w:val="24"/>
              </w:rPr>
              <w:t>2015</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7</w:t>
            </w:r>
            <w:r>
              <w:rPr>
                <w:rFonts w:asciiTheme="minorEastAsia" w:eastAsiaTheme="minorEastAsia" w:hAnsiTheme="minorEastAsia"/>
                <w:color w:val="000000" w:themeColor="text1"/>
                <w:sz w:val="24"/>
              </w:rPr>
              <w:t>月至</w:t>
            </w:r>
            <w:r>
              <w:rPr>
                <w:rFonts w:asciiTheme="minorEastAsia" w:eastAsiaTheme="minorEastAsia" w:hAnsiTheme="minorEastAsia"/>
                <w:color w:val="000000" w:themeColor="text1"/>
                <w:sz w:val="24"/>
              </w:rPr>
              <w:t>2018</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11</w:t>
            </w:r>
            <w:r>
              <w:rPr>
                <w:rFonts w:asciiTheme="minorEastAsia" w:eastAsiaTheme="minorEastAsia" w:hAnsiTheme="minorEastAsia"/>
                <w:color w:val="000000" w:themeColor="text1"/>
                <w:sz w:val="24"/>
              </w:rPr>
              <w:t>月担任上投摩根现金管理货币市场基金基金经理，自</w:t>
            </w:r>
            <w:r>
              <w:rPr>
                <w:rFonts w:asciiTheme="minorEastAsia" w:eastAsiaTheme="minorEastAsia" w:hAnsiTheme="minorEastAsia"/>
                <w:color w:val="000000" w:themeColor="text1"/>
                <w:sz w:val="24"/>
              </w:rPr>
              <w:t>2016</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月起担任上投摩根天添盈货币市场基金和上投摩根天添宝货币市场基金基金经理，自</w:t>
            </w:r>
            <w:r>
              <w:rPr>
                <w:rFonts w:asciiTheme="minorEastAsia" w:eastAsiaTheme="minorEastAsia" w:hAnsiTheme="minorEastAsia"/>
                <w:color w:val="000000" w:themeColor="text1"/>
                <w:sz w:val="24"/>
              </w:rPr>
              <w:t>2020</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3</w:t>
            </w:r>
            <w:r>
              <w:rPr>
                <w:rFonts w:asciiTheme="minorEastAsia" w:eastAsiaTheme="minorEastAsia" w:hAnsiTheme="minorEastAsia"/>
                <w:color w:val="000000" w:themeColor="text1"/>
                <w:sz w:val="24"/>
              </w:rPr>
              <w:t>月起同时担任上投摩根货币市场基金基金经理。</w:t>
            </w:r>
          </w:p>
        </w:tc>
      </w:tr>
    </w:tbl>
    <w:p w:rsidR="00922320" w:rsidRDefault="002811EB">
      <w:pPr>
        <w:autoSpaceDE w:val="0"/>
        <w:autoSpaceDN w:val="0"/>
        <w:adjustRightInd w:val="0"/>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lastRenderedPageBreak/>
        <w:t>注：</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任职日期和离任日期均指根据公司决定确定的聘任日期和解聘日期。</w:t>
      </w:r>
    </w:p>
    <w:p w:rsidR="00C4627A" w:rsidRPr="00593AD2" w:rsidRDefault="00C4627A"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2.证券从业的含义遵从行业协会《证券业从业人员资格管理办法》的相关规定。</w:t>
      </w:r>
    </w:p>
    <w:p w:rsidR="00902E3F" w:rsidRPr="00593AD2" w:rsidRDefault="00902E3F"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4.2</w:t>
      </w:r>
      <w:r w:rsidR="0016721A" w:rsidRPr="0016721A">
        <w:rPr>
          <w:rFonts w:hint="eastAsia"/>
          <w:b/>
          <w:color w:val="000000"/>
          <w:sz w:val="24"/>
          <w:shd w:val="clear" w:color="auto" w:fill="FFFFFF"/>
        </w:rPr>
        <w:t>管理人对报告期内本基金运作遵规守信情况的说明</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在本报告期内，基金管理人不存在损害基金份额持有人利益的行为，勤勉尽责地为基金份额持有人谋求利益。基金管理人遵守了《证券投资基金法》及其他有关法律法规、《上投摩根天添盈货币市场基金基金合同》的规定。基金经理对个股和投资组合的比例遵循了投资决策委员会的授权限制，基金投资比例符合基金合同和法律法规的要求。</w:t>
      </w:r>
    </w:p>
    <w:p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9A755D">
      <w:pPr>
        <w:autoSpaceDE w:val="0"/>
        <w:autoSpaceDN w:val="0"/>
        <w:adjustRightInd w:val="0"/>
        <w:spacing w:line="360" w:lineRule="auto"/>
        <w:jc w:val="left"/>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4.3 </w:t>
      </w:r>
      <w:r w:rsidRPr="00593AD2">
        <w:rPr>
          <w:rFonts w:asciiTheme="minorEastAsia" w:eastAsiaTheme="minorEastAsia" w:hAnsiTheme="minorEastAsia" w:cs="Arial" w:hint="eastAsia"/>
          <w:b/>
          <w:color w:val="000000" w:themeColor="text1"/>
          <w:kern w:val="0"/>
          <w:sz w:val="24"/>
        </w:rPr>
        <w:t>公平交易专项说明</w:t>
      </w:r>
    </w:p>
    <w:p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4.3.1 公平交易制度的执行情况</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对于交易所市场投资活动，本公司执行集中交易制度，确保不同投资组合在买卖同</w:t>
      </w:r>
      <w:r>
        <w:rPr>
          <w:rFonts w:asciiTheme="minorEastAsia" w:eastAsiaTheme="minorEastAsia" w:hAnsiTheme="minorEastAsia"/>
          <w:color w:val="000000" w:themeColor="text1"/>
          <w:sz w:val="24"/>
        </w:rPr>
        <w:lastRenderedPageBreak/>
        <w:t>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报告期内，通过对不同投资组合之间的收益率差异比较、对同向交易和反向交易的交易时机和交易价差监控分析，未发现整体公平交易执行出现异常的情况。</w:t>
      </w:r>
    </w:p>
    <w:p w:rsidR="003F43EB" w:rsidRPr="00593AD2" w:rsidRDefault="003F43EB"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4.3.</w:t>
      </w:r>
      <w:r w:rsidR="0007770D" w:rsidRPr="00593AD2">
        <w:rPr>
          <w:rFonts w:asciiTheme="minorEastAsia" w:eastAsiaTheme="minorEastAsia" w:hAnsiTheme="minorEastAsia" w:hint="eastAsia"/>
          <w:color w:val="000000" w:themeColor="text1"/>
          <w:sz w:val="24"/>
        </w:rPr>
        <w:t>2</w:t>
      </w:r>
      <w:r w:rsidRPr="00593AD2">
        <w:rPr>
          <w:rFonts w:asciiTheme="minorEastAsia" w:eastAsiaTheme="minorEastAsia" w:hAnsiTheme="minorEastAsia" w:hint="eastAsia"/>
          <w:color w:val="000000" w:themeColor="text1"/>
          <w:sz w:val="24"/>
        </w:rPr>
        <w:t xml:space="preserve"> 异常交易行为的专项说明</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报告期内，通过对交易价格、交易时间、交易方向等的分析，未发现有可能导致不公平交易和利益输送的异常交易行为。</w:t>
      </w:r>
    </w:p>
    <w:p w:rsidR="00902E3F"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所有投资组合参与的交易所公开竞价同日反向交易成交较少的单边交易量超过该证券当日成交量的5%的情形：无。</w:t>
      </w:r>
    </w:p>
    <w:p w:rsidR="00BE5584" w:rsidRPr="00593AD2" w:rsidRDefault="00BE5584" w:rsidP="009A755D">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323377" w:rsidRPr="00593AD2" w:rsidRDefault="00323377" w:rsidP="009A755D">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4.4 </w:t>
      </w:r>
      <w:r w:rsidRPr="00593AD2">
        <w:rPr>
          <w:rFonts w:asciiTheme="minorEastAsia" w:eastAsiaTheme="minorEastAsia" w:hAnsiTheme="minorEastAsia" w:cs="Arial" w:hint="eastAsia"/>
          <w:b/>
          <w:color w:val="000000" w:themeColor="text1"/>
          <w:kern w:val="0"/>
          <w:sz w:val="24"/>
        </w:rPr>
        <w:t>报告期内基金的投资策略和业绩表现说明</w:t>
      </w:r>
    </w:p>
    <w:p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4.4.1报告期内基金投资策略和运作分析</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回顾二季度中国经济增长动能有所趋缓，但整体延续复苏态势，韧性仍在。</w:t>
      </w:r>
      <w:r>
        <w:rPr>
          <w:rFonts w:asciiTheme="minorEastAsia" w:eastAsiaTheme="minorEastAsia" w:hAnsiTheme="minorEastAsia"/>
          <w:color w:val="000000" w:themeColor="text1"/>
          <w:sz w:val="24"/>
        </w:rPr>
        <w:t>1-5</w:t>
      </w:r>
      <w:r>
        <w:rPr>
          <w:rFonts w:asciiTheme="minorEastAsia" w:eastAsiaTheme="minorEastAsia" w:hAnsiTheme="minorEastAsia"/>
          <w:color w:val="000000" w:themeColor="text1"/>
          <w:sz w:val="24"/>
        </w:rPr>
        <w:t>月份，全国固定资产投资同比增长</w:t>
      </w:r>
      <w:r>
        <w:rPr>
          <w:rFonts w:asciiTheme="minorEastAsia" w:eastAsiaTheme="minorEastAsia" w:hAnsiTheme="minorEastAsia"/>
          <w:color w:val="000000" w:themeColor="text1"/>
          <w:sz w:val="24"/>
        </w:rPr>
        <w:t>15.4%</w:t>
      </w:r>
      <w:r>
        <w:rPr>
          <w:rFonts w:asciiTheme="minorEastAsia" w:eastAsiaTheme="minorEastAsia" w:hAnsiTheme="minorEastAsia"/>
          <w:color w:val="000000" w:themeColor="text1"/>
          <w:sz w:val="24"/>
        </w:rPr>
        <w:t>；两年平均增长</w:t>
      </w:r>
      <w:r>
        <w:rPr>
          <w:rFonts w:asciiTheme="minorEastAsia" w:eastAsiaTheme="minorEastAsia" w:hAnsiTheme="minorEastAsia"/>
          <w:color w:val="000000" w:themeColor="text1"/>
          <w:sz w:val="24"/>
        </w:rPr>
        <w:t>4.2%</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月份，规模以上工业增加值同比实际增长</w:t>
      </w:r>
      <w:r>
        <w:rPr>
          <w:rFonts w:asciiTheme="minorEastAsia" w:eastAsiaTheme="minorEastAsia" w:hAnsiTheme="minorEastAsia"/>
          <w:color w:val="000000" w:themeColor="text1"/>
          <w:sz w:val="24"/>
        </w:rPr>
        <w:t>8.8%</w:t>
      </w:r>
      <w:r>
        <w:rPr>
          <w:rFonts w:asciiTheme="minorEastAsia" w:eastAsiaTheme="minorEastAsia" w:hAnsiTheme="minorEastAsia"/>
          <w:color w:val="000000" w:themeColor="text1"/>
          <w:sz w:val="24"/>
        </w:rPr>
        <w:t>，两年平均增长</w:t>
      </w:r>
      <w:r>
        <w:rPr>
          <w:rFonts w:asciiTheme="minorEastAsia" w:eastAsiaTheme="minorEastAsia" w:hAnsiTheme="minorEastAsia"/>
          <w:color w:val="000000" w:themeColor="text1"/>
          <w:sz w:val="24"/>
        </w:rPr>
        <w:t>6.6%</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月份，社会消费品零售总额同比增长</w:t>
      </w:r>
      <w:r>
        <w:rPr>
          <w:rFonts w:asciiTheme="minorEastAsia" w:eastAsiaTheme="minorEastAsia" w:hAnsiTheme="minorEastAsia"/>
          <w:color w:val="000000" w:themeColor="text1"/>
          <w:sz w:val="24"/>
        </w:rPr>
        <w:t>12.4%</w:t>
      </w:r>
      <w:r>
        <w:rPr>
          <w:rFonts w:asciiTheme="minorEastAsia" w:eastAsiaTheme="minorEastAsia" w:hAnsiTheme="minorEastAsia"/>
          <w:color w:val="000000" w:themeColor="text1"/>
          <w:sz w:val="24"/>
        </w:rPr>
        <w:t>，两年平均增速为</w:t>
      </w:r>
      <w:r>
        <w:rPr>
          <w:rFonts w:asciiTheme="minorEastAsia" w:eastAsiaTheme="minorEastAsia" w:hAnsiTheme="minorEastAsia"/>
          <w:color w:val="000000" w:themeColor="text1"/>
          <w:sz w:val="24"/>
        </w:rPr>
        <w:t>4.5%</w:t>
      </w:r>
      <w:r>
        <w:rPr>
          <w:rFonts w:asciiTheme="minorEastAsia" w:eastAsiaTheme="minorEastAsia" w:hAnsiTheme="minorEastAsia"/>
          <w:color w:val="000000" w:themeColor="text1"/>
          <w:sz w:val="24"/>
        </w:rPr>
        <w:t>。工业生产方面，</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月工业生产继续走弱，工增两年平均增速为</w:t>
      </w:r>
      <w:r>
        <w:rPr>
          <w:rFonts w:asciiTheme="minorEastAsia" w:eastAsiaTheme="minorEastAsia" w:hAnsiTheme="minorEastAsia"/>
          <w:color w:val="000000" w:themeColor="text1"/>
          <w:sz w:val="24"/>
        </w:rPr>
        <w:t>6.6%</w:t>
      </w:r>
      <w:r>
        <w:rPr>
          <w:rFonts w:asciiTheme="minorEastAsia" w:eastAsiaTheme="minorEastAsia" w:hAnsiTheme="minorEastAsia"/>
          <w:color w:val="000000" w:themeColor="text1"/>
          <w:sz w:val="24"/>
        </w:rPr>
        <w:t>，较上月有所下行，显示工业生产开始放缓。制造业投资增速虽然继续小幅修复，但后续可能回升的动力不足。消费方面，</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月消费略有起色，但仍不及预期。</w:t>
      </w:r>
      <w:r>
        <w:rPr>
          <w:rFonts w:asciiTheme="minorEastAsia" w:eastAsiaTheme="minorEastAsia" w:hAnsiTheme="minorEastAsia"/>
          <w:color w:val="000000" w:themeColor="text1"/>
          <w:sz w:val="24"/>
        </w:rPr>
        <w:t>5</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PPI</w:t>
      </w:r>
      <w:r>
        <w:rPr>
          <w:rFonts w:asciiTheme="minorEastAsia" w:eastAsiaTheme="minorEastAsia" w:hAnsiTheme="minorEastAsia"/>
          <w:color w:val="000000" w:themeColor="text1"/>
          <w:sz w:val="24"/>
        </w:rPr>
        <w:t>同比上涨</w:t>
      </w:r>
      <w:r>
        <w:rPr>
          <w:rFonts w:asciiTheme="minorEastAsia" w:eastAsiaTheme="minorEastAsia" w:hAnsiTheme="minorEastAsia"/>
          <w:color w:val="000000" w:themeColor="text1"/>
          <w:sz w:val="24"/>
        </w:rPr>
        <w:t>9.0%</w:t>
      </w:r>
      <w:r>
        <w:rPr>
          <w:rFonts w:asciiTheme="minorEastAsia" w:eastAsiaTheme="minorEastAsia" w:hAnsiTheme="minorEastAsia"/>
          <w:color w:val="000000" w:themeColor="text1"/>
          <w:sz w:val="24"/>
        </w:rPr>
        <w:t>，预期</w:t>
      </w:r>
      <w:r>
        <w:rPr>
          <w:rFonts w:asciiTheme="minorEastAsia" w:eastAsiaTheme="minorEastAsia" w:hAnsiTheme="minorEastAsia"/>
          <w:color w:val="000000" w:themeColor="text1"/>
          <w:sz w:val="24"/>
        </w:rPr>
        <w:t>8</w:t>
      </w:r>
      <w:r>
        <w:rPr>
          <w:rFonts w:asciiTheme="minorEastAsia" w:eastAsiaTheme="minorEastAsia" w:hAnsiTheme="minorEastAsia"/>
          <w:color w:val="000000" w:themeColor="text1"/>
          <w:sz w:val="24"/>
        </w:rPr>
        <w:t>.3%</w:t>
      </w:r>
      <w:r>
        <w:rPr>
          <w:rFonts w:asciiTheme="minorEastAsia" w:eastAsiaTheme="minorEastAsia" w:hAnsiTheme="minorEastAsia"/>
          <w:color w:val="000000" w:themeColor="text1"/>
          <w:sz w:val="24"/>
        </w:rPr>
        <w:t>；</w:t>
      </w:r>
      <w:r>
        <w:rPr>
          <w:rFonts w:asciiTheme="minorEastAsia" w:eastAsiaTheme="minorEastAsia" w:hAnsiTheme="minorEastAsia"/>
          <w:color w:val="000000" w:themeColor="text1"/>
          <w:sz w:val="24"/>
        </w:rPr>
        <w:t xml:space="preserve"> CPI</w:t>
      </w:r>
      <w:r>
        <w:rPr>
          <w:rFonts w:asciiTheme="minorEastAsia" w:eastAsiaTheme="minorEastAsia" w:hAnsiTheme="minorEastAsia"/>
          <w:color w:val="000000" w:themeColor="text1"/>
          <w:sz w:val="24"/>
        </w:rPr>
        <w:t>同比上涨</w:t>
      </w:r>
      <w:r>
        <w:rPr>
          <w:rFonts w:asciiTheme="minorEastAsia" w:eastAsiaTheme="minorEastAsia" w:hAnsiTheme="minorEastAsia"/>
          <w:color w:val="000000" w:themeColor="text1"/>
          <w:sz w:val="24"/>
        </w:rPr>
        <w:t>1.3%</w:t>
      </w:r>
      <w:r>
        <w:rPr>
          <w:rFonts w:asciiTheme="minorEastAsia" w:eastAsiaTheme="minorEastAsia" w:hAnsiTheme="minorEastAsia"/>
          <w:color w:val="000000" w:themeColor="text1"/>
          <w:sz w:val="24"/>
        </w:rPr>
        <w:t>，预期</w:t>
      </w:r>
      <w:r>
        <w:rPr>
          <w:rFonts w:asciiTheme="minorEastAsia" w:eastAsiaTheme="minorEastAsia" w:hAnsiTheme="minorEastAsia"/>
          <w:color w:val="000000" w:themeColor="text1"/>
          <w:sz w:val="24"/>
        </w:rPr>
        <w:t>1.6%</w:t>
      </w:r>
      <w:r>
        <w:rPr>
          <w:rFonts w:asciiTheme="minorEastAsia" w:eastAsiaTheme="minorEastAsia" w:hAnsiTheme="minorEastAsia"/>
          <w:color w:val="000000" w:themeColor="text1"/>
          <w:sz w:val="24"/>
        </w:rPr>
        <w:t>，仍处可控范围。</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二季度央行货币政策稳字当头，公开市场操作基本上维持平衡续作，显示短期政策利率持续处于稳定状态。央行行长易纲在第十三届陆家嘴论坛上表示，考虑到我国经济运行在合理区间内，在潜在产出水平附近，物价走势整体可控，货币政策要与新发展阶段相适应，坚持稳字当头，坚持实施正常的货币政策。受此影响，</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年期银行存单在</w:t>
      </w:r>
      <w:r>
        <w:rPr>
          <w:rFonts w:asciiTheme="minorEastAsia" w:eastAsiaTheme="minorEastAsia" w:hAnsiTheme="minorEastAsia"/>
          <w:color w:val="000000" w:themeColor="text1"/>
          <w:sz w:val="24"/>
        </w:rPr>
        <w:t>2.83%</w:t>
      </w:r>
      <w:r>
        <w:rPr>
          <w:rFonts w:asciiTheme="minorEastAsia" w:eastAsiaTheme="minorEastAsia" w:hAnsiTheme="minorEastAsia"/>
          <w:color w:val="000000" w:themeColor="text1"/>
          <w:sz w:val="24"/>
        </w:rPr>
        <w:t>至</w:t>
      </w:r>
      <w:r>
        <w:rPr>
          <w:rFonts w:asciiTheme="minorEastAsia" w:eastAsiaTheme="minorEastAsia" w:hAnsiTheme="minorEastAsia"/>
          <w:color w:val="000000" w:themeColor="text1"/>
          <w:sz w:val="24"/>
        </w:rPr>
        <w:t>3.07%</w:t>
      </w:r>
      <w:r>
        <w:rPr>
          <w:rFonts w:asciiTheme="minorEastAsia" w:eastAsiaTheme="minorEastAsia" w:hAnsiTheme="minorEastAsia"/>
          <w:color w:val="000000" w:themeColor="text1"/>
          <w:sz w:val="24"/>
        </w:rPr>
        <w:t>之间窄幅震荡，</w:t>
      </w:r>
      <w:r>
        <w:rPr>
          <w:rFonts w:asciiTheme="minorEastAsia" w:eastAsiaTheme="minorEastAsia" w:hAnsiTheme="minorEastAsia"/>
          <w:color w:val="000000" w:themeColor="text1"/>
          <w:sz w:val="24"/>
        </w:rPr>
        <w:t>1</w:t>
      </w:r>
      <w:r>
        <w:rPr>
          <w:rFonts w:asciiTheme="minorEastAsia" w:eastAsiaTheme="minorEastAsia" w:hAnsiTheme="minorEastAsia"/>
          <w:color w:val="000000" w:themeColor="text1"/>
          <w:sz w:val="24"/>
        </w:rPr>
        <w:t>年期国开债收益率在</w:t>
      </w:r>
      <w:r>
        <w:rPr>
          <w:rFonts w:asciiTheme="minorEastAsia" w:eastAsiaTheme="minorEastAsia" w:hAnsiTheme="minorEastAsia"/>
          <w:color w:val="000000" w:themeColor="text1"/>
          <w:sz w:val="24"/>
        </w:rPr>
        <w:t>2.47%-2.76%</w:t>
      </w:r>
      <w:r>
        <w:rPr>
          <w:rFonts w:asciiTheme="minorEastAsia" w:eastAsiaTheme="minorEastAsia" w:hAnsiTheme="minorEastAsia"/>
          <w:color w:val="000000" w:themeColor="text1"/>
          <w:sz w:val="24"/>
        </w:rPr>
        <w:t>之间窄幅波动。</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本基金在二季度继续以流动性和安全性为首要目标，在市场收益</w:t>
      </w:r>
      <w:r>
        <w:rPr>
          <w:rFonts w:asciiTheme="minorEastAsia" w:eastAsiaTheme="minorEastAsia" w:hAnsiTheme="minorEastAsia"/>
          <w:color w:val="000000" w:themeColor="text1"/>
          <w:sz w:val="24"/>
        </w:rPr>
        <w:t>率保持平稳之时，注重结构化配置，同时保持相对合理久期，平稳基金收益率和流动性。此外主动了解客</w:t>
      </w:r>
      <w:r>
        <w:rPr>
          <w:rFonts w:asciiTheme="minorEastAsia" w:eastAsiaTheme="minorEastAsia" w:hAnsiTheme="minorEastAsia"/>
          <w:color w:val="000000" w:themeColor="text1"/>
          <w:sz w:val="24"/>
        </w:rPr>
        <w:lastRenderedPageBreak/>
        <w:t>户关键时点现金流动向，做好流动性前瞻性管理，严控客户集中度，把握组合整体风险。</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展望未来，在目前经济形势下，货币政策“稳”字当头保持流动性合理充裕仍显得十分必要。预计未来央行货币政策仍将贯彻之前方针，以政策利率为中枢，引导资金利率围绕政策利率波动。本基金在三季度仍会谨记货币基金现金管理工具的原则，密切关注疫情疫苗及海内外政策变化，防范各类信用风险，灵活调整资产配置。遵守各项监管要求，同时严格控制客户集中度，以流动性和安全性为首要目标，力争为投资者提供稳健的长期回报。</w:t>
      </w:r>
    </w:p>
    <w:p w:rsidR="00323377" w:rsidRPr="00593AD2" w:rsidRDefault="00323377" w:rsidP="009A755D">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4.4.2报告期内基金的业绩表现</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本报告期上投摩根天添盈货币</w:t>
      </w:r>
      <w:r>
        <w:rPr>
          <w:rFonts w:asciiTheme="minorEastAsia" w:eastAsiaTheme="minorEastAsia" w:hAnsiTheme="minorEastAsia"/>
          <w:color w:val="000000" w:themeColor="text1"/>
          <w:sz w:val="24"/>
        </w:rPr>
        <w:t>A</w:t>
      </w:r>
      <w:r>
        <w:rPr>
          <w:rFonts w:asciiTheme="minorEastAsia" w:eastAsiaTheme="minorEastAsia" w:hAnsiTheme="minorEastAsia"/>
          <w:color w:val="000000" w:themeColor="text1"/>
          <w:sz w:val="24"/>
        </w:rPr>
        <w:t>份额净值增长率为</w:t>
      </w:r>
      <w:r>
        <w:rPr>
          <w:rFonts w:asciiTheme="minorEastAsia" w:eastAsiaTheme="minorEastAsia" w:hAnsiTheme="minorEastAsia"/>
          <w:color w:val="000000" w:themeColor="text1"/>
          <w:sz w:val="24"/>
        </w:rPr>
        <w:t>:0.5458%</w:t>
      </w:r>
      <w:r>
        <w:rPr>
          <w:rFonts w:asciiTheme="minorEastAsia" w:eastAsiaTheme="minorEastAsia" w:hAnsiTheme="minorEastAsia"/>
          <w:color w:val="000000" w:themeColor="text1"/>
          <w:sz w:val="24"/>
        </w:rPr>
        <w:t>，同期业绩比较基准收益率为</w:t>
      </w:r>
      <w:r>
        <w:rPr>
          <w:rFonts w:asciiTheme="minorEastAsia" w:eastAsiaTheme="minorEastAsia" w:hAnsiTheme="minorEastAsia"/>
          <w:color w:val="000000" w:themeColor="text1"/>
          <w:sz w:val="24"/>
        </w:rPr>
        <w:t>:0.3366%,</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自</w:t>
      </w:r>
      <w:r>
        <w:rPr>
          <w:rFonts w:asciiTheme="minorEastAsia" w:eastAsiaTheme="minorEastAsia" w:hAnsiTheme="minorEastAsia"/>
          <w:color w:val="000000" w:themeColor="text1"/>
          <w:sz w:val="24"/>
        </w:rPr>
        <w:t>2018</w:t>
      </w:r>
      <w:r>
        <w:rPr>
          <w:rFonts w:asciiTheme="minorEastAsia" w:eastAsiaTheme="minorEastAsia" w:hAnsiTheme="minorEastAsia"/>
          <w:color w:val="000000" w:themeColor="text1"/>
          <w:sz w:val="24"/>
        </w:rPr>
        <w:t>年</w:t>
      </w:r>
      <w:r>
        <w:rPr>
          <w:rFonts w:asciiTheme="minorEastAsia" w:eastAsiaTheme="minorEastAsia" w:hAnsiTheme="minorEastAsia"/>
          <w:color w:val="000000" w:themeColor="text1"/>
          <w:sz w:val="24"/>
        </w:rPr>
        <w:t>6</w:t>
      </w:r>
      <w:r>
        <w:rPr>
          <w:rFonts w:asciiTheme="minorEastAsia" w:eastAsiaTheme="minorEastAsia" w:hAnsiTheme="minorEastAsia"/>
          <w:color w:val="000000" w:themeColor="text1"/>
          <w:sz w:val="24"/>
        </w:rPr>
        <w:t>月</w:t>
      </w:r>
      <w:r>
        <w:rPr>
          <w:rFonts w:asciiTheme="minorEastAsia" w:eastAsiaTheme="minorEastAsia" w:hAnsiTheme="minorEastAsia"/>
          <w:color w:val="000000" w:themeColor="text1"/>
          <w:sz w:val="24"/>
        </w:rPr>
        <w:t>22</w:t>
      </w:r>
      <w:r>
        <w:rPr>
          <w:rFonts w:asciiTheme="minorEastAsia" w:eastAsiaTheme="minorEastAsia" w:hAnsiTheme="minorEastAsia"/>
          <w:color w:val="000000" w:themeColor="text1"/>
          <w:sz w:val="24"/>
        </w:rPr>
        <w:t>日起，本基金</w:t>
      </w:r>
      <w:r>
        <w:rPr>
          <w:rFonts w:asciiTheme="minorEastAsia" w:eastAsiaTheme="minorEastAsia" w:hAnsiTheme="minorEastAsia"/>
          <w:color w:val="000000" w:themeColor="text1"/>
          <w:sz w:val="24"/>
        </w:rPr>
        <w:t>B</w:t>
      </w:r>
      <w:r>
        <w:rPr>
          <w:rFonts w:asciiTheme="minorEastAsia" w:eastAsiaTheme="minorEastAsia" w:hAnsiTheme="minorEastAsia"/>
          <w:color w:val="000000" w:themeColor="text1"/>
          <w:sz w:val="24"/>
        </w:rPr>
        <w:t>类基金份额为零且停止计算</w:t>
      </w:r>
      <w:r>
        <w:rPr>
          <w:rFonts w:asciiTheme="minorEastAsia" w:eastAsiaTheme="minorEastAsia" w:hAnsiTheme="minorEastAsia"/>
          <w:color w:val="000000" w:themeColor="text1"/>
          <w:sz w:val="24"/>
        </w:rPr>
        <w:t>B</w:t>
      </w:r>
      <w:r>
        <w:rPr>
          <w:rFonts w:asciiTheme="minorEastAsia" w:eastAsiaTheme="minorEastAsia" w:hAnsiTheme="minorEastAsia"/>
          <w:color w:val="000000" w:themeColor="text1"/>
          <w:sz w:val="24"/>
        </w:rPr>
        <w:t>类基金份额每万份收益。</w:t>
      </w:r>
    </w:p>
    <w:p w:rsidR="00C4627A" w:rsidRPr="00593AD2" w:rsidRDefault="00C4627A" w:rsidP="009A755D">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上投摩根天添盈货币E份额净值增长率为:0.5834%，同期业绩比较基准收益率为:0.3366%。</w:t>
      </w:r>
    </w:p>
    <w:p w:rsidR="00BE5584" w:rsidRPr="00593AD2" w:rsidRDefault="00BE5584" w:rsidP="009A755D">
      <w:pPr>
        <w:autoSpaceDE w:val="0"/>
        <w:autoSpaceDN w:val="0"/>
        <w:adjustRightInd w:val="0"/>
        <w:spacing w:line="360" w:lineRule="auto"/>
        <w:jc w:val="left"/>
        <w:rPr>
          <w:rFonts w:asciiTheme="minorEastAsia" w:eastAsiaTheme="minorEastAsia" w:hAnsiTheme="minorEastAsia"/>
          <w:color w:val="000000" w:themeColor="text1"/>
          <w:kern w:val="0"/>
          <w:sz w:val="24"/>
        </w:rPr>
      </w:pPr>
    </w:p>
    <w:p w:rsidR="00394455" w:rsidRPr="00593AD2" w:rsidRDefault="00455AA7" w:rsidP="00394455">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b/>
          <w:color w:val="000000" w:themeColor="text1"/>
          <w:kern w:val="0"/>
          <w:sz w:val="24"/>
        </w:rPr>
        <w:t>4</w:t>
      </w:r>
      <w:r w:rsidRPr="00593AD2">
        <w:rPr>
          <w:rFonts w:asciiTheme="minorEastAsia" w:eastAsiaTheme="minorEastAsia" w:hAnsiTheme="minorEastAsia" w:hint="eastAsia"/>
          <w:b/>
          <w:color w:val="000000" w:themeColor="text1"/>
          <w:kern w:val="0"/>
          <w:sz w:val="24"/>
        </w:rPr>
        <w:t>.5</w:t>
      </w:r>
      <w:r w:rsidR="00394455" w:rsidRPr="00593AD2">
        <w:rPr>
          <w:rFonts w:asciiTheme="minorEastAsia" w:eastAsiaTheme="minorEastAsia" w:hAnsiTheme="minorEastAsia" w:hint="eastAsia"/>
          <w:b/>
          <w:color w:val="000000" w:themeColor="text1"/>
          <w:kern w:val="0"/>
          <w:sz w:val="24"/>
        </w:rPr>
        <w:t>报告期内基金持有人数或基金资产净值预警说明</w:t>
      </w:r>
    </w:p>
    <w:p w:rsidR="00394455" w:rsidRPr="00593AD2" w:rsidRDefault="00394455" w:rsidP="00394455">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kern w:val="0"/>
          <w:sz w:val="24"/>
        </w:rPr>
        <w:t>无。</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5  </w:t>
      </w:r>
      <w:r w:rsidRPr="00593AD2">
        <w:rPr>
          <w:rFonts w:asciiTheme="minorEastAsia" w:eastAsiaTheme="minorEastAsia" w:hAnsiTheme="minorEastAsia" w:cs="Arial" w:hint="eastAsia"/>
          <w:color w:val="000000" w:themeColor="text1"/>
          <w:kern w:val="0"/>
          <w:sz w:val="24"/>
          <w:szCs w:val="24"/>
        </w:rPr>
        <w:t>投资组合报告</w:t>
      </w:r>
    </w:p>
    <w:p w:rsidR="00902E3F" w:rsidRPr="00593AD2" w:rsidRDefault="00902E3F" w:rsidP="003A0EC1">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5.1 </w:t>
      </w:r>
      <w:r w:rsidRPr="00593AD2">
        <w:rPr>
          <w:rFonts w:asciiTheme="minorEastAsia" w:eastAsiaTheme="minorEastAsia" w:hAnsiTheme="minorEastAsia" w:cs="Arial" w:hint="eastAsia"/>
          <w:b/>
          <w:color w:val="000000" w:themeColor="text1"/>
          <w:kern w:val="0"/>
          <w:sz w:val="24"/>
        </w:rPr>
        <w:t>报告期末基金资产组合情况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357"/>
        <w:gridCol w:w="3119"/>
        <w:gridCol w:w="1843"/>
      </w:tblGrid>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序号</w:t>
            </w:r>
          </w:p>
        </w:tc>
        <w:tc>
          <w:tcPr>
            <w:tcW w:w="3357"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3119"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金额(元)</w:t>
            </w:r>
          </w:p>
        </w:tc>
        <w:tc>
          <w:tcPr>
            <w:tcW w:w="1843"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占基金总资产的比例(</w:t>
            </w:r>
            <w:r w:rsidRPr="00593AD2">
              <w:rPr>
                <w:rFonts w:asciiTheme="minorEastAsia" w:eastAsiaTheme="minorEastAsia" w:hAnsiTheme="minorEastAsia"/>
                <w:color w:val="000000" w:themeColor="text1"/>
                <w:sz w:val="24"/>
              </w:rPr>
              <w:t>%</w:t>
            </w:r>
            <w:r w:rsidRPr="00593AD2">
              <w:rPr>
                <w:rFonts w:asciiTheme="minorEastAsia" w:eastAsiaTheme="minorEastAsia" w:hAnsiTheme="minorEastAsia" w:hint="eastAsia"/>
                <w:color w:val="000000" w:themeColor="text1"/>
                <w:sz w:val="24"/>
              </w:rPr>
              <w:t>)</w:t>
            </w:r>
          </w:p>
        </w:tc>
      </w:tr>
      <w:tr w:rsidR="00593AD2" w:rsidRPr="00593AD2" w:rsidTr="00340456">
        <w:tc>
          <w:tcPr>
            <w:tcW w:w="720" w:type="dxa"/>
            <w:vAlign w:val="center"/>
          </w:tcPr>
          <w:p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1</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固定收益投资</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2,885,149,484.92</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34.48</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其中：债券</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2,885,149,484.92</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34.48</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5D1BAF">
            <w:pPr>
              <w:autoSpaceDE w:val="0"/>
              <w:autoSpaceDN w:val="0"/>
              <w:adjustRightInd w:val="0"/>
              <w:spacing w:before="29" w:line="360" w:lineRule="auto"/>
              <w:ind w:left="17" w:firstLineChars="300" w:firstLine="720"/>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资产支持证券</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rsidTr="00340456">
        <w:tc>
          <w:tcPr>
            <w:tcW w:w="720" w:type="dxa"/>
            <w:vAlign w:val="center"/>
          </w:tcPr>
          <w:p w:rsidR="00B4354A" w:rsidRPr="00593AD2" w:rsidRDefault="00737060"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2</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买入返售金融资产</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796,293,135.49</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9.52</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其中：买断式回购的买入返售</w:t>
            </w:r>
            <w:r w:rsidRPr="00593AD2">
              <w:rPr>
                <w:rFonts w:asciiTheme="minorEastAsia" w:eastAsiaTheme="minorEastAsia" w:hAnsiTheme="minorEastAsia" w:cs="宋体" w:hint="eastAsia"/>
                <w:color w:val="000000" w:themeColor="text1"/>
                <w:sz w:val="24"/>
              </w:rPr>
              <w:lastRenderedPageBreak/>
              <w:t>金融资产</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lastRenderedPageBreak/>
              <w:t>-</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r>
      <w:tr w:rsidR="00593AD2" w:rsidRPr="00593AD2" w:rsidTr="00340456">
        <w:tc>
          <w:tcPr>
            <w:tcW w:w="720" w:type="dxa"/>
            <w:vAlign w:val="center"/>
          </w:tcPr>
          <w:p w:rsidR="00B4354A" w:rsidRPr="00593AD2" w:rsidRDefault="005F17EC"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w:t>
            </w:r>
          </w:p>
        </w:tc>
        <w:tc>
          <w:tcPr>
            <w:tcW w:w="3357" w:type="dxa"/>
            <w:vAlign w:val="center"/>
          </w:tcPr>
          <w:p w:rsidR="00B4354A" w:rsidRPr="00593AD2" w:rsidRDefault="00B4354A" w:rsidP="00196812">
            <w:pPr>
              <w:spacing w:before="29" w:line="360" w:lineRule="auto"/>
              <w:ind w:left="17"/>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银行存款和结算备付金合计</w:t>
            </w:r>
          </w:p>
        </w:tc>
        <w:tc>
          <w:tcPr>
            <w:tcW w:w="3119"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4,610,498,460.75</w:t>
            </w:r>
          </w:p>
        </w:tc>
        <w:tc>
          <w:tcPr>
            <w:tcW w:w="1843" w:type="dxa"/>
            <w:vAlign w:val="center"/>
          </w:tcPr>
          <w:p w:rsidR="00B4354A" w:rsidRPr="00593AD2" w:rsidRDefault="00B4354A" w:rsidP="00196812">
            <w:pPr>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55.09</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4</w:t>
            </w:r>
          </w:p>
        </w:tc>
        <w:tc>
          <w:tcPr>
            <w:tcW w:w="3357" w:type="dxa"/>
            <w:vAlign w:val="center"/>
          </w:tcPr>
          <w:p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其他资产</w:t>
            </w:r>
          </w:p>
        </w:tc>
        <w:tc>
          <w:tcPr>
            <w:tcW w:w="3119"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76,349,649.08</w:t>
            </w:r>
          </w:p>
        </w:tc>
        <w:tc>
          <w:tcPr>
            <w:tcW w:w="1843"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0.91</w:t>
            </w:r>
          </w:p>
        </w:tc>
      </w:tr>
      <w:tr w:rsidR="00593AD2" w:rsidRPr="00593AD2" w:rsidTr="00340456">
        <w:tc>
          <w:tcPr>
            <w:tcW w:w="720" w:type="dxa"/>
            <w:vAlign w:val="center"/>
          </w:tcPr>
          <w:p w:rsidR="00B4354A" w:rsidRPr="00593AD2" w:rsidRDefault="00B4354A" w:rsidP="00196812">
            <w:pPr>
              <w:spacing w:before="29" w:line="360" w:lineRule="auto"/>
              <w:ind w:left="17"/>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5</w:t>
            </w:r>
          </w:p>
        </w:tc>
        <w:tc>
          <w:tcPr>
            <w:tcW w:w="3357" w:type="dxa"/>
            <w:vAlign w:val="center"/>
          </w:tcPr>
          <w:p w:rsidR="00B4354A" w:rsidRPr="00593AD2" w:rsidRDefault="00B4354A" w:rsidP="00196812">
            <w:pPr>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s="宋体" w:hint="eastAsia"/>
                <w:color w:val="000000" w:themeColor="text1"/>
                <w:sz w:val="24"/>
              </w:rPr>
              <w:t>合计</w:t>
            </w:r>
          </w:p>
        </w:tc>
        <w:tc>
          <w:tcPr>
            <w:tcW w:w="3119"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8,368,290,730.24</w:t>
            </w:r>
          </w:p>
        </w:tc>
        <w:tc>
          <w:tcPr>
            <w:tcW w:w="1843" w:type="dxa"/>
            <w:vAlign w:val="center"/>
          </w:tcPr>
          <w:p w:rsidR="00B4354A" w:rsidRPr="00593AD2" w:rsidRDefault="00B4354A" w:rsidP="00196812">
            <w:pPr>
              <w:spacing w:line="360" w:lineRule="auto"/>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100.00</w:t>
            </w:r>
          </w:p>
        </w:tc>
      </w:tr>
    </w:tbl>
    <w:p w:rsidR="004771B9" w:rsidRPr="00593AD2" w:rsidRDefault="004771B9" w:rsidP="00196812">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5.2 </w:t>
      </w:r>
      <w:r w:rsidRPr="00593AD2">
        <w:rPr>
          <w:rFonts w:asciiTheme="minorEastAsia" w:eastAsiaTheme="minorEastAsia" w:hAnsiTheme="minorEastAsia" w:cs="Arial" w:hint="eastAsia"/>
          <w:b/>
          <w:color w:val="000000" w:themeColor="text1"/>
          <w:kern w:val="0"/>
          <w:sz w:val="24"/>
        </w:rPr>
        <w:t>报告期债券回购融资情况</w:t>
      </w:r>
    </w:p>
    <w:tbl>
      <w:tblPr>
        <w:tblW w:w="0" w:type="auto"/>
        <w:tblInd w:w="108" w:type="dxa"/>
        <w:tblLayout w:type="fixed"/>
        <w:tblLook w:val="0000" w:firstRow="0" w:lastRow="0" w:firstColumn="0" w:lastColumn="0" w:noHBand="0" w:noVBand="0"/>
      </w:tblPr>
      <w:tblGrid>
        <w:gridCol w:w="861"/>
        <w:gridCol w:w="3108"/>
        <w:gridCol w:w="2977"/>
        <w:gridCol w:w="2126"/>
      </w:tblGrid>
      <w:tr w:rsidR="00593AD2" w:rsidRPr="00593AD2" w:rsidTr="00F11244">
        <w:tc>
          <w:tcPr>
            <w:tcW w:w="861"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rsidTr="00F11244">
        <w:tc>
          <w:tcPr>
            <w:tcW w:w="861" w:type="dxa"/>
            <w:tcBorders>
              <w:top w:val="single" w:sz="8" w:space="0" w:color="000000"/>
              <w:left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0.05</w:t>
            </w:r>
          </w:p>
        </w:tc>
      </w:tr>
      <w:tr w:rsidR="00593AD2" w:rsidRPr="00593AD2" w:rsidTr="00F11244">
        <w:trPr>
          <w:trHeight w:val="712"/>
        </w:trPr>
        <w:tc>
          <w:tcPr>
            <w:tcW w:w="861" w:type="dxa"/>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rsidTr="00F11244">
        <w:tc>
          <w:tcPr>
            <w:tcW w:w="861" w:type="dxa"/>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序号</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项目</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金额</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s="Arial" w:hint="eastAsia"/>
                <w:color w:val="000000" w:themeColor="text1"/>
                <w:kern w:val="0"/>
                <w:sz w:val="24"/>
              </w:rPr>
              <w:t>占基金资产净值比例（％）</w:t>
            </w:r>
          </w:p>
        </w:tc>
      </w:tr>
      <w:tr w:rsidR="00593AD2" w:rsidRPr="00593AD2" w:rsidTr="00F11244">
        <w:tc>
          <w:tcPr>
            <w:tcW w:w="861" w:type="dxa"/>
            <w:vMerge w:val="restart"/>
            <w:tcBorders>
              <w:top w:val="single" w:sz="8" w:space="0" w:color="000000"/>
              <w:left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w:t>
            </w: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报告期末债券回购融资余额</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r w:rsidR="00593AD2" w:rsidRPr="00593AD2" w:rsidTr="00F11244">
        <w:tc>
          <w:tcPr>
            <w:tcW w:w="861" w:type="dxa"/>
            <w:vMerge/>
            <w:tcBorders>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olor w:val="000000" w:themeColor="text1"/>
                <w:sz w:val="24"/>
              </w:rPr>
            </w:pPr>
          </w:p>
        </w:tc>
        <w:tc>
          <w:tcPr>
            <w:tcW w:w="3108" w:type="dxa"/>
            <w:tcBorders>
              <w:top w:val="single" w:sz="8" w:space="0" w:color="000000"/>
              <w:left w:val="single" w:sz="8" w:space="0" w:color="000000"/>
              <w:bottom w:val="single" w:sz="8" w:space="0" w:color="000000"/>
              <w:right w:val="single" w:sz="8" w:space="0" w:color="000000"/>
            </w:tcBorders>
          </w:tcPr>
          <w:p w:rsidR="007521F9" w:rsidRPr="00593AD2" w:rsidRDefault="007521F9" w:rsidP="00196812">
            <w:pPr>
              <w:spacing w:line="360" w:lineRule="auto"/>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其中：买断式回购融资</w:t>
            </w:r>
          </w:p>
        </w:tc>
        <w:tc>
          <w:tcPr>
            <w:tcW w:w="2977"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7521F9" w:rsidRPr="00593AD2" w:rsidRDefault="007521F9" w:rsidP="00196812">
            <w:pPr>
              <w:spacing w:line="360" w:lineRule="auto"/>
              <w:rPr>
                <w:rFonts w:asciiTheme="minorEastAsia" w:eastAsiaTheme="minorEastAsia" w:hAnsiTheme="minorEastAsia" w:cs="宋体"/>
                <w:color w:val="000000" w:themeColor="text1"/>
                <w:sz w:val="24"/>
              </w:rPr>
            </w:pPr>
            <w:r w:rsidRPr="00593AD2">
              <w:rPr>
                <w:rFonts w:asciiTheme="minorEastAsia" w:eastAsiaTheme="minorEastAsia" w:hAnsiTheme="minorEastAsia" w:hint="eastAsia"/>
                <w:color w:val="000000" w:themeColor="text1"/>
                <w:sz w:val="24"/>
              </w:rPr>
              <w:t>-</w:t>
            </w:r>
          </w:p>
        </w:tc>
      </w:tr>
    </w:tbl>
    <w:p w:rsidR="00DB2873" w:rsidRPr="00593AD2" w:rsidRDefault="00DB2873" w:rsidP="00196812">
      <w:pPr>
        <w:spacing w:line="360" w:lineRule="auto"/>
        <w:rPr>
          <w:rFonts w:asciiTheme="minorEastAsia" w:eastAsiaTheme="minorEastAsia" w:hAnsiTheme="minorEastAsia"/>
          <w:color w:val="000000" w:themeColor="text1"/>
          <w:sz w:val="24"/>
        </w:rPr>
      </w:pPr>
    </w:p>
    <w:p w:rsidR="004771B9" w:rsidRPr="00593AD2" w:rsidRDefault="004771B9"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hint="eastAsia"/>
          <w:b/>
          <w:color w:val="000000" w:themeColor="text1"/>
          <w:kern w:val="0"/>
          <w:sz w:val="24"/>
        </w:rPr>
        <w:t>债券正回购的资金余额超过基金资产净值的</w:t>
      </w:r>
      <w:r w:rsidRPr="00593AD2">
        <w:rPr>
          <w:rFonts w:asciiTheme="minorEastAsia" w:eastAsiaTheme="minorEastAsia" w:hAnsiTheme="minorEastAsia" w:cs="Arial"/>
          <w:b/>
          <w:color w:val="000000" w:themeColor="text1"/>
          <w:kern w:val="0"/>
          <w:sz w:val="24"/>
        </w:rPr>
        <w:t>20</w:t>
      </w:r>
      <w:r w:rsidRPr="00593AD2">
        <w:rPr>
          <w:rFonts w:asciiTheme="minorEastAsia" w:eastAsiaTheme="minorEastAsia" w:hAnsiTheme="minorEastAsia" w:cs="Arial" w:hint="eastAsia"/>
          <w:b/>
          <w:color w:val="000000" w:themeColor="text1"/>
          <w:kern w:val="0"/>
          <w:sz w:val="24"/>
        </w:rPr>
        <w:t>％的说明</w:t>
      </w:r>
    </w:p>
    <w:p w:rsidR="007521F9" w:rsidRPr="00593AD2" w:rsidRDefault="007521F9" w:rsidP="004527E3">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在本报告期内本货币市场基金债券正回购的资金余额未超过资产净值的20%。</w:t>
      </w: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p>
    <w:p w:rsidR="00902E3F" w:rsidRPr="00593AD2" w:rsidRDefault="00902E3F" w:rsidP="00196812">
      <w:pPr>
        <w:spacing w:line="360" w:lineRule="auto"/>
        <w:rPr>
          <w:rFonts w:asciiTheme="minorEastAsia" w:eastAsiaTheme="minorEastAsia" w:hAnsiTheme="minorEastAsia" w:cs="Arial"/>
          <w:b/>
          <w:color w:val="000000" w:themeColor="text1"/>
          <w:kern w:val="0"/>
          <w:sz w:val="24"/>
        </w:rPr>
      </w:pPr>
      <w:r w:rsidRPr="00593AD2">
        <w:rPr>
          <w:rFonts w:asciiTheme="minorEastAsia" w:eastAsiaTheme="minorEastAsia" w:hAnsiTheme="minorEastAsia" w:cs="Arial"/>
          <w:b/>
          <w:color w:val="000000" w:themeColor="text1"/>
          <w:kern w:val="0"/>
          <w:sz w:val="24"/>
        </w:rPr>
        <w:t xml:space="preserve">5.3 </w:t>
      </w:r>
      <w:r w:rsidRPr="00593AD2">
        <w:rPr>
          <w:rFonts w:asciiTheme="minorEastAsia" w:eastAsiaTheme="minorEastAsia" w:hAnsiTheme="minorEastAsia" w:cs="Arial" w:hint="eastAsia"/>
          <w:b/>
          <w:color w:val="000000" w:themeColor="text1"/>
          <w:kern w:val="0"/>
          <w:sz w:val="24"/>
        </w:rPr>
        <w:t>基金投资组合平均剩余期限</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5.3.1 </w:t>
      </w:r>
      <w:r w:rsidRPr="003025FA">
        <w:rPr>
          <w:rFonts w:asciiTheme="minorEastAsia" w:eastAsiaTheme="minorEastAsia" w:hAnsiTheme="minorEastAsia" w:cs="Arial" w:hint="eastAsia"/>
          <w:b/>
          <w:color w:val="000000" w:themeColor="text1"/>
          <w:kern w:val="0"/>
          <w:sz w:val="24"/>
        </w:rPr>
        <w:t>投资组合平均剩余期限基本情况</w:t>
      </w:r>
    </w:p>
    <w:tbl>
      <w:tblPr>
        <w:tblW w:w="0" w:type="auto"/>
        <w:tblInd w:w="108" w:type="dxa"/>
        <w:tblLayout w:type="fixed"/>
        <w:tblLook w:val="0000" w:firstRow="0" w:lastRow="0" w:firstColumn="0" w:lastColumn="0" w:noHBand="0" w:noVBand="0"/>
      </w:tblPr>
      <w:tblGrid>
        <w:gridCol w:w="3686"/>
        <w:gridCol w:w="5386"/>
      </w:tblGrid>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天数</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报告期末投资组合平均剩余期限</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96</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报告期内投资组合平均剩余期限最高值</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113</w:t>
            </w:r>
          </w:p>
        </w:tc>
      </w:tr>
      <w:tr w:rsidR="006B4FD5" w:rsidRPr="003025FA" w:rsidTr="00182D82">
        <w:tc>
          <w:tcPr>
            <w:tcW w:w="36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报告期内投资组合平均剩余期限最低值</w:t>
            </w:r>
          </w:p>
        </w:tc>
        <w:tc>
          <w:tcPr>
            <w:tcW w:w="5386"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spacing w:line="360" w:lineRule="auto"/>
              <w:ind w:right="120"/>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hint="eastAsia"/>
                <w:color w:val="000000" w:themeColor="text1"/>
                <w:sz w:val="24"/>
              </w:rPr>
              <w:t>94</w:t>
            </w:r>
          </w:p>
        </w:tc>
      </w:tr>
    </w:tbl>
    <w:p w:rsidR="006B4FD5" w:rsidRPr="003025FA" w:rsidRDefault="006B4FD5" w:rsidP="006B4FD5">
      <w:pPr>
        <w:spacing w:line="360" w:lineRule="auto"/>
        <w:rPr>
          <w:rFonts w:asciiTheme="minorEastAsia" w:eastAsiaTheme="minorEastAsia" w:hAnsiTheme="minorEastAsia"/>
          <w:b/>
          <w:color w:val="000000" w:themeColor="text1"/>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报告期内投资组合平均剩余期限超过</w:t>
      </w:r>
      <w:r>
        <w:rPr>
          <w:rFonts w:asciiTheme="minorEastAsia" w:eastAsiaTheme="minorEastAsia" w:hAnsiTheme="minorEastAsia" w:cs="Arial"/>
          <w:b/>
          <w:color w:val="000000" w:themeColor="text1"/>
          <w:kern w:val="0"/>
          <w:sz w:val="24"/>
        </w:rPr>
        <w:t>1</w:t>
      </w:r>
      <w:r>
        <w:rPr>
          <w:rFonts w:asciiTheme="minorEastAsia" w:eastAsiaTheme="minorEastAsia" w:hAnsiTheme="minorEastAsia" w:cs="Arial" w:hint="eastAsia"/>
          <w:b/>
          <w:color w:val="000000" w:themeColor="text1"/>
          <w:kern w:val="0"/>
          <w:sz w:val="24"/>
        </w:rPr>
        <w:t>20</w:t>
      </w:r>
      <w:r w:rsidRPr="003025FA">
        <w:rPr>
          <w:rFonts w:asciiTheme="minorEastAsia" w:eastAsiaTheme="minorEastAsia" w:hAnsiTheme="minorEastAsia" w:cs="Arial" w:hint="eastAsia"/>
          <w:b/>
          <w:color w:val="000000" w:themeColor="text1"/>
          <w:kern w:val="0"/>
          <w:sz w:val="24"/>
        </w:rPr>
        <w:t>天情况说明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lastRenderedPageBreak/>
        <w:t>根据基金合同约定，本基金投资组合的平均剩余期限不超过120天。在本报告期内本基金未出现投资组合平均剩余期限超过120天的情况。</w:t>
      </w:r>
    </w:p>
    <w:p w:rsidR="006B4FD5" w:rsidRPr="003025FA" w:rsidRDefault="006B4FD5" w:rsidP="006B4FD5">
      <w:pPr>
        <w:adjustRightInd w:val="0"/>
        <w:spacing w:line="360" w:lineRule="auto"/>
        <w:rPr>
          <w:rFonts w:asciiTheme="minorEastAsia" w:eastAsiaTheme="minorEastAsia" w:hAnsiTheme="minorEastAsia"/>
          <w:color w:val="000000" w:themeColor="text1"/>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b/>
          <w:color w:val="000000" w:themeColor="text1"/>
          <w:kern w:val="0"/>
          <w:sz w:val="24"/>
        </w:rPr>
        <w:t xml:space="preserve">5.3.2 </w:t>
      </w:r>
      <w:r w:rsidRPr="003025FA">
        <w:rPr>
          <w:rFonts w:asciiTheme="minorEastAsia" w:eastAsiaTheme="minorEastAsia" w:hAnsiTheme="minorEastAsia" w:cs="Arial" w:hint="eastAsia"/>
          <w:b/>
          <w:color w:val="000000" w:themeColor="text1"/>
          <w:kern w:val="0"/>
          <w:sz w:val="24"/>
        </w:rPr>
        <w:t>报告期末投资组合平均剩余期限分布比例</w:t>
      </w:r>
    </w:p>
    <w:tbl>
      <w:tblPr>
        <w:tblW w:w="0" w:type="auto"/>
        <w:tblInd w:w="108" w:type="dxa"/>
        <w:tblLayout w:type="fixed"/>
        <w:tblLook w:val="0000" w:firstRow="0" w:lastRow="0" w:firstColumn="0" w:lastColumn="0" w:noHBand="0" w:noVBand="0"/>
      </w:tblPr>
      <w:tblGrid>
        <w:gridCol w:w="567"/>
        <w:gridCol w:w="2552"/>
        <w:gridCol w:w="2835"/>
        <w:gridCol w:w="3208"/>
      </w:tblGrid>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平均剩余期限</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各期限资产占基金资产净值的比例（</w:t>
            </w: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各期限负债占基金资产净值的比例（％）</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1</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30天以内</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24.50</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0.03</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2</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30天（含）—60天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14.72</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3</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60天（含）—90天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10.42</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4</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90天（含）</w:t>
            </w: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w:t>
            </w:r>
            <w:r w:rsidRPr="003025FA">
              <w:rPr>
                <w:rFonts w:asciiTheme="minorEastAsia" w:eastAsiaTheme="minorEastAsia" w:hAnsiTheme="minorEastAsia"/>
                <w:color w:val="000000" w:themeColor="text1"/>
                <w:sz w:val="24"/>
              </w:rPr>
              <w:t>0天</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17.53</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1</w:t>
            </w:r>
            <w:r>
              <w:rPr>
                <w:rFonts w:asciiTheme="minorEastAsia" w:eastAsiaTheme="minorEastAsia" w:hAnsiTheme="minorEastAsia" w:hint="eastAsia"/>
                <w:color w:val="000000" w:themeColor="text1"/>
                <w:sz w:val="24"/>
              </w:rPr>
              <w:t>20</w:t>
            </w:r>
            <w:r w:rsidRPr="003025FA">
              <w:rPr>
                <w:rFonts w:asciiTheme="minorEastAsia" w:eastAsiaTheme="minorEastAsia" w:hAnsiTheme="minorEastAsia"/>
                <w:color w:val="000000" w:themeColor="text1"/>
                <w:sz w:val="24"/>
              </w:rPr>
              <w:t>天（含）—397天（含）</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32.05</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567"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p>
        </w:tc>
        <w:tc>
          <w:tcPr>
            <w:tcW w:w="2552"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其中：剩余存续期超过</w:t>
            </w:r>
            <w:r w:rsidRPr="003025FA">
              <w:rPr>
                <w:rFonts w:asciiTheme="minorEastAsia" w:eastAsiaTheme="minorEastAsia" w:hAnsiTheme="minorEastAsia"/>
                <w:color w:val="000000" w:themeColor="text1"/>
                <w:sz w:val="24"/>
              </w:rPr>
              <w:t>397</w:t>
            </w:r>
            <w:r w:rsidRPr="003025FA">
              <w:rPr>
                <w:rFonts w:asciiTheme="minorEastAsia" w:eastAsiaTheme="minorEastAsia" w:hAnsiTheme="minorEastAsia" w:hint="eastAsia"/>
                <w:color w:val="000000" w:themeColor="text1"/>
                <w:sz w:val="24"/>
              </w:rPr>
              <w:t>天的浮动利率债</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w:t>
            </w:r>
          </w:p>
        </w:tc>
      </w:tr>
      <w:tr w:rsidR="006B4FD5" w:rsidRPr="003025FA" w:rsidTr="00182D82">
        <w:tc>
          <w:tcPr>
            <w:tcW w:w="3119" w:type="dxa"/>
            <w:gridSpan w:val="2"/>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合计</w:t>
            </w:r>
          </w:p>
        </w:tc>
        <w:tc>
          <w:tcPr>
            <w:tcW w:w="2835"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99.22</w:t>
            </w:r>
          </w:p>
        </w:tc>
        <w:tc>
          <w:tcPr>
            <w:tcW w:w="3208"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olor w:val="000000" w:themeColor="text1"/>
                <w:sz w:val="24"/>
              </w:rPr>
              <w:t>0.03</w:t>
            </w:r>
          </w:p>
        </w:tc>
      </w:tr>
    </w:tbl>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hint="eastAsia"/>
          <w:b/>
          <w:color w:val="000000" w:themeColor="text1"/>
          <w:kern w:val="0"/>
          <w:sz w:val="24"/>
        </w:rPr>
        <w:t>5.4</w:t>
      </w:r>
      <w:r>
        <w:rPr>
          <w:rFonts w:ascii="宋体" w:hAnsi="宋体" w:hint="eastAsia"/>
          <w:b/>
          <w:color w:val="000000"/>
          <w:sz w:val="24"/>
        </w:rPr>
        <w:t>报告期内投资组合平均剩余存续期超过240天情况说明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在本报告期内本基金未出现投资组合平均剩余存续期超过240天的情况。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报告期末按债券品种分类的债券投资组合</w:t>
      </w:r>
    </w:p>
    <w:tbl>
      <w:tblPr>
        <w:tblStyle w:val="ad"/>
        <w:tblW w:w="9307" w:type="dxa"/>
        <w:tblInd w:w="15" w:type="dxa"/>
        <w:tblLayout w:type="fixed"/>
        <w:tblLook w:val="04A0" w:firstRow="1" w:lastRow="0" w:firstColumn="1" w:lastColumn="0" w:noHBand="0" w:noVBand="1"/>
      </w:tblPr>
      <w:tblGrid>
        <w:gridCol w:w="894"/>
        <w:gridCol w:w="2743"/>
        <w:gridCol w:w="3686"/>
        <w:gridCol w:w="1984"/>
      </w:tblGrid>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lastRenderedPageBreak/>
              <w:t>序号</w:t>
            </w:r>
          </w:p>
        </w:tc>
        <w:tc>
          <w:tcPr>
            <w:tcW w:w="2743"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债券品种</w:t>
            </w:r>
          </w:p>
        </w:tc>
        <w:tc>
          <w:tcPr>
            <w:tcW w:w="3686"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公允价值(元)</w:t>
            </w:r>
          </w:p>
        </w:tc>
        <w:tc>
          <w:tcPr>
            <w:tcW w:w="198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占基金资产净值比例(％)</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1</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国家债券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99,875,326.46</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1.20</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2</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央行票据</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3</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金融债券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460,975,555.94</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5.52</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其中：政策性金融债</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460,975,555.94</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5.52</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4</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5</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企业短期融资券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490,177,387.21</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5.87</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6</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中期票据</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B1623D"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7</w:t>
            </w:r>
          </w:p>
        </w:tc>
        <w:tc>
          <w:tcPr>
            <w:tcW w:w="2743" w:type="dxa"/>
            <w:vAlign w:val="center"/>
          </w:tcPr>
          <w:p w:rsidR="006B4FD5" w:rsidRPr="00B1623D"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同业存单</w:t>
            </w:r>
          </w:p>
        </w:tc>
        <w:tc>
          <w:tcPr>
            <w:tcW w:w="3686" w:type="dxa"/>
            <w:vAlign w:val="center"/>
          </w:tcPr>
          <w:p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1,834,121,215.31</w:t>
            </w:r>
          </w:p>
        </w:tc>
        <w:tc>
          <w:tcPr>
            <w:tcW w:w="1984" w:type="dxa"/>
            <w:vAlign w:val="center"/>
          </w:tcPr>
          <w:p w:rsidR="006B4FD5" w:rsidRPr="00B1623D"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B1623D">
              <w:rPr>
                <w:rFonts w:asciiTheme="minorEastAsia" w:eastAsiaTheme="minorEastAsia" w:hAnsiTheme="minorEastAsia" w:cs="宋体" w:hint="eastAsia"/>
                <w:color w:val="000000" w:themeColor="text1"/>
                <w:sz w:val="24"/>
              </w:rPr>
              <w:t>21.95</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8</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其他</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9</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合计</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2,885,149,484.92</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34.52</w:t>
            </w:r>
          </w:p>
        </w:tc>
      </w:tr>
      <w:tr w:rsidR="006B4FD5" w:rsidRPr="003025FA" w:rsidTr="00182D82">
        <w:tc>
          <w:tcPr>
            <w:tcW w:w="894" w:type="dxa"/>
            <w:vAlign w:val="center"/>
          </w:tcPr>
          <w:p w:rsidR="006B4FD5" w:rsidRPr="003025FA" w:rsidRDefault="006B4FD5" w:rsidP="00182D82">
            <w:pPr>
              <w:spacing w:before="29" w:line="360" w:lineRule="auto"/>
              <w:ind w:left="17"/>
              <w:jc w:val="center"/>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10</w:t>
            </w:r>
          </w:p>
        </w:tc>
        <w:tc>
          <w:tcPr>
            <w:tcW w:w="2743" w:type="dxa"/>
            <w:vAlign w:val="center"/>
          </w:tcPr>
          <w:p w:rsidR="006B4FD5" w:rsidRPr="003025FA" w:rsidRDefault="006B4FD5" w:rsidP="00182D82">
            <w:pPr>
              <w:spacing w:before="29" w:line="360" w:lineRule="auto"/>
              <w:ind w:left="17"/>
              <w:jc w:val="lef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hint="eastAsia"/>
                <w:color w:val="000000" w:themeColor="text1"/>
                <w:sz w:val="24"/>
              </w:rPr>
              <w:t>剩余存续期超过397天的浮动利率债券</w:t>
            </w:r>
          </w:p>
        </w:tc>
        <w:tc>
          <w:tcPr>
            <w:tcW w:w="3686"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c>
          <w:tcPr>
            <w:tcW w:w="1984" w:type="dxa"/>
            <w:vAlign w:val="center"/>
          </w:tcPr>
          <w:p w:rsidR="006B4FD5" w:rsidRPr="003025FA" w:rsidRDefault="006B4FD5" w:rsidP="00182D82">
            <w:pPr>
              <w:spacing w:before="29" w:line="360" w:lineRule="auto"/>
              <w:ind w:left="17"/>
              <w:jc w:val="right"/>
              <w:rPr>
                <w:rFonts w:asciiTheme="minorEastAsia" w:eastAsiaTheme="minorEastAsia" w:hAnsiTheme="minorEastAsia" w:cs="宋体"/>
                <w:color w:val="000000" w:themeColor="text1"/>
                <w:sz w:val="24"/>
              </w:rPr>
            </w:pPr>
            <w:r w:rsidRPr="003025FA">
              <w:rPr>
                <w:rFonts w:asciiTheme="minorEastAsia" w:eastAsiaTheme="minorEastAsia" w:hAnsiTheme="minorEastAsia" w:cs="宋体"/>
                <w:color w:val="000000" w:themeColor="text1"/>
                <w:sz w:val="24"/>
              </w:rPr>
              <w:t>-</w:t>
            </w:r>
          </w:p>
        </w:tc>
      </w:tr>
    </w:tbl>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6</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报告期末按摊余成本占基金资产净值比例大小排名的前十名债券投资明细</w:t>
      </w:r>
    </w:p>
    <w:tbl>
      <w:tblPr>
        <w:tblStyle w:val="ad"/>
        <w:tblW w:w="0" w:type="auto"/>
        <w:tblInd w:w="15" w:type="dxa"/>
        <w:tblLook w:val="04A0" w:firstRow="1" w:lastRow="0" w:firstColumn="1" w:lastColumn="0" w:noHBand="0" w:noVBand="1"/>
      </w:tblPr>
      <w:tblGrid>
        <w:gridCol w:w="1035"/>
        <w:gridCol w:w="1428"/>
        <w:gridCol w:w="2009"/>
        <w:gridCol w:w="1656"/>
        <w:gridCol w:w="1896"/>
        <w:gridCol w:w="1263"/>
      </w:tblGrid>
      <w:tr w:rsidR="006B4FD5" w:rsidRPr="003025FA" w:rsidTr="00182D82">
        <w:tc>
          <w:tcPr>
            <w:tcW w:w="1547"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序号</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债券代码</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债券名称</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债券数量</w:t>
            </w:r>
          </w:p>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color w:val="000000" w:themeColor="text1"/>
                <w:kern w:val="0"/>
                <w:sz w:val="24"/>
              </w:rPr>
              <w:t>(</w:t>
            </w:r>
            <w:r w:rsidRPr="003025FA">
              <w:rPr>
                <w:rFonts w:asciiTheme="minorEastAsia" w:eastAsiaTheme="minorEastAsia" w:hAnsiTheme="minorEastAsia" w:cs="Arial" w:hint="eastAsia"/>
                <w:color w:val="000000" w:themeColor="text1"/>
                <w:kern w:val="0"/>
                <w:sz w:val="24"/>
              </w:rPr>
              <w:t>张</w:t>
            </w:r>
            <w:r w:rsidRPr="003025FA">
              <w:rPr>
                <w:rFonts w:asciiTheme="minorEastAsia" w:eastAsiaTheme="minorEastAsia" w:hAnsiTheme="minorEastAsia" w:cs="Arial"/>
                <w:color w:val="000000" w:themeColor="text1"/>
                <w:kern w:val="0"/>
                <w:sz w:val="24"/>
              </w:rPr>
              <w:t>)</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摊余成本（元）</w:t>
            </w:r>
          </w:p>
        </w:tc>
        <w:tc>
          <w:tcPr>
            <w:tcW w:w="1548" w:type="dxa"/>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占基金资产净值比例（％）</w:t>
            </w:r>
          </w:p>
        </w:tc>
      </w:tr>
      <w:tr w:rsidR="00922320">
        <w:tc>
          <w:tcPr>
            <w:tcW w:w="0" w:type="auto"/>
            <w:vAlign w:val="center"/>
          </w:tcPr>
          <w:p w:rsidR="00922320" w:rsidRDefault="002811EB">
            <w:pPr>
              <w:jc w:val="center"/>
            </w:pPr>
            <w:r>
              <w:rPr>
                <w:rFonts w:asciiTheme="minorEastAsia" w:eastAsiaTheme="minorEastAsia" w:hAnsiTheme="minorEastAsia"/>
                <w:color w:val="000000" w:themeColor="text1"/>
                <w:sz w:val="24"/>
              </w:rPr>
              <w:t>1</w:t>
            </w:r>
          </w:p>
        </w:tc>
        <w:tc>
          <w:tcPr>
            <w:tcW w:w="0" w:type="auto"/>
            <w:vAlign w:val="center"/>
          </w:tcPr>
          <w:p w:rsidR="00922320" w:rsidRDefault="002811EB">
            <w:pPr>
              <w:jc w:val="center"/>
            </w:pPr>
            <w:r>
              <w:rPr>
                <w:rFonts w:asciiTheme="minorEastAsia" w:eastAsiaTheme="minorEastAsia" w:hAnsiTheme="minorEastAsia"/>
                <w:color w:val="000000" w:themeColor="text1"/>
                <w:sz w:val="24"/>
              </w:rPr>
              <w:t>112121019</w:t>
            </w:r>
          </w:p>
        </w:tc>
        <w:tc>
          <w:tcPr>
            <w:tcW w:w="0" w:type="auto"/>
            <w:vAlign w:val="center"/>
          </w:tcPr>
          <w:p w:rsidR="00922320" w:rsidRDefault="002811EB">
            <w:pPr>
              <w:jc w:val="center"/>
            </w:pPr>
            <w:r>
              <w:rPr>
                <w:rFonts w:asciiTheme="minorEastAsia" w:eastAsiaTheme="minorEastAsia" w:hAnsiTheme="minorEastAsia"/>
                <w:color w:val="000000" w:themeColor="text1"/>
                <w:sz w:val="24"/>
              </w:rPr>
              <w:t>21</w:t>
            </w:r>
            <w:r>
              <w:rPr>
                <w:rFonts w:asciiTheme="minorEastAsia" w:eastAsiaTheme="minorEastAsia" w:hAnsiTheme="minorEastAsia"/>
                <w:color w:val="000000" w:themeColor="text1"/>
                <w:sz w:val="24"/>
              </w:rPr>
              <w:t>渤海银行</w:t>
            </w:r>
            <w:r>
              <w:rPr>
                <w:rFonts w:asciiTheme="minorEastAsia" w:eastAsiaTheme="minorEastAsia" w:hAnsiTheme="minorEastAsia"/>
                <w:color w:val="000000" w:themeColor="text1"/>
                <w:sz w:val="24"/>
              </w:rPr>
              <w:t>CD019</w:t>
            </w:r>
          </w:p>
        </w:tc>
        <w:tc>
          <w:tcPr>
            <w:tcW w:w="0" w:type="auto"/>
            <w:vAlign w:val="center"/>
          </w:tcPr>
          <w:p w:rsidR="00922320" w:rsidRDefault="002811EB">
            <w:pPr>
              <w:jc w:val="right"/>
            </w:pPr>
            <w:r>
              <w:rPr>
                <w:rFonts w:asciiTheme="minorEastAsia" w:eastAsiaTheme="minorEastAsia" w:hAnsiTheme="minorEastAsia"/>
                <w:color w:val="000000" w:themeColor="text1"/>
                <w:sz w:val="24"/>
              </w:rPr>
              <w:t>2,000,000.00</w:t>
            </w:r>
          </w:p>
        </w:tc>
        <w:tc>
          <w:tcPr>
            <w:tcW w:w="0" w:type="auto"/>
            <w:vAlign w:val="center"/>
          </w:tcPr>
          <w:p w:rsidR="00922320" w:rsidRDefault="002811EB">
            <w:pPr>
              <w:jc w:val="right"/>
            </w:pPr>
            <w:r>
              <w:rPr>
                <w:rFonts w:asciiTheme="minorEastAsia" w:eastAsiaTheme="minorEastAsia" w:hAnsiTheme="minorEastAsia"/>
                <w:color w:val="000000" w:themeColor="text1"/>
                <w:sz w:val="24"/>
              </w:rPr>
              <w:t>198,030,273.17</w:t>
            </w:r>
          </w:p>
        </w:tc>
        <w:tc>
          <w:tcPr>
            <w:tcW w:w="0" w:type="auto"/>
            <w:vAlign w:val="center"/>
          </w:tcPr>
          <w:p w:rsidR="00922320" w:rsidRDefault="002811EB">
            <w:pPr>
              <w:jc w:val="right"/>
            </w:pPr>
            <w:r>
              <w:rPr>
                <w:rFonts w:asciiTheme="minorEastAsia" w:eastAsiaTheme="minorEastAsia" w:hAnsiTheme="minorEastAsia"/>
                <w:color w:val="000000" w:themeColor="text1"/>
                <w:sz w:val="24"/>
              </w:rPr>
              <w:t>2.37</w:t>
            </w:r>
          </w:p>
        </w:tc>
      </w:tr>
      <w:tr w:rsidR="00922320">
        <w:tc>
          <w:tcPr>
            <w:tcW w:w="0" w:type="auto"/>
            <w:vAlign w:val="center"/>
          </w:tcPr>
          <w:p w:rsidR="00922320" w:rsidRDefault="002811EB">
            <w:pPr>
              <w:jc w:val="center"/>
            </w:pPr>
            <w:r>
              <w:rPr>
                <w:rFonts w:asciiTheme="minorEastAsia" w:eastAsiaTheme="minorEastAsia" w:hAnsiTheme="minorEastAsia"/>
                <w:color w:val="000000" w:themeColor="text1"/>
                <w:sz w:val="24"/>
              </w:rPr>
              <w:t>2</w:t>
            </w:r>
          </w:p>
        </w:tc>
        <w:tc>
          <w:tcPr>
            <w:tcW w:w="0" w:type="auto"/>
            <w:vAlign w:val="center"/>
          </w:tcPr>
          <w:p w:rsidR="00922320" w:rsidRDefault="002811EB">
            <w:pPr>
              <w:jc w:val="center"/>
            </w:pPr>
            <w:r>
              <w:rPr>
                <w:rFonts w:asciiTheme="minorEastAsia" w:eastAsiaTheme="minorEastAsia" w:hAnsiTheme="minorEastAsia"/>
                <w:color w:val="000000" w:themeColor="text1"/>
                <w:sz w:val="24"/>
              </w:rPr>
              <w:t>112004101</w:t>
            </w:r>
          </w:p>
        </w:tc>
        <w:tc>
          <w:tcPr>
            <w:tcW w:w="0" w:type="auto"/>
            <w:vAlign w:val="center"/>
          </w:tcPr>
          <w:p w:rsidR="00922320" w:rsidRDefault="002811EB">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中国银行</w:t>
            </w:r>
            <w:r>
              <w:rPr>
                <w:rFonts w:asciiTheme="minorEastAsia" w:eastAsiaTheme="minorEastAsia" w:hAnsiTheme="minorEastAsia"/>
                <w:color w:val="000000" w:themeColor="text1"/>
                <w:sz w:val="24"/>
              </w:rPr>
              <w:t>CD101</w:t>
            </w:r>
          </w:p>
        </w:tc>
        <w:tc>
          <w:tcPr>
            <w:tcW w:w="0" w:type="auto"/>
            <w:vAlign w:val="center"/>
          </w:tcPr>
          <w:p w:rsidR="00922320" w:rsidRDefault="002811EB">
            <w:pPr>
              <w:jc w:val="right"/>
            </w:pPr>
            <w:r>
              <w:rPr>
                <w:rFonts w:asciiTheme="minorEastAsia" w:eastAsiaTheme="minorEastAsia" w:hAnsiTheme="minorEastAsia"/>
                <w:color w:val="000000" w:themeColor="text1"/>
                <w:sz w:val="24"/>
              </w:rPr>
              <w:t>1,500,000.00</w:t>
            </w:r>
          </w:p>
        </w:tc>
        <w:tc>
          <w:tcPr>
            <w:tcW w:w="0" w:type="auto"/>
            <w:vAlign w:val="center"/>
          </w:tcPr>
          <w:p w:rsidR="00922320" w:rsidRDefault="002811EB">
            <w:pPr>
              <w:jc w:val="right"/>
            </w:pPr>
            <w:r>
              <w:rPr>
                <w:rFonts w:asciiTheme="minorEastAsia" w:eastAsiaTheme="minorEastAsia" w:hAnsiTheme="minorEastAsia"/>
                <w:color w:val="000000" w:themeColor="text1"/>
                <w:sz w:val="24"/>
              </w:rPr>
              <w:t>148,406,548.05</w:t>
            </w:r>
          </w:p>
        </w:tc>
        <w:tc>
          <w:tcPr>
            <w:tcW w:w="0" w:type="auto"/>
            <w:vAlign w:val="center"/>
          </w:tcPr>
          <w:p w:rsidR="00922320" w:rsidRDefault="002811EB">
            <w:pPr>
              <w:jc w:val="right"/>
            </w:pPr>
            <w:r>
              <w:rPr>
                <w:rFonts w:asciiTheme="minorEastAsia" w:eastAsiaTheme="minorEastAsia" w:hAnsiTheme="minorEastAsia"/>
                <w:color w:val="000000" w:themeColor="text1"/>
                <w:sz w:val="24"/>
              </w:rPr>
              <w:t>1.78</w:t>
            </w:r>
          </w:p>
        </w:tc>
      </w:tr>
      <w:tr w:rsidR="00922320">
        <w:tc>
          <w:tcPr>
            <w:tcW w:w="0" w:type="auto"/>
            <w:vAlign w:val="center"/>
          </w:tcPr>
          <w:p w:rsidR="00922320" w:rsidRDefault="002811EB">
            <w:pPr>
              <w:jc w:val="center"/>
            </w:pPr>
            <w:r>
              <w:rPr>
                <w:rFonts w:asciiTheme="minorEastAsia" w:eastAsiaTheme="minorEastAsia" w:hAnsiTheme="minorEastAsia"/>
                <w:color w:val="000000" w:themeColor="text1"/>
                <w:sz w:val="24"/>
              </w:rPr>
              <w:t>3</w:t>
            </w:r>
          </w:p>
        </w:tc>
        <w:tc>
          <w:tcPr>
            <w:tcW w:w="0" w:type="auto"/>
            <w:vAlign w:val="center"/>
          </w:tcPr>
          <w:p w:rsidR="00922320" w:rsidRDefault="002811EB">
            <w:pPr>
              <w:jc w:val="center"/>
            </w:pPr>
            <w:r>
              <w:rPr>
                <w:rFonts w:asciiTheme="minorEastAsia" w:eastAsiaTheme="minorEastAsia" w:hAnsiTheme="minorEastAsia"/>
                <w:color w:val="000000" w:themeColor="text1"/>
                <w:sz w:val="24"/>
              </w:rPr>
              <w:t>112198068</w:t>
            </w:r>
          </w:p>
        </w:tc>
        <w:tc>
          <w:tcPr>
            <w:tcW w:w="0" w:type="auto"/>
            <w:vAlign w:val="center"/>
          </w:tcPr>
          <w:p w:rsidR="00922320" w:rsidRDefault="002811EB">
            <w:pPr>
              <w:jc w:val="center"/>
            </w:pPr>
            <w:r>
              <w:rPr>
                <w:rFonts w:asciiTheme="minorEastAsia" w:eastAsiaTheme="minorEastAsia" w:hAnsiTheme="minorEastAsia"/>
                <w:color w:val="000000" w:themeColor="text1"/>
                <w:sz w:val="24"/>
              </w:rPr>
              <w:t>21</w:t>
            </w:r>
            <w:r>
              <w:rPr>
                <w:rFonts w:asciiTheme="minorEastAsia" w:eastAsiaTheme="minorEastAsia" w:hAnsiTheme="minorEastAsia"/>
                <w:color w:val="000000" w:themeColor="text1"/>
                <w:sz w:val="24"/>
              </w:rPr>
              <w:t>广州农村商业银行</w:t>
            </w:r>
            <w:r>
              <w:rPr>
                <w:rFonts w:asciiTheme="minorEastAsia" w:eastAsiaTheme="minorEastAsia" w:hAnsiTheme="minorEastAsia"/>
                <w:color w:val="000000" w:themeColor="text1"/>
                <w:sz w:val="24"/>
              </w:rPr>
              <w:t>CD030</w:t>
            </w:r>
          </w:p>
        </w:tc>
        <w:tc>
          <w:tcPr>
            <w:tcW w:w="0" w:type="auto"/>
            <w:vAlign w:val="center"/>
          </w:tcPr>
          <w:p w:rsidR="00922320" w:rsidRDefault="002811EB">
            <w:pPr>
              <w:jc w:val="right"/>
            </w:pPr>
            <w:r>
              <w:rPr>
                <w:rFonts w:asciiTheme="minorEastAsia" w:eastAsiaTheme="minorEastAsia" w:hAnsiTheme="minorEastAsia"/>
                <w:color w:val="000000" w:themeColor="text1"/>
                <w:sz w:val="24"/>
              </w:rPr>
              <w:t>1,000,000.00</w:t>
            </w:r>
          </w:p>
        </w:tc>
        <w:tc>
          <w:tcPr>
            <w:tcW w:w="0" w:type="auto"/>
            <w:vAlign w:val="center"/>
          </w:tcPr>
          <w:p w:rsidR="00922320" w:rsidRDefault="002811EB">
            <w:pPr>
              <w:jc w:val="right"/>
            </w:pPr>
            <w:r>
              <w:rPr>
                <w:rFonts w:asciiTheme="minorEastAsia" w:eastAsiaTheme="minorEastAsia" w:hAnsiTheme="minorEastAsia"/>
                <w:color w:val="000000" w:themeColor="text1"/>
                <w:sz w:val="24"/>
              </w:rPr>
              <w:t>99,871,290.88</w:t>
            </w:r>
          </w:p>
        </w:tc>
        <w:tc>
          <w:tcPr>
            <w:tcW w:w="0" w:type="auto"/>
            <w:vAlign w:val="center"/>
          </w:tcPr>
          <w:p w:rsidR="00922320" w:rsidRDefault="002811EB">
            <w:pPr>
              <w:jc w:val="right"/>
            </w:pPr>
            <w:r>
              <w:rPr>
                <w:rFonts w:asciiTheme="minorEastAsia" w:eastAsiaTheme="minorEastAsia" w:hAnsiTheme="minorEastAsia"/>
                <w:color w:val="000000" w:themeColor="text1"/>
                <w:sz w:val="24"/>
              </w:rPr>
              <w:t>1.19</w:t>
            </w:r>
          </w:p>
        </w:tc>
      </w:tr>
      <w:tr w:rsidR="00922320">
        <w:tc>
          <w:tcPr>
            <w:tcW w:w="0" w:type="auto"/>
            <w:vAlign w:val="center"/>
          </w:tcPr>
          <w:p w:rsidR="00922320" w:rsidRDefault="002811EB">
            <w:pPr>
              <w:jc w:val="center"/>
            </w:pPr>
            <w:r>
              <w:rPr>
                <w:rFonts w:asciiTheme="minorEastAsia" w:eastAsiaTheme="minorEastAsia" w:hAnsiTheme="minorEastAsia"/>
                <w:color w:val="000000" w:themeColor="text1"/>
                <w:sz w:val="24"/>
              </w:rPr>
              <w:t>4</w:t>
            </w:r>
          </w:p>
        </w:tc>
        <w:tc>
          <w:tcPr>
            <w:tcW w:w="0" w:type="auto"/>
            <w:vAlign w:val="center"/>
          </w:tcPr>
          <w:p w:rsidR="00922320" w:rsidRDefault="002811EB">
            <w:pPr>
              <w:jc w:val="center"/>
            </w:pPr>
            <w:r>
              <w:rPr>
                <w:rFonts w:asciiTheme="minorEastAsia" w:eastAsiaTheme="minorEastAsia" w:hAnsiTheme="minorEastAsia"/>
                <w:color w:val="000000" w:themeColor="text1"/>
                <w:sz w:val="24"/>
              </w:rPr>
              <w:t>112012092</w:t>
            </w:r>
          </w:p>
        </w:tc>
        <w:tc>
          <w:tcPr>
            <w:tcW w:w="0" w:type="auto"/>
            <w:vAlign w:val="center"/>
          </w:tcPr>
          <w:p w:rsidR="00922320" w:rsidRDefault="002811EB">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北京银行</w:t>
            </w:r>
            <w:r>
              <w:rPr>
                <w:rFonts w:asciiTheme="minorEastAsia" w:eastAsiaTheme="minorEastAsia" w:hAnsiTheme="minorEastAsia"/>
                <w:color w:val="000000" w:themeColor="text1"/>
                <w:sz w:val="24"/>
              </w:rPr>
              <w:t>CD092</w:t>
            </w:r>
          </w:p>
        </w:tc>
        <w:tc>
          <w:tcPr>
            <w:tcW w:w="0" w:type="auto"/>
            <w:vAlign w:val="center"/>
          </w:tcPr>
          <w:p w:rsidR="00922320" w:rsidRDefault="002811EB">
            <w:pPr>
              <w:jc w:val="right"/>
            </w:pPr>
            <w:r>
              <w:rPr>
                <w:rFonts w:asciiTheme="minorEastAsia" w:eastAsiaTheme="minorEastAsia" w:hAnsiTheme="minorEastAsia"/>
                <w:color w:val="000000" w:themeColor="text1"/>
                <w:sz w:val="24"/>
              </w:rPr>
              <w:t>1,000,000.00</w:t>
            </w:r>
          </w:p>
        </w:tc>
        <w:tc>
          <w:tcPr>
            <w:tcW w:w="0" w:type="auto"/>
            <w:vAlign w:val="center"/>
          </w:tcPr>
          <w:p w:rsidR="00922320" w:rsidRDefault="002811EB">
            <w:pPr>
              <w:jc w:val="right"/>
            </w:pPr>
            <w:r>
              <w:rPr>
                <w:rFonts w:asciiTheme="minorEastAsia" w:eastAsiaTheme="minorEastAsia" w:hAnsiTheme="minorEastAsia"/>
                <w:color w:val="000000" w:themeColor="text1"/>
                <w:sz w:val="24"/>
              </w:rPr>
              <w:t>99,674,751.91</w:t>
            </w:r>
          </w:p>
        </w:tc>
        <w:tc>
          <w:tcPr>
            <w:tcW w:w="0" w:type="auto"/>
            <w:vAlign w:val="center"/>
          </w:tcPr>
          <w:p w:rsidR="00922320" w:rsidRDefault="002811EB">
            <w:pPr>
              <w:jc w:val="right"/>
            </w:pPr>
            <w:r>
              <w:rPr>
                <w:rFonts w:asciiTheme="minorEastAsia" w:eastAsiaTheme="minorEastAsia" w:hAnsiTheme="minorEastAsia"/>
                <w:color w:val="000000" w:themeColor="text1"/>
                <w:sz w:val="24"/>
              </w:rPr>
              <w:t>1.19</w:t>
            </w:r>
          </w:p>
        </w:tc>
      </w:tr>
      <w:tr w:rsidR="00922320">
        <w:tc>
          <w:tcPr>
            <w:tcW w:w="0" w:type="auto"/>
            <w:vAlign w:val="center"/>
          </w:tcPr>
          <w:p w:rsidR="00922320" w:rsidRDefault="002811EB">
            <w:pPr>
              <w:jc w:val="center"/>
            </w:pPr>
            <w:r>
              <w:rPr>
                <w:rFonts w:asciiTheme="minorEastAsia" w:eastAsiaTheme="minorEastAsia" w:hAnsiTheme="minorEastAsia"/>
                <w:color w:val="000000" w:themeColor="text1"/>
                <w:sz w:val="24"/>
              </w:rPr>
              <w:t>5</w:t>
            </w:r>
          </w:p>
        </w:tc>
        <w:tc>
          <w:tcPr>
            <w:tcW w:w="0" w:type="auto"/>
            <w:vAlign w:val="center"/>
          </w:tcPr>
          <w:p w:rsidR="00922320" w:rsidRDefault="002811EB">
            <w:pPr>
              <w:jc w:val="center"/>
            </w:pPr>
            <w:r>
              <w:rPr>
                <w:rFonts w:asciiTheme="minorEastAsia" w:eastAsiaTheme="minorEastAsia" w:hAnsiTheme="minorEastAsia"/>
                <w:color w:val="000000" w:themeColor="text1"/>
                <w:sz w:val="24"/>
              </w:rPr>
              <w:t>112015533</w:t>
            </w:r>
          </w:p>
        </w:tc>
        <w:tc>
          <w:tcPr>
            <w:tcW w:w="0" w:type="auto"/>
            <w:vAlign w:val="center"/>
          </w:tcPr>
          <w:p w:rsidR="00922320" w:rsidRDefault="002811EB">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民生银行</w:t>
            </w:r>
            <w:r>
              <w:rPr>
                <w:rFonts w:asciiTheme="minorEastAsia" w:eastAsiaTheme="minorEastAsia" w:hAnsiTheme="minorEastAsia"/>
                <w:color w:val="000000" w:themeColor="text1"/>
                <w:sz w:val="24"/>
              </w:rPr>
              <w:t>CD533</w:t>
            </w:r>
          </w:p>
        </w:tc>
        <w:tc>
          <w:tcPr>
            <w:tcW w:w="0" w:type="auto"/>
            <w:vAlign w:val="center"/>
          </w:tcPr>
          <w:p w:rsidR="00922320" w:rsidRDefault="002811EB">
            <w:pPr>
              <w:jc w:val="right"/>
            </w:pPr>
            <w:r>
              <w:rPr>
                <w:rFonts w:asciiTheme="minorEastAsia" w:eastAsiaTheme="minorEastAsia" w:hAnsiTheme="minorEastAsia"/>
                <w:color w:val="000000" w:themeColor="text1"/>
                <w:sz w:val="24"/>
              </w:rPr>
              <w:t>1,000,000.00</w:t>
            </w:r>
          </w:p>
        </w:tc>
        <w:tc>
          <w:tcPr>
            <w:tcW w:w="0" w:type="auto"/>
            <w:vAlign w:val="center"/>
          </w:tcPr>
          <w:p w:rsidR="00922320" w:rsidRDefault="002811EB">
            <w:pPr>
              <w:jc w:val="right"/>
            </w:pPr>
            <w:r>
              <w:rPr>
                <w:rFonts w:asciiTheme="minorEastAsia" w:eastAsiaTheme="minorEastAsia" w:hAnsiTheme="minorEastAsia"/>
                <w:color w:val="000000" w:themeColor="text1"/>
                <w:sz w:val="24"/>
              </w:rPr>
              <w:t>99,609,003.95</w:t>
            </w:r>
          </w:p>
        </w:tc>
        <w:tc>
          <w:tcPr>
            <w:tcW w:w="0" w:type="auto"/>
            <w:vAlign w:val="center"/>
          </w:tcPr>
          <w:p w:rsidR="00922320" w:rsidRDefault="002811EB">
            <w:pPr>
              <w:jc w:val="right"/>
            </w:pPr>
            <w:r>
              <w:rPr>
                <w:rFonts w:asciiTheme="minorEastAsia" w:eastAsiaTheme="minorEastAsia" w:hAnsiTheme="minorEastAsia"/>
                <w:color w:val="000000" w:themeColor="text1"/>
                <w:sz w:val="24"/>
              </w:rPr>
              <w:t>1.19</w:t>
            </w:r>
          </w:p>
        </w:tc>
      </w:tr>
      <w:tr w:rsidR="00922320">
        <w:tc>
          <w:tcPr>
            <w:tcW w:w="0" w:type="auto"/>
            <w:vAlign w:val="center"/>
          </w:tcPr>
          <w:p w:rsidR="00922320" w:rsidRDefault="002811EB">
            <w:pPr>
              <w:jc w:val="center"/>
            </w:pPr>
            <w:r>
              <w:rPr>
                <w:rFonts w:asciiTheme="minorEastAsia" w:eastAsiaTheme="minorEastAsia" w:hAnsiTheme="minorEastAsia"/>
                <w:color w:val="000000" w:themeColor="text1"/>
                <w:sz w:val="24"/>
              </w:rPr>
              <w:t>6</w:t>
            </w:r>
          </w:p>
        </w:tc>
        <w:tc>
          <w:tcPr>
            <w:tcW w:w="0" w:type="auto"/>
            <w:vAlign w:val="center"/>
          </w:tcPr>
          <w:p w:rsidR="00922320" w:rsidRDefault="002811EB">
            <w:pPr>
              <w:jc w:val="center"/>
            </w:pPr>
            <w:r>
              <w:rPr>
                <w:rFonts w:asciiTheme="minorEastAsia" w:eastAsiaTheme="minorEastAsia" w:hAnsiTheme="minorEastAsia"/>
                <w:color w:val="000000" w:themeColor="text1"/>
                <w:sz w:val="24"/>
              </w:rPr>
              <w:t>112121054</w:t>
            </w:r>
          </w:p>
        </w:tc>
        <w:tc>
          <w:tcPr>
            <w:tcW w:w="0" w:type="auto"/>
            <w:vAlign w:val="center"/>
          </w:tcPr>
          <w:p w:rsidR="00922320" w:rsidRDefault="002811EB">
            <w:pPr>
              <w:jc w:val="center"/>
            </w:pPr>
            <w:r>
              <w:rPr>
                <w:rFonts w:asciiTheme="minorEastAsia" w:eastAsiaTheme="minorEastAsia" w:hAnsiTheme="minorEastAsia"/>
                <w:color w:val="000000" w:themeColor="text1"/>
                <w:sz w:val="24"/>
              </w:rPr>
              <w:t>21</w:t>
            </w:r>
            <w:r>
              <w:rPr>
                <w:rFonts w:asciiTheme="minorEastAsia" w:eastAsiaTheme="minorEastAsia" w:hAnsiTheme="minorEastAsia"/>
                <w:color w:val="000000" w:themeColor="text1"/>
                <w:sz w:val="24"/>
              </w:rPr>
              <w:t>渤海银行</w:t>
            </w:r>
            <w:r>
              <w:rPr>
                <w:rFonts w:asciiTheme="minorEastAsia" w:eastAsiaTheme="minorEastAsia" w:hAnsiTheme="minorEastAsia"/>
                <w:color w:val="000000" w:themeColor="text1"/>
                <w:sz w:val="24"/>
              </w:rPr>
              <w:t>CD054</w:t>
            </w:r>
          </w:p>
        </w:tc>
        <w:tc>
          <w:tcPr>
            <w:tcW w:w="0" w:type="auto"/>
            <w:vAlign w:val="center"/>
          </w:tcPr>
          <w:p w:rsidR="00922320" w:rsidRDefault="002811EB">
            <w:pPr>
              <w:jc w:val="right"/>
            </w:pPr>
            <w:r>
              <w:rPr>
                <w:rFonts w:asciiTheme="minorEastAsia" w:eastAsiaTheme="minorEastAsia" w:hAnsiTheme="minorEastAsia"/>
                <w:color w:val="000000" w:themeColor="text1"/>
                <w:sz w:val="24"/>
              </w:rPr>
              <w:t>1,000,000.00</w:t>
            </w:r>
          </w:p>
        </w:tc>
        <w:tc>
          <w:tcPr>
            <w:tcW w:w="0" w:type="auto"/>
            <w:vAlign w:val="center"/>
          </w:tcPr>
          <w:p w:rsidR="00922320" w:rsidRDefault="002811EB">
            <w:pPr>
              <w:jc w:val="right"/>
            </w:pPr>
            <w:r>
              <w:rPr>
                <w:rFonts w:asciiTheme="minorEastAsia" w:eastAsiaTheme="minorEastAsia" w:hAnsiTheme="minorEastAsia"/>
                <w:color w:val="000000" w:themeColor="text1"/>
                <w:sz w:val="24"/>
              </w:rPr>
              <w:t>99,602,706.70</w:t>
            </w:r>
          </w:p>
        </w:tc>
        <w:tc>
          <w:tcPr>
            <w:tcW w:w="0" w:type="auto"/>
            <w:vAlign w:val="center"/>
          </w:tcPr>
          <w:p w:rsidR="00922320" w:rsidRDefault="002811EB">
            <w:pPr>
              <w:jc w:val="right"/>
            </w:pPr>
            <w:r>
              <w:rPr>
                <w:rFonts w:asciiTheme="minorEastAsia" w:eastAsiaTheme="minorEastAsia" w:hAnsiTheme="minorEastAsia"/>
                <w:color w:val="000000" w:themeColor="text1"/>
                <w:sz w:val="24"/>
              </w:rPr>
              <w:t>1.19</w:t>
            </w:r>
          </w:p>
        </w:tc>
      </w:tr>
      <w:tr w:rsidR="00922320">
        <w:tc>
          <w:tcPr>
            <w:tcW w:w="0" w:type="auto"/>
            <w:vAlign w:val="center"/>
          </w:tcPr>
          <w:p w:rsidR="00922320" w:rsidRDefault="002811EB">
            <w:pPr>
              <w:jc w:val="center"/>
            </w:pPr>
            <w:r>
              <w:rPr>
                <w:rFonts w:asciiTheme="minorEastAsia" w:eastAsiaTheme="minorEastAsia" w:hAnsiTheme="minorEastAsia"/>
                <w:color w:val="000000" w:themeColor="text1"/>
                <w:sz w:val="24"/>
              </w:rPr>
              <w:lastRenderedPageBreak/>
              <w:t>7</w:t>
            </w:r>
          </w:p>
        </w:tc>
        <w:tc>
          <w:tcPr>
            <w:tcW w:w="0" w:type="auto"/>
            <w:vAlign w:val="center"/>
          </w:tcPr>
          <w:p w:rsidR="00922320" w:rsidRDefault="002811EB">
            <w:pPr>
              <w:jc w:val="center"/>
            </w:pPr>
            <w:r>
              <w:rPr>
                <w:rFonts w:asciiTheme="minorEastAsia" w:eastAsiaTheme="minorEastAsia" w:hAnsiTheme="minorEastAsia"/>
                <w:color w:val="000000" w:themeColor="text1"/>
                <w:sz w:val="24"/>
              </w:rPr>
              <w:t>112194304</w:t>
            </w:r>
          </w:p>
        </w:tc>
        <w:tc>
          <w:tcPr>
            <w:tcW w:w="0" w:type="auto"/>
            <w:vAlign w:val="center"/>
          </w:tcPr>
          <w:p w:rsidR="00922320" w:rsidRDefault="002811EB">
            <w:pPr>
              <w:jc w:val="center"/>
            </w:pPr>
            <w:r>
              <w:rPr>
                <w:rFonts w:asciiTheme="minorEastAsia" w:eastAsiaTheme="minorEastAsia" w:hAnsiTheme="minorEastAsia"/>
                <w:color w:val="000000" w:themeColor="text1"/>
                <w:sz w:val="24"/>
              </w:rPr>
              <w:t>21</w:t>
            </w:r>
            <w:r>
              <w:rPr>
                <w:rFonts w:asciiTheme="minorEastAsia" w:eastAsiaTheme="minorEastAsia" w:hAnsiTheme="minorEastAsia"/>
                <w:color w:val="000000" w:themeColor="text1"/>
                <w:sz w:val="24"/>
              </w:rPr>
              <w:t>广州农村商业银行</w:t>
            </w:r>
            <w:r>
              <w:rPr>
                <w:rFonts w:asciiTheme="minorEastAsia" w:eastAsiaTheme="minorEastAsia" w:hAnsiTheme="minorEastAsia"/>
                <w:color w:val="000000" w:themeColor="text1"/>
                <w:sz w:val="24"/>
              </w:rPr>
              <w:t>CD010</w:t>
            </w:r>
          </w:p>
        </w:tc>
        <w:tc>
          <w:tcPr>
            <w:tcW w:w="0" w:type="auto"/>
            <w:vAlign w:val="center"/>
          </w:tcPr>
          <w:p w:rsidR="00922320" w:rsidRDefault="002811EB">
            <w:pPr>
              <w:jc w:val="right"/>
            </w:pPr>
            <w:r>
              <w:rPr>
                <w:rFonts w:asciiTheme="minorEastAsia" w:eastAsiaTheme="minorEastAsia" w:hAnsiTheme="minorEastAsia"/>
                <w:color w:val="000000" w:themeColor="text1"/>
                <w:sz w:val="24"/>
              </w:rPr>
              <w:t>1,000,000.00</w:t>
            </w:r>
          </w:p>
        </w:tc>
        <w:tc>
          <w:tcPr>
            <w:tcW w:w="0" w:type="auto"/>
            <w:vAlign w:val="center"/>
          </w:tcPr>
          <w:p w:rsidR="00922320" w:rsidRDefault="002811EB">
            <w:pPr>
              <w:jc w:val="right"/>
            </w:pPr>
            <w:r>
              <w:rPr>
                <w:rFonts w:asciiTheme="minorEastAsia" w:eastAsiaTheme="minorEastAsia" w:hAnsiTheme="minorEastAsia"/>
                <w:color w:val="000000" w:themeColor="text1"/>
                <w:sz w:val="24"/>
              </w:rPr>
              <w:t>99,474,412.19</w:t>
            </w:r>
          </w:p>
        </w:tc>
        <w:tc>
          <w:tcPr>
            <w:tcW w:w="0" w:type="auto"/>
            <w:vAlign w:val="center"/>
          </w:tcPr>
          <w:p w:rsidR="00922320" w:rsidRDefault="002811EB">
            <w:pPr>
              <w:jc w:val="right"/>
            </w:pPr>
            <w:r>
              <w:rPr>
                <w:rFonts w:asciiTheme="minorEastAsia" w:eastAsiaTheme="minorEastAsia" w:hAnsiTheme="minorEastAsia"/>
                <w:color w:val="000000" w:themeColor="text1"/>
                <w:sz w:val="24"/>
              </w:rPr>
              <w:t>1.19</w:t>
            </w:r>
          </w:p>
        </w:tc>
      </w:tr>
      <w:tr w:rsidR="00922320">
        <w:tc>
          <w:tcPr>
            <w:tcW w:w="0" w:type="auto"/>
            <w:vAlign w:val="center"/>
          </w:tcPr>
          <w:p w:rsidR="00922320" w:rsidRDefault="002811EB">
            <w:pPr>
              <w:jc w:val="center"/>
            </w:pPr>
            <w:r>
              <w:rPr>
                <w:rFonts w:asciiTheme="minorEastAsia" w:eastAsiaTheme="minorEastAsia" w:hAnsiTheme="minorEastAsia"/>
                <w:color w:val="000000" w:themeColor="text1"/>
                <w:sz w:val="24"/>
              </w:rPr>
              <w:t>8</w:t>
            </w:r>
          </w:p>
        </w:tc>
        <w:tc>
          <w:tcPr>
            <w:tcW w:w="0" w:type="auto"/>
            <w:vAlign w:val="center"/>
          </w:tcPr>
          <w:p w:rsidR="00922320" w:rsidRDefault="002811EB">
            <w:pPr>
              <w:jc w:val="center"/>
            </w:pPr>
            <w:r>
              <w:rPr>
                <w:rFonts w:asciiTheme="minorEastAsia" w:eastAsiaTheme="minorEastAsia" w:hAnsiTheme="minorEastAsia"/>
                <w:color w:val="000000" w:themeColor="text1"/>
                <w:sz w:val="24"/>
              </w:rPr>
              <w:t>112015419</w:t>
            </w:r>
          </w:p>
        </w:tc>
        <w:tc>
          <w:tcPr>
            <w:tcW w:w="0" w:type="auto"/>
            <w:vAlign w:val="center"/>
          </w:tcPr>
          <w:p w:rsidR="00922320" w:rsidRDefault="002811EB">
            <w:pPr>
              <w:jc w:val="center"/>
            </w:pPr>
            <w:r>
              <w:rPr>
                <w:rFonts w:asciiTheme="minorEastAsia" w:eastAsiaTheme="minorEastAsia" w:hAnsiTheme="minorEastAsia"/>
                <w:color w:val="000000" w:themeColor="text1"/>
                <w:sz w:val="24"/>
              </w:rPr>
              <w:t>20</w:t>
            </w:r>
            <w:r>
              <w:rPr>
                <w:rFonts w:asciiTheme="minorEastAsia" w:eastAsiaTheme="minorEastAsia" w:hAnsiTheme="minorEastAsia"/>
                <w:color w:val="000000" w:themeColor="text1"/>
                <w:sz w:val="24"/>
              </w:rPr>
              <w:t>民生银行</w:t>
            </w:r>
            <w:r>
              <w:rPr>
                <w:rFonts w:asciiTheme="minorEastAsia" w:eastAsiaTheme="minorEastAsia" w:hAnsiTheme="minorEastAsia"/>
                <w:color w:val="000000" w:themeColor="text1"/>
                <w:sz w:val="24"/>
              </w:rPr>
              <w:t>CD419</w:t>
            </w:r>
          </w:p>
        </w:tc>
        <w:tc>
          <w:tcPr>
            <w:tcW w:w="0" w:type="auto"/>
            <w:vAlign w:val="center"/>
          </w:tcPr>
          <w:p w:rsidR="00922320" w:rsidRDefault="002811EB">
            <w:pPr>
              <w:jc w:val="right"/>
            </w:pPr>
            <w:r>
              <w:rPr>
                <w:rFonts w:asciiTheme="minorEastAsia" w:eastAsiaTheme="minorEastAsia" w:hAnsiTheme="minorEastAsia"/>
                <w:color w:val="000000" w:themeColor="text1"/>
                <w:sz w:val="24"/>
              </w:rPr>
              <w:t>1,000,000.00</w:t>
            </w:r>
          </w:p>
        </w:tc>
        <w:tc>
          <w:tcPr>
            <w:tcW w:w="0" w:type="auto"/>
            <w:vAlign w:val="center"/>
          </w:tcPr>
          <w:p w:rsidR="00922320" w:rsidRDefault="002811EB">
            <w:pPr>
              <w:jc w:val="right"/>
            </w:pPr>
            <w:r>
              <w:rPr>
                <w:rFonts w:asciiTheme="minorEastAsia" w:eastAsiaTheme="minorEastAsia" w:hAnsiTheme="minorEastAsia"/>
                <w:color w:val="000000" w:themeColor="text1"/>
                <w:sz w:val="24"/>
              </w:rPr>
              <w:t>99,436,271.09</w:t>
            </w:r>
          </w:p>
        </w:tc>
        <w:tc>
          <w:tcPr>
            <w:tcW w:w="0" w:type="auto"/>
            <w:vAlign w:val="center"/>
          </w:tcPr>
          <w:p w:rsidR="00922320" w:rsidRDefault="002811EB">
            <w:pPr>
              <w:jc w:val="right"/>
            </w:pPr>
            <w:r>
              <w:rPr>
                <w:rFonts w:asciiTheme="minorEastAsia" w:eastAsiaTheme="minorEastAsia" w:hAnsiTheme="minorEastAsia"/>
                <w:color w:val="000000" w:themeColor="text1"/>
                <w:sz w:val="24"/>
              </w:rPr>
              <w:t>1.19</w:t>
            </w:r>
          </w:p>
        </w:tc>
      </w:tr>
      <w:tr w:rsidR="00922320">
        <w:tc>
          <w:tcPr>
            <w:tcW w:w="0" w:type="auto"/>
            <w:vAlign w:val="center"/>
          </w:tcPr>
          <w:p w:rsidR="00922320" w:rsidRDefault="002811EB">
            <w:pPr>
              <w:jc w:val="center"/>
            </w:pPr>
            <w:r>
              <w:rPr>
                <w:rFonts w:asciiTheme="minorEastAsia" w:eastAsiaTheme="minorEastAsia" w:hAnsiTheme="minorEastAsia"/>
                <w:color w:val="000000" w:themeColor="text1"/>
                <w:sz w:val="24"/>
              </w:rPr>
              <w:t>9</w:t>
            </w:r>
          </w:p>
        </w:tc>
        <w:tc>
          <w:tcPr>
            <w:tcW w:w="0" w:type="auto"/>
            <w:vAlign w:val="center"/>
          </w:tcPr>
          <w:p w:rsidR="00922320" w:rsidRDefault="002811EB">
            <w:pPr>
              <w:jc w:val="center"/>
            </w:pPr>
            <w:r>
              <w:rPr>
                <w:rFonts w:asciiTheme="minorEastAsia" w:eastAsiaTheme="minorEastAsia" w:hAnsiTheme="minorEastAsia"/>
                <w:color w:val="000000" w:themeColor="text1"/>
                <w:sz w:val="24"/>
              </w:rPr>
              <w:t>112198036</w:t>
            </w:r>
          </w:p>
        </w:tc>
        <w:tc>
          <w:tcPr>
            <w:tcW w:w="0" w:type="auto"/>
            <w:vAlign w:val="center"/>
          </w:tcPr>
          <w:p w:rsidR="00922320" w:rsidRDefault="002811EB">
            <w:pPr>
              <w:jc w:val="center"/>
            </w:pPr>
            <w:r>
              <w:rPr>
                <w:rFonts w:asciiTheme="minorEastAsia" w:eastAsiaTheme="minorEastAsia" w:hAnsiTheme="minorEastAsia"/>
                <w:color w:val="000000" w:themeColor="text1"/>
                <w:sz w:val="24"/>
              </w:rPr>
              <w:t>21</w:t>
            </w:r>
            <w:r>
              <w:rPr>
                <w:rFonts w:asciiTheme="minorEastAsia" w:eastAsiaTheme="minorEastAsia" w:hAnsiTheme="minorEastAsia"/>
                <w:color w:val="000000" w:themeColor="text1"/>
                <w:sz w:val="24"/>
              </w:rPr>
              <w:t>重庆农村商行</w:t>
            </w:r>
            <w:r>
              <w:rPr>
                <w:rFonts w:asciiTheme="minorEastAsia" w:eastAsiaTheme="minorEastAsia" w:hAnsiTheme="minorEastAsia"/>
                <w:color w:val="000000" w:themeColor="text1"/>
                <w:sz w:val="24"/>
              </w:rPr>
              <w:t>CD079</w:t>
            </w:r>
          </w:p>
        </w:tc>
        <w:tc>
          <w:tcPr>
            <w:tcW w:w="0" w:type="auto"/>
            <w:vAlign w:val="center"/>
          </w:tcPr>
          <w:p w:rsidR="00922320" w:rsidRDefault="002811EB">
            <w:pPr>
              <w:jc w:val="right"/>
            </w:pPr>
            <w:r>
              <w:rPr>
                <w:rFonts w:asciiTheme="minorEastAsia" w:eastAsiaTheme="minorEastAsia" w:hAnsiTheme="minorEastAsia"/>
                <w:color w:val="000000" w:themeColor="text1"/>
                <w:sz w:val="24"/>
              </w:rPr>
              <w:t>1,000,000.00</w:t>
            </w:r>
          </w:p>
        </w:tc>
        <w:tc>
          <w:tcPr>
            <w:tcW w:w="0" w:type="auto"/>
            <w:vAlign w:val="center"/>
          </w:tcPr>
          <w:p w:rsidR="00922320" w:rsidRDefault="002811EB">
            <w:pPr>
              <w:jc w:val="right"/>
            </w:pPr>
            <w:r>
              <w:rPr>
                <w:rFonts w:asciiTheme="minorEastAsia" w:eastAsiaTheme="minorEastAsia" w:hAnsiTheme="minorEastAsia"/>
                <w:color w:val="000000" w:themeColor="text1"/>
                <w:sz w:val="24"/>
              </w:rPr>
              <w:t>99,171,457.70</w:t>
            </w:r>
          </w:p>
        </w:tc>
        <w:tc>
          <w:tcPr>
            <w:tcW w:w="0" w:type="auto"/>
            <w:vAlign w:val="center"/>
          </w:tcPr>
          <w:p w:rsidR="00922320" w:rsidRDefault="002811EB">
            <w:pPr>
              <w:jc w:val="right"/>
            </w:pPr>
            <w:r>
              <w:rPr>
                <w:rFonts w:asciiTheme="minorEastAsia" w:eastAsiaTheme="minorEastAsia" w:hAnsiTheme="minorEastAsia"/>
                <w:color w:val="000000" w:themeColor="text1"/>
                <w:sz w:val="24"/>
              </w:rPr>
              <w:t>1.19</w:t>
            </w:r>
          </w:p>
        </w:tc>
      </w:tr>
      <w:tr w:rsidR="00922320">
        <w:tc>
          <w:tcPr>
            <w:tcW w:w="0" w:type="auto"/>
            <w:vAlign w:val="center"/>
          </w:tcPr>
          <w:p w:rsidR="00922320" w:rsidRDefault="002811EB">
            <w:pPr>
              <w:jc w:val="center"/>
            </w:pPr>
            <w:r>
              <w:rPr>
                <w:rFonts w:asciiTheme="minorEastAsia" w:eastAsiaTheme="minorEastAsia" w:hAnsiTheme="minorEastAsia"/>
                <w:color w:val="000000" w:themeColor="text1"/>
                <w:sz w:val="24"/>
              </w:rPr>
              <w:t>10</w:t>
            </w:r>
          </w:p>
        </w:tc>
        <w:tc>
          <w:tcPr>
            <w:tcW w:w="0" w:type="auto"/>
            <w:vAlign w:val="center"/>
          </w:tcPr>
          <w:p w:rsidR="00922320" w:rsidRDefault="002811EB">
            <w:pPr>
              <w:jc w:val="center"/>
            </w:pPr>
            <w:r>
              <w:rPr>
                <w:rFonts w:asciiTheme="minorEastAsia" w:eastAsiaTheme="minorEastAsia" w:hAnsiTheme="minorEastAsia"/>
                <w:color w:val="000000" w:themeColor="text1"/>
                <w:sz w:val="24"/>
              </w:rPr>
              <w:t>112121034</w:t>
            </w:r>
          </w:p>
        </w:tc>
        <w:tc>
          <w:tcPr>
            <w:tcW w:w="0" w:type="auto"/>
            <w:vAlign w:val="center"/>
          </w:tcPr>
          <w:p w:rsidR="00922320" w:rsidRDefault="002811EB">
            <w:pPr>
              <w:jc w:val="center"/>
            </w:pPr>
            <w:r>
              <w:rPr>
                <w:rFonts w:asciiTheme="minorEastAsia" w:eastAsiaTheme="minorEastAsia" w:hAnsiTheme="minorEastAsia"/>
                <w:color w:val="000000" w:themeColor="text1"/>
                <w:sz w:val="24"/>
              </w:rPr>
              <w:t>21</w:t>
            </w:r>
            <w:r>
              <w:rPr>
                <w:rFonts w:asciiTheme="minorEastAsia" w:eastAsiaTheme="minorEastAsia" w:hAnsiTheme="minorEastAsia"/>
                <w:color w:val="000000" w:themeColor="text1"/>
                <w:sz w:val="24"/>
              </w:rPr>
              <w:t>渤海银行</w:t>
            </w:r>
            <w:r>
              <w:rPr>
                <w:rFonts w:asciiTheme="minorEastAsia" w:eastAsiaTheme="minorEastAsia" w:hAnsiTheme="minorEastAsia"/>
                <w:color w:val="000000" w:themeColor="text1"/>
                <w:sz w:val="24"/>
              </w:rPr>
              <w:t>CD034</w:t>
            </w:r>
          </w:p>
        </w:tc>
        <w:tc>
          <w:tcPr>
            <w:tcW w:w="0" w:type="auto"/>
            <w:vAlign w:val="center"/>
          </w:tcPr>
          <w:p w:rsidR="00922320" w:rsidRDefault="002811EB">
            <w:pPr>
              <w:jc w:val="right"/>
            </w:pPr>
            <w:r>
              <w:rPr>
                <w:rFonts w:asciiTheme="minorEastAsia" w:eastAsiaTheme="minorEastAsia" w:hAnsiTheme="minorEastAsia"/>
                <w:color w:val="000000" w:themeColor="text1"/>
                <w:sz w:val="24"/>
              </w:rPr>
              <w:t>1,000,000.00</w:t>
            </w:r>
          </w:p>
        </w:tc>
        <w:tc>
          <w:tcPr>
            <w:tcW w:w="0" w:type="auto"/>
            <w:vAlign w:val="center"/>
          </w:tcPr>
          <w:p w:rsidR="00922320" w:rsidRDefault="002811EB">
            <w:pPr>
              <w:jc w:val="right"/>
            </w:pPr>
            <w:r>
              <w:rPr>
                <w:rFonts w:asciiTheme="minorEastAsia" w:eastAsiaTheme="minorEastAsia" w:hAnsiTheme="minorEastAsia"/>
                <w:color w:val="000000" w:themeColor="text1"/>
                <w:sz w:val="24"/>
              </w:rPr>
              <w:t>99,061,824.18</w:t>
            </w:r>
          </w:p>
        </w:tc>
        <w:tc>
          <w:tcPr>
            <w:tcW w:w="0" w:type="auto"/>
            <w:vAlign w:val="center"/>
          </w:tcPr>
          <w:p w:rsidR="00922320" w:rsidRDefault="002811EB">
            <w:pPr>
              <w:jc w:val="right"/>
            </w:pPr>
            <w:r>
              <w:rPr>
                <w:rFonts w:asciiTheme="minorEastAsia" w:eastAsiaTheme="minorEastAsia" w:hAnsiTheme="minorEastAsia"/>
                <w:color w:val="000000" w:themeColor="text1"/>
                <w:sz w:val="24"/>
              </w:rPr>
              <w:t>1.19</w:t>
            </w:r>
          </w:p>
        </w:tc>
      </w:tr>
    </w:tbl>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7</w:t>
      </w:r>
      <w:r w:rsidRPr="003025FA">
        <w:rPr>
          <w:rFonts w:asciiTheme="minorEastAsia" w:eastAsiaTheme="minorEastAsia" w:hAnsiTheme="minorEastAsia" w:cs="Arial" w:hint="eastAsia"/>
          <w:b/>
          <w:color w:val="000000" w:themeColor="text1"/>
          <w:kern w:val="0"/>
          <w:sz w:val="24"/>
        </w:rPr>
        <w:t>“影子定价”与“摊余成本法”确定的基金资产净值的偏离</w:t>
      </w:r>
    </w:p>
    <w:tbl>
      <w:tblPr>
        <w:tblW w:w="0" w:type="auto"/>
        <w:tblInd w:w="108" w:type="dxa"/>
        <w:tblLayout w:type="fixed"/>
        <w:tblLook w:val="0000" w:firstRow="0" w:lastRow="0" w:firstColumn="0" w:lastColumn="0" w:noHBand="0" w:noVBand="0"/>
      </w:tblPr>
      <w:tblGrid>
        <w:gridCol w:w="5670"/>
        <w:gridCol w:w="3524"/>
      </w:tblGrid>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项目</w:t>
            </w:r>
          </w:p>
        </w:tc>
        <w:tc>
          <w:tcPr>
            <w:tcW w:w="3524"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center"/>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偏离情况</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报告期内偏离度的绝对值在</w:t>
            </w:r>
            <w:r w:rsidRPr="003025FA">
              <w:rPr>
                <w:rFonts w:asciiTheme="minorEastAsia" w:eastAsiaTheme="minorEastAsia" w:hAnsiTheme="minorEastAsia" w:cs="Arial"/>
                <w:color w:val="000000" w:themeColor="text1"/>
                <w:kern w:val="0"/>
                <w:sz w:val="24"/>
              </w:rPr>
              <w:t>0.25(</w:t>
            </w:r>
            <w:r w:rsidRPr="003025FA">
              <w:rPr>
                <w:rFonts w:asciiTheme="minorEastAsia" w:eastAsiaTheme="minorEastAsia" w:hAnsiTheme="minorEastAsia" w:cs="Arial" w:hint="eastAsia"/>
                <w:color w:val="000000" w:themeColor="text1"/>
                <w:kern w:val="0"/>
                <w:sz w:val="24"/>
              </w:rPr>
              <w:t>含</w:t>
            </w:r>
            <w:r w:rsidRPr="003025FA">
              <w:rPr>
                <w:rFonts w:asciiTheme="minorEastAsia" w:eastAsiaTheme="minorEastAsia" w:hAnsiTheme="minorEastAsia" w:cs="Arial"/>
                <w:color w:val="000000" w:themeColor="text1"/>
                <w:kern w:val="0"/>
                <w:sz w:val="24"/>
              </w:rPr>
              <w:t>)-0.5%</w:t>
            </w:r>
            <w:r w:rsidRPr="003025FA">
              <w:rPr>
                <w:rFonts w:asciiTheme="minorEastAsia" w:eastAsiaTheme="minorEastAsia" w:hAnsiTheme="minorEastAsia" w:cs="Arial" w:hint="eastAsia"/>
                <w:color w:val="000000" w:themeColor="text1"/>
                <w:kern w:val="0"/>
                <w:sz w:val="24"/>
              </w:rPr>
              <w:t>间的次数</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w:t>
            </w:r>
            <w:r w:rsidRPr="003025FA">
              <w:rPr>
                <w:rFonts w:asciiTheme="minorEastAsia" w:eastAsiaTheme="minorEastAsia" w:hAnsiTheme="minorEastAsia" w:hint="eastAsia"/>
                <w:color w:val="000000" w:themeColor="text1"/>
                <w:sz w:val="24"/>
              </w:rPr>
              <w:t>次</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报告期内偏离度的最高值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0.0451%</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报告期内偏离度的最低值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0.0274%</w:t>
            </w:r>
          </w:p>
        </w:tc>
      </w:tr>
      <w:tr w:rsidR="006B4FD5" w:rsidRPr="003025FA" w:rsidTr="00182D82">
        <w:tc>
          <w:tcPr>
            <w:tcW w:w="5670" w:type="dxa"/>
            <w:tcBorders>
              <w:top w:val="single" w:sz="8" w:space="0" w:color="000000"/>
              <w:left w:val="single" w:sz="8" w:space="0" w:color="000000"/>
              <w:bottom w:val="single" w:sz="8" w:space="0" w:color="000000"/>
              <w:right w:val="single" w:sz="8" w:space="0" w:color="000000"/>
            </w:tcBorders>
            <w:vAlign w:val="center"/>
          </w:tcPr>
          <w:p w:rsidR="006B4FD5" w:rsidRPr="003025FA" w:rsidRDefault="006B4FD5" w:rsidP="00182D82">
            <w:pPr>
              <w:autoSpaceDE w:val="0"/>
              <w:autoSpaceDN w:val="0"/>
              <w:adjustRightInd w:val="0"/>
              <w:spacing w:before="29" w:line="360" w:lineRule="auto"/>
              <w:ind w:left="15"/>
              <w:jc w:val="left"/>
              <w:rPr>
                <w:rFonts w:asciiTheme="minorEastAsia" w:eastAsiaTheme="minorEastAsia" w:hAnsiTheme="minorEastAsia" w:cs="Arial"/>
                <w:color w:val="000000" w:themeColor="text1"/>
                <w:kern w:val="0"/>
                <w:sz w:val="24"/>
              </w:rPr>
            </w:pPr>
            <w:r w:rsidRPr="003025FA">
              <w:rPr>
                <w:rFonts w:asciiTheme="minorEastAsia" w:eastAsiaTheme="minorEastAsia" w:hAnsiTheme="minorEastAsia" w:cs="Arial" w:hint="eastAsia"/>
                <w:color w:val="000000" w:themeColor="text1"/>
                <w:kern w:val="0"/>
                <w:sz w:val="24"/>
              </w:rPr>
              <w:t>报告期内每个</w:t>
            </w:r>
            <w:r w:rsidRPr="003025FA">
              <w:rPr>
                <w:rFonts w:ascii="宋体" w:hAnsi="宋体" w:hint="eastAsia"/>
                <w:color w:val="000000" w:themeColor="text1"/>
                <w:sz w:val="24"/>
              </w:rPr>
              <w:t>工作日</w:t>
            </w:r>
            <w:r w:rsidRPr="003025FA">
              <w:rPr>
                <w:rFonts w:asciiTheme="minorEastAsia" w:eastAsiaTheme="minorEastAsia" w:hAnsiTheme="minorEastAsia" w:cs="Arial" w:hint="eastAsia"/>
                <w:color w:val="000000" w:themeColor="text1"/>
                <w:kern w:val="0"/>
                <w:sz w:val="24"/>
              </w:rPr>
              <w:t>偏离度的绝对值的简单平均值</w:t>
            </w:r>
          </w:p>
        </w:tc>
        <w:tc>
          <w:tcPr>
            <w:tcW w:w="3524" w:type="dxa"/>
            <w:tcBorders>
              <w:top w:val="single" w:sz="8" w:space="0" w:color="000000"/>
              <w:left w:val="single" w:sz="8" w:space="0" w:color="000000"/>
              <w:bottom w:val="single" w:sz="8" w:space="0" w:color="000000"/>
              <w:right w:val="single" w:sz="8" w:space="0" w:color="000000"/>
            </w:tcBorders>
            <w:vAlign w:val="bottom"/>
          </w:tcPr>
          <w:p w:rsidR="006B4FD5" w:rsidRPr="003025FA" w:rsidRDefault="006B4FD5" w:rsidP="00182D82">
            <w:pPr>
              <w:spacing w:line="360" w:lineRule="auto"/>
              <w:jc w:val="righ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0.0361%</w:t>
            </w:r>
          </w:p>
        </w:tc>
      </w:tr>
    </w:tbl>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报告期内负偏离度的绝对值达到0.25%情况说明</w:t>
      </w:r>
    </w:p>
    <w:p w:rsidR="006B4FD5"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本报告期未发生负偏离度的绝对值达到0.25%的情况。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宋体" w:hAnsi="宋体" w:hint="eastAsia"/>
          <w:b/>
          <w:color w:val="000000"/>
          <w:sz w:val="24"/>
        </w:rPr>
        <w:t>报告期内正偏离度的绝对值达到0.5%情况说明</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本报告期未发生正偏离度的绝对值达到0.5%的情况。</w:t>
      </w: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Pr>
          <w:rFonts w:asciiTheme="minorEastAsia" w:eastAsiaTheme="minorEastAsia" w:hAnsiTheme="minorEastAsia" w:cs="Arial"/>
          <w:b/>
          <w:color w:val="000000" w:themeColor="text1"/>
          <w:kern w:val="0"/>
          <w:sz w:val="24"/>
        </w:rPr>
        <w:t>5.</w:t>
      </w:r>
      <w:r>
        <w:rPr>
          <w:rFonts w:asciiTheme="minorEastAsia" w:eastAsiaTheme="minorEastAsia" w:hAnsiTheme="minorEastAsia" w:cs="Arial" w:hint="eastAsia"/>
          <w:b/>
          <w:color w:val="000000" w:themeColor="text1"/>
          <w:kern w:val="0"/>
          <w:sz w:val="24"/>
        </w:rPr>
        <w:t>8</w:t>
      </w:r>
      <w:r w:rsidRPr="003025FA">
        <w:rPr>
          <w:rFonts w:asciiTheme="minorEastAsia" w:eastAsiaTheme="minorEastAsia" w:hAnsiTheme="minorEastAsia" w:cs="Arial" w:hint="eastAsia"/>
          <w:b/>
          <w:color w:val="000000" w:themeColor="text1"/>
          <w:kern w:val="0"/>
          <w:sz w:val="24"/>
        </w:rPr>
        <w:t>报告期末按</w:t>
      </w:r>
      <w:r w:rsidR="008011BF">
        <w:rPr>
          <w:rFonts w:asciiTheme="minorEastAsia" w:eastAsiaTheme="minorEastAsia" w:hAnsiTheme="minorEastAsia" w:cs="Arial" w:hint="eastAsia"/>
          <w:b/>
          <w:color w:val="000000" w:themeColor="text1"/>
          <w:kern w:val="0"/>
          <w:sz w:val="24"/>
        </w:rPr>
        <w:t>摊余成本</w:t>
      </w:r>
      <w:r w:rsidRPr="003025FA">
        <w:rPr>
          <w:rFonts w:asciiTheme="minorEastAsia" w:eastAsiaTheme="minorEastAsia" w:hAnsiTheme="minorEastAsia" w:cs="Arial" w:hint="eastAsia"/>
          <w:b/>
          <w:color w:val="000000" w:themeColor="text1"/>
          <w:kern w:val="0"/>
          <w:sz w:val="24"/>
        </w:rPr>
        <w:t>占基金资产净值比例大小排名的前十名资产支持证券投资明细</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本基金本报告期末未持有资产支持证券。</w:t>
      </w:r>
    </w:p>
    <w:p w:rsidR="006B4FD5" w:rsidRPr="003025FA" w:rsidRDefault="006B4FD5" w:rsidP="006B4FD5">
      <w:pPr>
        <w:autoSpaceDE w:val="0"/>
        <w:autoSpaceDN w:val="0"/>
        <w:adjustRightInd w:val="0"/>
        <w:spacing w:line="360" w:lineRule="auto"/>
        <w:jc w:val="left"/>
        <w:rPr>
          <w:rFonts w:asciiTheme="minorEastAsia" w:eastAsiaTheme="minorEastAsia" w:hAnsiTheme="minorEastAsia" w:cs="Arial"/>
          <w:color w:val="000000" w:themeColor="text1"/>
          <w:kern w:val="0"/>
          <w:sz w:val="24"/>
        </w:rPr>
      </w:pPr>
    </w:p>
    <w:p w:rsidR="006B4FD5" w:rsidRPr="003025FA" w:rsidRDefault="006B4FD5" w:rsidP="006B4FD5">
      <w:pPr>
        <w:spacing w:line="360" w:lineRule="auto"/>
        <w:rPr>
          <w:rFonts w:asciiTheme="minorEastAsia" w:eastAsiaTheme="minorEastAsia" w:hAnsiTheme="minorEastAsia" w:cs="Arial"/>
          <w:b/>
          <w:color w:val="000000" w:themeColor="text1"/>
          <w:kern w:val="0"/>
          <w:sz w:val="24"/>
        </w:rPr>
      </w:pPr>
      <w:r w:rsidRPr="003025FA">
        <w:rPr>
          <w:rFonts w:asciiTheme="minorEastAsia" w:eastAsiaTheme="minorEastAsia" w:hAnsiTheme="minorEastAsia" w:cs="Arial" w:hint="eastAsia"/>
          <w:b/>
          <w:color w:val="000000" w:themeColor="text1"/>
          <w:kern w:val="0"/>
          <w:sz w:val="24"/>
        </w:rPr>
        <w:t>5</w:t>
      </w:r>
      <w:r w:rsidRPr="003025FA">
        <w:rPr>
          <w:rFonts w:asciiTheme="minorEastAsia" w:eastAsiaTheme="minorEastAsia" w:hAnsiTheme="minorEastAsia" w:cs="Arial"/>
          <w:b/>
          <w:color w:val="000000" w:themeColor="text1"/>
          <w:kern w:val="0"/>
          <w:sz w:val="24"/>
        </w:rPr>
        <w:t>.</w:t>
      </w:r>
      <w:r w:rsidRPr="003025FA">
        <w:rPr>
          <w:rFonts w:asciiTheme="minorEastAsia" w:eastAsiaTheme="minorEastAsia" w:hAnsiTheme="minorEastAsia" w:cs="Arial" w:hint="eastAsia"/>
          <w:b/>
          <w:color w:val="000000" w:themeColor="text1"/>
          <w:kern w:val="0"/>
          <w:sz w:val="24"/>
        </w:rPr>
        <w:t>9</w:t>
      </w:r>
      <w:r w:rsidRPr="003025FA">
        <w:rPr>
          <w:rFonts w:asciiTheme="minorEastAsia" w:eastAsiaTheme="minorEastAsia" w:hAnsiTheme="minorEastAsia" w:cs="Arial"/>
          <w:b/>
          <w:color w:val="000000" w:themeColor="text1"/>
          <w:kern w:val="0"/>
          <w:sz w:val="24"/>
        </w:rPr>
        <w:t xml:space="preserve"> </w:t>
      </w:r>
      <w:r w:rsidRPr="003025FA">
        <w:rPr>
          <w:rFonts w:asciiTheme="minorEastAsia" w:eastAsiaTheme="minorEastAsia" w:hAnsiTheme="minorEastAsia" w:cs="Arial" w:hint="eastAsia"/>
          <w:b/>
          <w:color w:val="000000" w:themeColor="text1"/>
          <w:kern w:val="0"/>
          <w:sz w:val="24"/>
        </w:rPr>
        <w:t>投资组合报告附注</w:t>
      </w:r>
    </w:p>
    <w:p w:rsidR="006B4FD5" w:rsidRPr="003025FA" w:rsidRDefault="006B4FD5" w:rsidP="006B4FD5">
      <w:pPr>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hint="eastAsia"/>
          <w:color w:val="000000" w:themeColor="text1"/>
          <w:sz w:val="24"/>
        </w:rPr>
        <w:t>5</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9</w:t>
      </w:r>
      <w:r w:rsidRPr="003025FA">
        <w:rPr>
          <w:rFonts w:asciiTheme="minorEastAsia" w:eastAsiaTheme="minorEastAsia" w:hAnsiTheme="minorEastAsia"/>
          <w:color w:val="000000" w:themeColor="text1"/>
          <w:sz w:val="24"/>
        </w:rPr>
        <w:t>.</w:t>
      </w:r>
      <w:r w:rsidRPr="003025FA">
        <w:rPr>
          <w:rFonts w:asciiTheme="minorEastAsia" w:eastAsiaTheme="minorEastAsia" w:hAnsiTheme="minorEastAsia" w:hint="eastAsia"/>
          <w:color w:val="000000" w:themeColor="text1"/>
          <w:sz w:val="24"/>
        </w:rPr>
        <w:t>1基金计价方法说明</w:t>
      </w:r>
    </w:p>
    <w:p w:rsidR="006B4FD5" w:rsidRPr="00C57AF1" w:rsidRDefault="006B4FD5" w:rsidP="006B4FD5">
      <w:pPr>
        <w:spacing w:line="360" w:lineRule="auto"/>
        <w:ind w:firstLineChars="200" w:firstLine="480"/>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本基金估值采用摊余成本法，即估值对象以买入成本列示，按票面利率或商定利率并考虑其买入时的溢价与折价，在其剩余期限内按实际利率法摊销，每日计提收益。本基金不采用市场利率和上市交易的债券和票据的市价计算基金资产净值。</w:t>
      </w:r>
    </w:p>
    <w:p w:rsidR="00976A1A" w:rsidRPr="00593AD2" w:rsidRDefault="006B4FD5" w:rsidP="006B4FD5">
      <w:pPr>
        <w:widowControl/>
        <w:spacing w:line="360" w:lineRule="auto"/>
        <w:rPr>
          <w:rFonts w:asciiTheme="minorEastAsia" w:eastAsiaTheme="minorEastAsia" w:hAnsiTheme="minorEastAsia"/>
          <w:color w:val="000000" w:themeColor="text1"/>
          <w:sz w:val="24"/>
        </w:rPr>
      </w:pPr>
      <w:r w:rsidRPr="003025FA">
        <w:rPr>
          <w:rFonts w:asciiTheme="minorEastAsia" w:eastAsiaTheme="minorEastAsia" w:hAnsiTheme="minorEastAsia"/>
          <w:color w:val="000000" w:themeColor="text1"/>
          <w:sz w:val="24"/>
        </w:rPr>
        <w:t>5.9.2本基金投资的前十名证券的发行主体本期没有出现被监管部门立案调查，或在报告编制日前一年内受到公开谴责、处罚的情形。</w:t>
      </w:r>
    </w:p>
    <w:p w:rsidR="00976A1A" w:rsidRPr="00593AD2" w:rsidRDefault="00976A1A" w:rsidP="00976A1A">
      <w:pPr>
        <w:adjustRightInd w:val="0"/>
        <w:spacing w:line="360" w:lineRule="auto"/>
        <w:rPr>
          <w:rFonts w:asciiTheme="minorEastAsia" w:eastAsiaTheme="minorEastAsia" w:hAnsiTheme="minorEastAsia"/>
          <w:color w:val="000000" w:themeColor="text1"/>
          <w:sz w:val="24"/>
        </w:rPr>
      </w:pPr>
    </w:p>
    <w:p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lastRenderedPageBreak/>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3其他各项资产构成</w:t>
      </w:r>
    </w:p>
    <w:tbl>
      <w:tblPr>
        <w:tblStyle w:val="ad"/>
        <w:tblW w:w="0" w:type="auto"/>
        <w:tblInd w:w="17" w:type="dxa"/>
        <w:tblLayout w:type="fixed"/>
        <w:tblLook w:val="04A0" w:firstRow="1" w:lastRow="0" w:firstColumn="1" w:lastColumn="0" w:noHBand="0" w:noVBand="1"/>
      </w:tblPr>
      <w:tblGrid>
        <w:gridCol w:w="942"/>
        <w:gridCol w:w="3535"/>
        <w:gridCol w:w="4808"/>
      </w:tblGrid>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序号</w:t>
            </w:r>
          </w:p>
        </w:tc>
        <w:tc>
          <w:tcPr>
            <w:tcW w:w="3535"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名称</w:t>
            </w:r>
          </w:p>
        </w:tc>
        <w:tc>
          <w:tcPr>
            <w:tcW w:w="4808" w:type="dxa"/>
            <w:vAlign w:val="center"/>
          </w:tcPr>
          <w:p w:rsidR="00976A1A" w:rsidRPr="00593AD2" w:rsidRDefault="00976A1A" w:rsidP="00D60521">
            <w:pPr>
              <w:autoSpaceDE w:val="0"/>
              <w:autoSpaceDN w:val="0"/>
              <w:adjustRightInd w:val="0"/>
              <w:spacing w:before="29" w:line="360" w:lineRule="auto"/>
              <w:ind w:left="17"/>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金额(元)</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1</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存出保证金</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2</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应收证券清算款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3</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应收利息</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64,518,958.29</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4</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应收申购款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11,830,690.79</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5</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其他应收款</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6</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cs="宋体" w:hint="eastAsia"/>
                <w:color w:val="000000" w:themeColor="text1"/>
                <w:kern w:val="0"/>
                <w:sz w:val="24"/>
              </w:rPr>
              <w:t>待摊费用</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7</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其他</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w:t>
            </w:r>
          </w:p>
        </w:tc>
      </w:tr>
      <w:tr w:rsidR="00593AD2" w:rsidRPr="00593AD2" w:rsidTr="00D60521">
        <w:tc>
          <w:tcPr>
            <w:tcW w:w="942" w:type="dxa"/>
            <w:vAlign w:val="center"/>
          </w:tcPr>
          <w:p w:rsidR="00976A1A" w:rsidRPr="00593AD2" w:rsidRDefault="00976A1A" w:rsidP="00D60521">
            <w:pPr>
              <w:autoSpaceDE w:val="0"/>
              <w:autoSpaceDN w:val="0"/>
              <w:adjustRightInd w:val="0"/>
              <w:spacing w:before="29" w:line="360" w:lineRule="auto"/>
              <w:ind w:left="15"/>
              <w:jc w:val="center"/>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8</w:t>
            </w:r>
          </w:p>
        </w:tc>
        <w:tc>
          <w:tcPr>
            <w:tcW w:w="3535" w:type="dxa"/>
            <w:vAlign w:val="center"/>
          </w:tcPr>
          <w:p w:rsidR="00976A1A" w:rsidRPr="00593AD2" w:rsidRDefault="00976A1A" w:rsidP="00D60521">
            <w:pPr>
              <w:autoSpaceDE w:val="0"/>
              <w:autoSpaceDN w:val="0"/>
              <w:adjustRightInd w:val="0"/>
              <w:spacing w:before="29" w:line="360" w:lineRule="auto"/>
              <w:ind w:left="15"/>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合计</w:t>
            </w:r>
          </w:p>
        </w:tc>
        <w:tc>
          <w:tcPr>
            <w:tcW w:w="4808" w:type="dxa"/>
            <w:vAlign w:val="center"/>
          </w:tcPr>
          <w:p w:rsidR="00976A1A" w:rsidRPr="00593AD2" w:rsidRDefault="00976A1A" w:rsidP="00D60521">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kern w:val="0"/>
                <w:sz w:val="24"/>
              </w:rPr>
              <w:t>76,349,649.08</w:t>
            </w:r>
          </w:p>
        </w:tc>
      </w:tr>
    </w:tbl>
    <w:p w:rsidR="00976A1A" w:rsidRPr="00593AD2" w:rsidRDefault="00976A1A" w:rsidP="00976A1A">
      <w:pPr>
        <w:autoSpaceDE w:val="0"/>
        <w:autoSpaceDN w:val="0"/>
        <w:adjustRightInd w:val="0"/>
        <w:spacing w:line="360" w:lineRule="auto"/>
        <w:rPr>
          <w:rFonts w:asciiTheme="minorEastAsia" w:eastAsiaTheme="minorEastAsia" w:hAnsiTheme="minorEastAsia"/>
          <w:color w:val="000000" w:themeColor="text1"/>
          <w:sz w:val="24"/>
        </w:rPr>
      </w:pPr>
    </w:p>
    <w:p w:rsidR="00976A1A" w:rsidRPr="00593AD2" w:rsidRDefault="00976A1A" w:rsidP="00976A1A">
      <w:pPr>
        <w:spacing w:line="360" w:lineRule="auto"/>
        <w:rPr>
          <w:rFonts w:asciiTheme="minorEastAsia" w:eastAsiaTheme="minorEastAsia" w:hAnsiTheme="minorEastAsia"/>
          <w:b/>
          <w:bCs/>
          <w:color w:val="000000" w:themeColor="text1"/>
          <w:sz w:val="24"/>
        </w:rPr>
      </w:pPr>
      <w:r w:rsidRPr="00593AD2">
        <w:rPr>
          <w:rFonts w:asciiTheme="minorEastAsia" w:eastAsiaTheme="minorEastAsia" w:hAnsiTheme="minorEastAsia" w:hint="eastAsia"/>
          <w:b/>
          <w:color w:val="000000" w:themeColor="text1"/>
          <w:sz w:val="24"/>
        </w:rPr>
        <w:t>5</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9</w:t>
      </w:r>
      <w:r w:rsidRPr="00593AD2">
        <w:rPr>
          <w:rFonts w:asciiTheme="minorEastAsia" w:eastAsiaTheme="minorEastAsia" w:hAnsiTheme="minorEastAsia"/>
          <w:b/>
          <w:color w:val="000000" w:themeColor="text1"/>
          <w:sz w:val="24"/>
        </w:rPr>
        <w:t>.</w:t>
      </w:r>
      <w:r w:rsidRPr="00593AD2">
        <w:rPr>
          <w:rFonts w:asciiTheme="minorEastAsia" w:eastAsiaTheme="minorEastAsia" w:hAnsiTheme="minorEastAsia" w:hint="eastAsia"/>
          <w:b/>
          <w:color w:val="000000" w:themeColor="text1"/>
          <w:sz w:val="24"/>
        </w:rPr>
        <w:t>4</w:t>
      </w:r>
      <w:r w:rsidRPr="00593AD2">
        <w:rPr>
          <w:rFonts w:asciiTheme="minorEastAsia" w:eastAsiaTheme="minorEastAsia" w:hAnsiTheme="minorEastAsia" w:hint="eastAsia"/>
          <w:b/>
          <w:bCs/>
          <w:color w:val="000000" w:themeColor="text1"/>
          <w:sz w:val="24"/>
        </w:rPr>
        <w:t>投资组合报告附注的其他文字描述部分</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olor w:val="000000" w:themeColor="text1"/>
          <w:sz w:val="24"/>
        </w:rPr>
        <w:t>因四舍五入原因，投资组合报告中市值占净值比例的分项之和与合计可能存在尾差。</w:t>
      </w:r>
    </w:p>
    <w:p w:rsidR="00976A1A" w:rsidRPr="00593AD2" w:rsidRDefault="00976A1A" w:rsidP="00976A1A">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基金份额持有人如欲了解本基金投资组合的其他相关信息，可致电本基金管理人获取。</w:t>
      </w:r>
    </w:p>
    <w:p w:rsidR="00902E3F" w:rsidRPr="00593AD2" w:rsidRDefault="00902E3F"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Pr="00593AD2">
        <w:rPr>
          <w:rFonts w:asciiTheme="minorEastAsia" w:eastAsiaTheme="minorEastAsia" w:hAnsiTheme="minorEastAsia" w:cs="Arial"/>
          <w:color w:val="000000" w:themeColor="text1"/>
          <w:kern w:val="0"/>
          <w:sz w:val="24"/>
          <w:szCs w:val="24"/>
        </w:rPr>
        <w:t xml:space="preserve">6  </w:t>
      </w:r>
      <w:r w:rsidRPr="00593AD2">
        <w:rPr>
          <w:rFonts w:asciiTheme="minorEastAsia" w:eastAsiaTheme="minorEastAsia" w:hAnsiTheme="minorEastAsia" w:cs="Arial" w:hint="eastAsia"/>
          <w:color w:val="000000" w:themeColor="text1"/>
          <w:kern w:val="0"/>
          <w:sz w:val="24"/>
          <w:szCs w:val="24"/>
        </w:rPr>
        <w:t>开放式基金份额变动</w:t>
      </w:r>
    </w:p>
    <w:p w:rsidR="00902E3F" w:rsidRPr="00593AD2" w:rsidRDefault="00902E3F" w:rsidP="00196812">
      <w:pPr>
        <w:autoSpaceDE w:val="0"/>
        <w:autoSpaceDN w:val="0"/>
        <w:adjustRightInd w:val="0"/>
        <w:spacing w:before="29" w:line="360" w:lineRule="auto"/>
        <w:ind w:left="15"/>
        <w:jc w:val="right"/>
        <w:rPr>
          <w:rFonts w:asciiTheme="minorEastAsia" w:eastAsiaTheme="minorEastAsia" w:hAnsiTheme="minorEastAsia" w:cs="Arial"/>
          <w:color w:val="000000" w:themeColor="text1"/>
          <w:kern w:val="0"/>
          <w:sz w:val="24"/>
        </w:rPr>
      </w:pPr>
      <w:r w:rsidRPr="00593AD2">
        <w:rPr>
          <w:rFonts w:asciiTheme="minorEastAsia" w:eastAsiaTheme="minorEastAsia" w:hAnsiTheme="minorEastAsia" w:cs="Arial" w:hint="eastAsia"/>
          <w:color w:val="000000" w:themeColor="text1"/>
          <w:kern w:val="0"/>
          <w:sz w:val="24"/>
        </w:rPr>
        <w:t>单位：份</w:t>
      </w:r>
    </w:p>
    <w:tbl>
      <w:tblPr>
        <w:tblW w:w="10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9"/>
        <w:gridCol w:w="2268"/>
        <w:gridCol w:w="2268"/>
        <w:gridCol w:w="2269"/>
      </w:tblGrid>
      <w:tr w:rsidR="00593AD2" w:rsidRPr="00593AD2" w:rsidTr="00102307">
        <w:trPr>
          <w:jc w:val="center"/>
        </w:trPr>
        <w:tc>
          <w:tcPr>
            <w:tcW w:w="3279"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s="宋体"/>
                <w:color w:val="000000" w:themeColor="text1"/>
                <w:kern w:val="0"/>
                <w:sz w:val="24"/>
              </w:rPr>
            </w:pPr>
            <w:r w:rsidRPr="00593AD2">
              <w:rPr>
                <w:rFonts w:asciiTheme="minorEastAsia" w:eastAsiaTheme="minorEastAsia" w:hAnsiTheme="minorEastAsia" w:hint="eastAsia"/>
                <w:color w:val="000000" w:themeColor="text1"/>
                <w:kern w:val="0"/>
                <w:sz w:val="24"/>
              </w:rPr>
              <w:t>项目</w:t>
            </w:r>
          </w:p>
        </w:tc>
        <w:tc>
          <w:tcPr>
            <w:tcW w:w="2268"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上投摩根天添盈货币A类</w:t>
            </w:r>
          </w:p>
        </w:tc>
        <w:tc>
          <w:tcPr>
            <w:tcW w:w="2268" w:type="dxa"/>
          </w:tcPr>
          <w:p w:rsidR="00102307" w:rsidRPr="00593AD2" w:rsidRDefault="00102307" w:rsidP="00196812">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color w:val="000000" w:themeColor="text1"/>
                <w:sz w:val="24"/>
              </w:rPr>
              <w:t>上投摩根天添盈货币B类</w:t>
            </w:r>
          </w:p>
        </w:tc>
        <w:tc>
          <w:tcPr>
            <w:tcW w:w="2269" w:type="dxa"/>
          </w:tcPr>
          <w:p w:rsidR="00102307" w:rsidRPr="00593AD2" w:rsidRDefault="00102307" w:rsidP="003451F3">
            <w:pPr>
              <w:autoSpaceDE w:val="0"/>
              <w:autoSpaceDN w:val="0"/>
              <w:adjustRightInd w:val="0"/>
              <w:spacing w:before="29" w:line="360" w:lineRule="auto"/>
              <w:ind w:left="15"/>
              <w:jc w:val="center"/>
              <w:rPr>
                <w:rFonts w:asciiTheme="minorEastAsia" w:eastAsiaTheme="minorEastAsia" w:hAnsiTheme="minorEastAsia"/>
                <w:color w:val="000000" w:themeColor="text1"/>
                <w:kern w:val="0"/>
                <w:sz w:val="24"/>
              </w:rPr>
            </w:pPr>
            <w:r w:rsidRPr="00593AD2">
              <w:rPr>
                <w:rFonts w:asciiTheme="minorEastAsia" w:eastAsiaTheme="minorEastAsia" w:hAnsiTheme="minorEastAsia" w:hint="eastAsia"/>
                <w:color w:val="000000" w:themeColor="text1"/>
                <w:sz w:val="24"/>
              </w:rPr>
              <w:t>上投摩根天添盈货币E类</w:t>
            </w:r>
          </w:p>
        </w:tc>
      </w:tr>
      <w:tr w:rsidR="00593AD2" w:rsidRPr="00593AD2" w:rsidTr="00F56FBC">
        <w:trPr>
          <w:jc w:val="center"/>
        </w:trPr>
        <w:tc>
          <w:tcPr>
            <w:tcW w:w="3279" w:type="dxa"/>
            <w:vAlign w:val="center"/>
          </w:tcPr>
          <w:p w:rsidR="003A1E1E" w:rsidRPr="00593AD2" w:rsidRDefault="003A1E1E" w:rsidP="00587524">
            <w:pPr>
              <w:autoSpaceDE w:val="0"/>
              <w:autoSpaceDN w:val="0"/>
              <w:adjustRightInd w:val="0"/>
              <w:spacing w:before="29" w:line="360" w:lineRule="auto"/>
              <w:ind w:left="17"/>
              <w:jc w:val="left"/>
              <w:rPr>
                <w:rFonts w:asciiTheme="minorEastAsia" w:eastAsiaTheme="minorEastAsia" w:hAnsiTheme="minorEastAsia"/>
                <w:color w:val="000000" w:themeColor="text1"/>
                <w:kern w:val="0"/>
                <w:sz w:val="24"/>
              </w:rPr>
            </w:pPr>
            <w:r w:rsidRPr="00593AD2">
              <w:rPr>
                <w:rFonts w:asciiTheme="minorEastAsia" w:eastAsiaTheme="minorEastAsia" w:hAnsiTheme="minorEastAsia" w:cs="宋体" w:hint="eastAsia"/>
                <w:color w:val="000000" w:themeColor="text1"/>
                <w:kern w:val="0"/>
                <w:sz w:val="24"/>
              </w:rPr>
              <w:t>本报告期期初基金份额总额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8,643,626,343.41</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316,536,081.84</w:t>
            </w:r>
          </w:p>
        </w:tc>
      </w:tr>
      <w:tr w:rsidR="00593AD2" w:rsidRPr="00593AD2" w:rsidTr="00F56FBC">
        <w:trPr>
          <w:jc w:val="center"/>
        </w:trPr>
        <w:tc>
          <w:tcPr>
            <w:tcW w:w="3279" w:type="dxa"/>
          </w:tcPr>
          <w:p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报告期期间</w:t>
            </w:r>
            <w:r w:rsidRPr="00593AD2">
              <w:rPr>
                <w:rFonts w:ascii="宋体" w:hAnsi="宋体" w:hint="eastAsia"/>
                <w:color w:val="000000" w:themeColor="text1"/>
                <w:sz w:val="24"/>
              </w:rPr>
              <w:t>基金总申购份额</w:t>
            </w:r>
          </w:p>
        </w:tc>
        <w:tc>
          <w:tcPr>
            <w:tcW w:w="2268" w:type="dxa"/>
            <w:vAlign w:val="center"/>
          </w:tcPr>
          <w:p w:rsidR="003A1E1E" w:rsidRPr="00593AD2" w:rsidRDefault="00704607"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430,235,989.75</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207,778,290.09</w:t>
            </w:r>
          </w:p>
        </w:tc>
      </w:tr>
      <w:tr w:rsidR="00593AD2" w:rsidRPr="00593AD2" w:rsidTr="00F56FBC">
        <w:trPr>
          <w:jc w:val="center"/>
        </w:trPr>
        <w:tc>
          <w:tcPr>
            <w:tcW w:w="3279" w:type="dxa"/>
          </w:tcPr>
          <w:p w:rsidR="003A1E1E" w:rsidRPr="00593AD2" w:rsidRDefault="003A1E1E" w:rsidP="006B56E1">
            <w:pPr>
              <w:adjustRightInd w:val="0"/>
              <w:snapToGrid w:val="0"/>
              <w:spacing w:line="340" w:lineRule="exact"/>
              <w:rPr>
                <w:rFonts w:ascii="宋体" w:hAnsi="宋体"/>
                <w:color w:val="000000" w:themeColor="text1"/>
                <w:sz w:val="24"/>
              </w:rPr>
            </w:pPr>
            <w:r w:rsidRPr="00593AD2">
              <w:rPr>
                <w:rFonts w:asciiTheme="minorEastAsia" w:eastAsiaTheme="minorEastAsia" w:hAnsiTheme="minorEastAsia" w:cs="宋体"/>
                <w:color w:val="000000" w:themeColor="text1"/>
                <w:kern w:val="0"/>
                <w:sz w:val="24"/>
              </w:rPr>
              <w:t>报告期期间</w:t>
            </w:r>
            <w:r w:rsidRPr="00593AD2">
              <w:rPr>
                <w:rFonts w:ascii="宋体" w:hAnsi="宋体" w:hint="eastAsia"/>
                <w:color w:val="000000" w:themeColor="text1"/>
                <w:sz w:val="24"/>
              </w:rPr>
              <w:t>基金总赎回份额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1,001,749,305.18</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color w:val="000000" w:themeColor="text1"/>
                <w:sz w:val="24"/>
              </w:rPr>
              <w:t>238,837,012.46</w:t>
            </w:r>
          </w:p>
        </w:tc>
      </w:tr>
      <w:tr w:rsidR="005C0C60" w:rsidRPr="00593AD2" w:rsidTr="005C0C60">
        <w:trPr>
          <w:jc w:val="center"/>
        </w:trPr>
        <w:tc>
          <w:tcPr>
            <w:tcW w:w="3279" w:type="dxa"/>
            <w:vAlign w:val="center"/>
          </w:tcPr>
          <w:p w:rsidR="005C0C60" w:rsidRPr="005C0C60" w:rsidRDefault="005C0C60" w:rsidP="005C0C60">
            <w:pPr>
              <w:autoSpaceDE w:val="0"/>
              <w:autoSpaceDN w:val="0"/>
              <w:adjustRightInd w:val="0"/>
              <w:spacing w:before="29" w:line="360" w:lineRule="auto"/>
              <w:ind w:left="17"/>
              <w:rPr>
                <w:rFonts w:eastAsiaTheme="minorEastAsia"/>
                <w:color w:val="000000" w:themeColor="text1"/>
                <w:kern w:val="0"/>
                <w:sz w:val="24"/>
              </w:rPr>
            </w:pPr>
            <w:r w:rsidRPr="005C0C60">
              <w:rPr>
                <w:rFonts w:asciiTheme="minorEastAsia" w:eastAsiaTheme="minorEastAsia" w:hAnsiTheme="minorEastAsia"/>
                <w:color w:val="000000" w:themeColor="text1"/>
                <w:kern w:val="0"/>
                <w:sz w:val="24"/>
              </w:rPr>
              <w:t>报告期期间</w:t>
            </w:r>
            <w:r w:rsidRPr="005C0C60">
              <w:rPr>
                <w:rFonts w:eastAsiaTheme="minorEastAsia"/>
                <w:color w:val="000000" w:themeColor="text1"/>
                <w:kern w:val="0"/>
                <w:sz w:val="24"/>
              </w:rPr>
              <w:t>基金拆分变动份额</w:t>
            </w:r>
          </w:p>
        </w:tc>
        <w:tc>
          <w:tcPr>
            <w:tcW w:w="2268"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8"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c>
          <w:tcPr>
            <w:tcW w:w="2269" w:type="dxa"/>
            <w:vAlign w:val="center"/>
          </w:tcPr>
          <w:p w:rsidR="005C0C60" w:rsidRPr="005C0C60" w:rsidRDefault="005C0C60" w:rsidP="005C0C60">
            <w:pPr>
              <w:autoSpaceDE w:val="0"/>
              <w:autoSpaceDN w:val="0"/>
              <w:adjustRightInd w:val="0"/>
              <w:spacing w:before="29" w:line="360" w:lineRule="auto"/>
              <w:ind w:left="17"/>
              <w:jc w:val="right"/>
              <w:rPr>
                <w:rFonts w:asciiTheme="minorEastAsia" w:eastAsiaTheme="minorEastAsia" w:hAnsiTheme="minorEastAsia"/>
                <w:color w:val="000000" w:themeColor="text1"/>
                <w:sz w:val="24"/>
              </w:rPr>
            </w:pPr>
            <w:r w:rsidRPr="005C0C60">
              <w:rPr>
                <w:rFonts w:asciiTheme="minorEastAsia" w:eastAsiaTheme="minorEastAsia" w:hAnsiTheme="minorEastAsia"/>
                <w:color w:val="000000" w:themeColor="text1"/>
                <w:sz w:val="24"/>
              </w:rPr>
              <w:t>-</w:t>
            </w:r>
          </w:p>
        </w:tc>
      </w:tr>
      <w:tr w:rsidR="00593AD2" w:rsidRPr="00593AD2" w:rsidTr="00A40052">
        <w:trPr>
          <w:jc w:val="center"/>
        </w:trPr>
        <w:tc>
          <w:tcPr>
            <w:tcW w:w="3279" w:type="dxa"/>
          </w:tcPr>
          <w:p w:rsidR="003A1E1E" w:rsidRPr="00593AD2" w:rsidRDefault="003A1E1E" w:rsidP="00587524">
            <w:pPr>
              <w:adjustRightInd w:val="0"/>
              <w:snapToGrid w:val="0"/>
              <w:spacing w:line="340" w:lineRule="exact"/>
              <w:rPr>
                <w:rFonts w:ascii="宋体" w:hAnsi="宋体"/>
                <w:color w:val="000000" w:themeColor="text1"/>
                <w:sz w:val="24"/>
              </w:rPr>
            </w:pPr>
            <w:r w:rsidRPr="00593AD2">
              <w:rPr>
                <w:rFonts w:ascii="宋体" w:hAnsi="宋体" w:hint="eastAsia"/>
                <w:color w:val="000000" w:themeColor="text1"/>
                <w:sz w:val="24"/>
              </w:rPr>
              <w:t>报告期期末基金份额总额</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8,072,113,027.98</w:t>
            </w:r>
          </w:p>
        </w:tc>
        <w:tc>
          <w:tcPr>
            <w:tcW w:w="2268" w:type="dxa"/>
            <w:vAlign w:val="center"/>
          </w:tcPr>
          <w:p w:rsidR="003A1E1E" w:rsidRPr="00593AD2" w:rsidRDefault="003A1E1E" w:rsidP="00587524">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w:t>
            </w:r>
          </w:p>
        </w:tc>
        <w:tc>
          <w:tcPr>
            <w:tcW w:w="2269" w:type="dxa"/>
            <w:vAlign w:val="center"/>
          </w:tcPr>
          <w:p w:rsidR="003A1E1E" w:rsidRPr="00593AD2" w:rsidRDefault="003A1E1E" w:rsidP="003A1E1E">
            <w:pPr>
              <w:autoSpaceDE w:val="0"/>
              <w:autoSpaceDN w:val="0"/>
              <w:adjustRightInd w:val="0"/>
              <w:spacing w:before="29" w:line="360" w:lineRule="auto"/>
              <w:ind w:left="17"/>
              <w:jc w:val="right"/>
              <w:rPr>
                <w:rFonts w:asciiTheme="minorEastAsia" w:eastAsiaTheme="minorEastAsia" w:hAnsiTheme="minorEastAsia" w:cs="宋体"/>
                <w:color w:val="000000" w:themeColor="text1"/>
                <w:sz w:val="24"/>
              </w:rPr>
            </w:pPr>
            <w:r w:rsidRPr="00593AD2">
              <w:rPr>
                <w:rFonts w:asciiTheme="minorEastAsia" w:eastAsiaTheme="minorEastAsia" w:hAnsiTheme="minorEastAsia" w:cs="宋体" w:hint="eastAsia"/>
                <w:color w:val="000000" w:themeColor="text1"/>
                <w:sz w:val="24"/>
              </w:rPr>
              <w:t>285,477,359.47</w:t>
            </w:r>
          </w:p>
        </w:tc>
      </w:tr>
    </w:tbl>
    <w:p w:rsidR="00D66016" w:rsidRPr="00593AD2" w:rsidRDefault="00D66016"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lastRenderedPageBreak/>
        <w:t xml:space="preserve">§7  </w:t>
      </w:r>
      <w:r w:rsidR="00877329" w:rsidRPr="00593AD2">
        <w:rPr>
          <w:rFonts w:asciiTheme="minorEastAsia" w:eastAsiaTheme="minorEastAsia" w:hAnsiTheme="minorEastAsia" w:cs="Arial" w:hint="eastAsia"/>
          <w:color w:val="000000" w:themeColor="text1"/>
          <w:kern w:val="0"/>
          <w:sz w:val="24"/>
          <w:szCs w:val="24"/>
        </w:rPr>
        <w:t>基金管理人运用固有资金投资本基金交易明细</w:t>
      </w:r>
    </w:p>
    <w:p w:rsidR="000A466F" w:rsidRPr="00593AD2" w:rsidRDefault="000A466F" w:rsidP="000A466F">
      <w:pPr>
        <w:autoSpaceDE w:val="0"/>
        <w:autoSpaceDN w:val="0"/>
        <w:adjustRightInd w:val="0"/>
        <w:spacing w:line="360" w:lineRule="auto"/>
        <w:jc w:val="left"/>
        <w:rPr>
          <w:rFonts w:asciiTheme="minorEastAsia" w:eastAsiaTheme="minorEastAsia" w:hAnsiTheme="minorEastAsia"/>
          <w:color w:val="000000" w:themeColor="text1"/>
          <w:sz w:val="24"/>
        </w:rPr>
      </w:pPr>
      <w:r w:rsidRPr="00593AD2">
        <w:rPr>
          <w:rFonts w:asciiTheme="minorEastAsia" w:eastAsiaTheme="minorEastAsia" w:hAnsiTheme="minorEastAsia"/>
          <w:color w:val="000000" w:themeColor="text1"/>
          <w:sz w:val="24"/>
        </w:rPr>
        <w:t>无。</w:t>
      </w:r>
    </w:p>
    <w:p w:rsidR="009D74FC" w:rsidRPr="00593AD2" w:rsidRDefault="009D74FC" w:rsidP="00631E43">
      <w:pPr>
        <w:pStyle w:val="1"/>
        <w:spacing w:beforeLines="100" w:before="240" w:afterLines="100" w:after="240" w:line="360" w:lineRule="auto"/>
        <w:jc w:val="center"/>
        <w:rPr>
          <w:rFonts w:asciiTheme="minorEastAsia" w:eastAsiaTheme="minorEastAsia" w:hAnsiTheme="minorEastAsia" w:cs="Arial"/>
          <w:color w:val="000000" w:themeColor="text1"/>
          <w:kern w:val="0"/>
          <w:sz w:val="24"/>
          <w:szCs w:val="24"/>
        </w:rPr>
      </w:pPr>
      <w:r w:rsidRPr="00593AD2">
        <w:rPr>
          <w:rFonts w:asciiTheme="minorEastAsia" w:eastAsiaTheme="minorEastAsia" w:hAnsiTheme="minorEastAsia" w:cs="Arial" w:hint="eastAsia"/>
          <w:color w:val="000000" w:themeColor="text1"/>
          <w:kern w:val="0"/>
          <w:sz w:val="24"/>
          <w:szCs w:val="24"/>
        </w:rPr>
        <w:t>§</w:t>
      </w:r>
      <w:r w:rsidR="00DA5831" w:rsidRPr="00593AD2">
        <w:rPr>
          <w:rFonts w:asciiTheme="minorEastAsia" w:eastAsiaTheme="minorEastAsia" w:hAnsiTheme="minorEastAsia" w:cs="Arial" w:hint="eastAsia"/>
          <w:color w:val="000000" w:themeColor="text1"/>
          <w:kern w:val="0"/>
          <w:sz w:val="24"/>
          <w:szCs w:val="24"/>
        </w:rPr>
        <w:t>8</w:t>
      </w:r>
      <w:r w:rsidRPr="00593AD2">
        <w:rPr>
          <w:rFonts w:asciiTheme="minorEastAsia" w:eastAsiaTheme="minorEastAsia" w:hAnsiTheme="minorEastAsia" w:cs="Arial"/>
          <w:color w:val="000000" w:themeColor="text1"/>
          <w:kern w:val="0"/>
          <w:sz w:val="24"/>
          <w:szCs w:val="24"/>
        </w:rPr>
        <w:t>备查文件目录</w:t>
      </w: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8</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1</w:t>
      </w:r>
      <w:r w:rsidR="00AB373C" w:rsidRPr="00593AD2">
        <w:rPr>
          <w:rFonts w:asciiTheme="minorEastAsia" w:eastAsiaTheme="minorEastAsia" w:hAnsiTheme="minorEastAsia" w:hint="eastAsia"/>
          <w:b/>
          <w:bCs/>
          <w:color w:val="000000" w:themeColor="text1"/>
          <w:kern w:val="0"/>
          <w:sz w:val="24"/>
        </w:rPr>
        <w:t>备查文件目录</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1. </w:t>
      </w:r>
      <w:r>
        <w:rPr>
          <w:rFonts w:asciiTheme="minorEastAsia" w:eastAsiaTheme="minorEastAsia" w:hAnsiTheme="minorEastAsia" w:hint="eastAsia"/>
          <w:color w:val="000000" w:themeColor="text1"/>
          <w:sz w:val="24"/>
        </w:rPr>
        <w:t>中国证监会批准上投摩根天添盈货币市场基金设立的文件；</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2. </w:t>
      </w:r>
      <w:r>
        <w:rPr>
          <w:rFonts w:asciiTheme="minorEastAsia" w:eastAsiaTheme="minorEastAsia" w:hAnsiTheme="minorEastAsia" w:hint="eastAsia"/>
          <w:color w:val="000000" w:themeColor="text1"/>
          <w:sz w:val="24"/>
        </w:rPr>
        <w:t>《上投摩根天添盈货币市场基金基金合同》；</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3. </w:t>
      </w:r>
      <w:r>
        <w:rPr>
          <w:rFonts w:asciiTheme="minorEastAsia" w:eastAsiaTheme="minorEastAsia" w:hAnsiTheme="minorEastAsia" w:hint="eastAsia"/>
          <w:color w:val="000000" w:themeColor="text1"/>
          <w:sz w:val="24"/>
        </w:rPr>
        <w:t>《上投摩根天添盈货币市场基金基金托管协议》；</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4. </w:t>
      </w:r>
      <w:r>
        <w:rPr>
          <w:rFonts w:asciiTheme="minorEastAsia" w:eastAsiaTheme="minorEastAsia" w:hAnsiTheme="minorEastAsia" w:hint="eastAsia"/>
          <w:color w:val="000000" w:themeColor="text1"/>
          <w:sz w:val="24"/>
        </w:rPr>
        <w:t>《上投摩根基金管理有限公司开放式基金业务规则》；</w:t>
      </w:r>
    </w:p>
    <w:p w:rsidR="00922320" w:rsidRDefault="002811E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5.  </w:t>
      </w:r>
      <w:r>
        <w:rPr>
          <w:rFonts w:asciiTheme="minorEastAsia" w:eastAsiaTheme="minorEastAsia" w:hAnsiTheme="minorEastAsia" w:hint="eastAsia"/>
          <w:color w:val="000000" w:themeColor="text1"/>
          <w:sz w:val="24"/>
        </w:rPr>
        <w:t>基金管理人业务资格批件、营业执照；</w:t>
      </w:r>
    </w:p>
    <w:p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6.   基金托管人业务资格批件、营业执照。</w:t>
      </w:r>
    </w:p>
    <w:p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8</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2</w:t>
      </w:r>
      <w:r w:rsidR="00AB373C" w:rsidRPr="00593AD2">
        <w:rPr>
          <w:rFonts w:asciiTheme="minorEastAsia" w:eastAsiaTheme="minorEastAsia" w:hAnsiTheme="minorEastAsia" w:hint="eastAsia"/>
          <w:b/>
          <w:bCs/>
          <w:color w:val="000000" w:themeColor="text1"/>
          <w:kern w:val="0"/>
          <w:sz w:val="24"/>
        </w:rPr>
        <w:t>存放地点</w:t>
      </w:r>
    </w:p>
    <w:p w:rsidR="00AB373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基金管理人或基金托管人处。</w:t>
      </w:r>
    </w:p>
    <w:p w:rsidR="00162222" w:rsidRPr="00593AD2" w:rsidRDefault="00162222" w:rsidP="00394BC1">
      <w:pPr>
        <w:spacing w:line="360" w:lineRule="auto"/>
        <w:ind w:firstLineChars="200" w:firstLine="480"/>
        <w:rPr>
          <w:rFonts w:asciiTheme="minorEastAsia" w:eastAsiaTheme="minorEastAsia" w:hAnsiTheme="minorEastAsia"/>
          <w:color w:val="000000" w:themeColor="text1"/>
          <w:sz w:val="24"/>
        </w:rPr>
      </w:pPr>
    </w:p>
    <w:p w:rsidR="00AB373C" w:rsidRPr="00593AD2" w:rsidRDefault="00DA5831" w:rsidP="00394BC1">
      <w:pPr>
        <w:autoSpaceDE w:val="0"/>
        <w:autoSpaceDN w:val="0"/>
        <w:adjustRightInd w:val="0"/>
        <w:spacing w:line="360" w:lineRule="auto"/>
        <w:jc w:val="left"/>
        <w:rPr>
          <w:rFonts w:asciiTheme="minorEastAsia" w:eastAsiaTheme="minorEastAsia" w:hAnsiTheme="minorEastAsia"/>
          <w:b/>
          <w:bCs/>
          <w:color w:val="000000" w:themeColor="text1"/>
          <w:kern w:val="0"/>
          <w:sz w:val="24"/>
        </w:rPr>
      </w:pPr>
      <w:r w:rsidRPr="00593AD2">
        <w:rPr>
          <w:rFonts w:asciiTheme="minorEastAsia" w:eastAsiaTheme="minorEastAsia" w:hAnsiTheme="minorEastAsia" w:cs="Arial" w:hint="eastAsia"/>
          <w:b/>
          <w:color w:val="000000" w:themeColor="text1"/>
          <w:kern w:val="0"/>
          <w:sz w:val="24"/>
        </w:rPr>
        <w:t>8</w:t>
      </w:r>
      <w:r w:rsidR="00AB373C" w:rsidRPr="00593AD2">
        <w:rPr>
          <w:rFonts w:asciiTheme="minorEastAsia" w:eastAsiaTheme="minorEastAsia" w:hAnsiTheme="minorEastAsia"/>
          <w:b/>
          <w:bCs/>
          <w:color w:val="000000" w:themeColor="text1"/>
          <w:kern w:val="0"/>
          <w:sz w:val="24"/>
        </w:rPr>
        <w:t>.</w:t>
      </w:r>
      <w:r w:rsidR="00F1658B" w:rsidRPr="00593AD2">
        <w:rPr>
          <w:rFonts w:asciiTheme="minorEastAsia" w:eastAsiaTheme="minorEastAsia" w:hAnsiTheme="minorEastAsia"/>
          <w:b/>
          <w:bCs/>
          <w:color w:val="000000" w:themeColor="text1"/>
          <w:kern w:val="0"/>
          <w:sz w:val="24"/>
        </w:rPr>
        <w:t>3</w:t>
      </w:r>
      <w:r w:rsidR="00AB373C" w:rsidRPr="00593AD2">
        <w:rPr>
          <w:rFonts w:asciiTheme="minorEastAsia" w:eastAsiaTheme="minorEastAsia" w:hAnsiTheme="minorEastAsia" w:hint="eastAsia"/>
          <w:b/>
          <w:bCs/>
          <w:color w:val="000000" w:themeColor="text1"/>
          <w:kern w:val="0"/>
          <w:sz w:val="24"/>
        </w:rPr>
        <w:t>查阅方式</w:t>
      </w:r>
    </w:p>
    <w:p w:rsidR="009D74FC" w:rsidRPr="00593AD2" w:rsidRDefault="00AB373C" w:rsidP="00394BC1">
      <w:pPr>
        <w:spacing w:line="360" w:lineRule="auto"/>
        <w:ind w:firstLineChars="200" w:firstLine="480"/>
        <w:rPr>
          <w:rFonts w:asciiTheme="minorEastAsia" w:eastAsiaTheme="minorEastAsia" w:hAnsiTheme="minorEastAsia"/>
          <w:color w:val="000000" w:themeColor="text1"/>
          <w:sz w:val="24"/>
        </w:rPr>
      </w:pPr>
      <w:r w:rsidRPr="00593AD2">
        <w:rPr>
          <w:rFonts w:asciiTheme="minorEastAsia" w:eastAsiaTheme="minorEastAsia" w:hAnsiTheme="minorEastAsia" w:hint="eastAsia"/>
          <w:color w:val="000000" w:themeColor="text1"/>
          <w:sz w:val="24"/>
        </w:rPr>
        <w:t>投资者可在营业时间免费查阅，也可按工本费购买复印件。</w:t>
      </w:r>
    </w:p>
    <w:p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rsidR="00162222" w:rsidRPr="00593AD2" w:rsidRDefault="00162222"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94BC1" w:rsidRPr="00593AD2" w:rsidRDefault="00394BC1" w:rsidP="004527E3">
      <w:pPr>
        <w:spacing w:line="360" w:lineRule="auto"/>
        <w:ind w:firstLineChars="200" w:firstLine="480"/>
        <w:rPr>
          <w:rFonts w:asciiTheme="minorEastAsia" w:eastAsiaTheme="minorEastAsia" w:hAnsiTheme="minorEastAsia"/>
          <w:color w:val="000000" w:themeColor="text1"/>
          <w:sz w:val="24"/>
        </w:rPr>
      </w:pPr>
    </w:p>
    <w:p w:rsidR="003B6DC6" w:rsidRPr="00593AD2" w:rsidRDefault="003B6DC6" w:rsidP="00196812">
      <w:pPr>
        <w:spacing w:line="360" w:lineRule="auto"/>
        <w:ind w:left="840"/>
        <w:jc w:val="right"/>
        <w:rPr>
          <w:rFonts w:asciiTheme="minorEastAsia" w:eastAsiaTheme="minorEastAsia" w:hAnsiTheme="minorEastAsia"/>
          <w:color w:val="000000" w:themeColor="text1"/>
          <w:sz w:val="24"/>
        </w:rPr>
      </w:pPr>
    </w:p>
    <w:p w:rsidR="002611C3" w:rsidRPr="00593AD2" w:rsidRDefault="002611C3"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上投摩根基金管理有限公司</w:t>
      </w:r>
    </w:p>
    <w:p w:rsidR="003B6DC6" w:rsidRPr="00593AD2" w:rsidRDefault="00D87D00" w:rsidP="00394BC1">
      <w:pPr>
        <w:spacing w:line="360" w:lineRule="auto"/>
        <w:jc w:val="right"/>
        <w:rPr>
          <w:rFonts w:asciiTheme="minorEastAsia" w:eastAsiaTheme="minorEastAsia" w:hAnsiTheme="minorEastAsia"/>
          <w:b/>
          <w:bCs/>
          <w:color w:val="000000" w:themeColor="text1"/>
          <w:sz w:val="24"/>
        </w:rPr>
      </w:pPr>
      <w:r w:rsidRPr="00593AD2">
        <w:rPr>
          <w:rFonts w:asciiTheme="minorEastAsia" w:eastAsiaTheme="minorEastAsia" w:hAnsiTheme="minorEastAsia"/>
          <w:b/>
          <w:bCs/>
          <w:color w:val="000000" w:themeColor="text1"/>
          <w:sz w:val="24"/>
        </w:rPr>
        <w:t>二〇二一年七月二十一日</w:t>
      </w:r>
    </w:p>
    <w:sectPr w:rsidR="003B6DC6" w:rsidRPr="00593AD2" w:rsidSect="00075BBB">
      <w:pgSz w:w="11926" w:h="15840"/>
      <w:pgMar w:top="1420" w:right="1420" w:bottom="852" w:left="1420" w:header="851" w:footer="99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5A42" w:rsidRDefault="00B15A42">
      <w:r>
        <w:separator/>
      </w:r>
    </w:p>
  </w:endnote>
  <w:endnote w:type="continuationSeparator" w:id="0">
    <w:p w:rsidR="00B15A42" w:rsidRDefault="00B15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5D" w:rsidRPr="001D0DB0" w:rsidRDefault="00025C5D" w:rsidP="001D0DB0">
    <w:pPr>
      <w:pStyle w:val="a6"/>
      <w:jc w:val="center"/>
    </w:pPr>
    <w:r>
      <w:rPr>
        <w:rFonts w:hint="eastAsia"/>
        <w:kern w:val="0"/>
        <w:szCs w:val="21"/>
      </w:rPr>
      <w:t>第</w:t>
    </w:r>
    <w:r w:rsidR="00DE59DF">
      <w:rPr>
        <w:kern w:val="0"/>
        <w:szCs w:val="21"/>
      </w:rPr>
      <w:fldChar w:fldCharType="begin"/>
    </w:r>
    <w:r>
      <w:rPr>
        <w:kern w:val="0"/>
        <w:szCs w:val="21"/>
      </w:rPr>
      <w:instrText xml:space="preserve"> PAGE </w:instrText>
    </w:r>
    <w:r w:rsidR="00DE59DF">
      <w:rPr>
        <w:kern w:val="0"/>
        <w:szCs w:val="21"/>
      </w:rPr>
      <w:fldChar w:fldCharType="separate"/>
    </w:r>
    <w:r w:rsidR="002811EB">
      <w:rPr>
        <w:noProof/>
        <w:kern w:val="0"/>
        <w:szCs w:val="21"/>
      </w:rPr>
      <w:t>1</w:t>
    </w:r>
    <w:r w:rsidR="00DE59DF">
      <w:rPr>
        <w:kern w:val="0"/>
        <w:szCs w:val="21"/>
      </w:rPr>
      <w:fldChar w:fldCharType="end"/>
    </w:r>
    <w:r>
      <w:rPr>
        <w:rFonts w:hint="eastAsia"/>
        <w:kern w:val="0"/>
        <w:szCs w:val="21"/>
      </w:rPr>
      <w:t>页共</w:t>
    </w:r>
    <w:r w:rsidR="00DE59DF">
      <w:rPr>
        <w:kern w:val="0"/>
        <w:szCs w:val="21"/>
      </w:rPr>
      <w:fldChar w:fldCharType="begin"/>
    </w:r>
    <w:r>
      <w:rPr>
        <w:kern w:val="0"/>
        <w:szCs w:val="21"/>
      </w:rPr>
      <w:instrText xml:space="preserve"> NUMPAGES </w:instrText>
    </w:r>
    <w:r w:rsidR="00DE59DF">
      <w:rPr>
        <w:kern w:val="0"/>
        <w:szCs w:val="21"/>
      </w:rPr>
      <w:fldChar w:fldCharType="separate"/>
    </w:r>
    <w:r w:rsidR="002811EB">
      <w:rPr>
        <w:noProof/>
        <w:kern w:val="0"/>
        <w:szCs w:val="21"/>
      </w:rPr>
      <w:t>16</w:t>
    </w:r>
    <w:r w:rsidR="00DE59D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5A42" w:rsidRDefault="00B15A42">
      <w:r>
        <w:separator/>
      </w:r>
    </w:p>
  </w:footnote>
  <w:footnote w:type="continuationSeparator" w:id="0">
    <w:p w:rsidR="00B15A42" w:rsidRDefault="00B15A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C5D" w:rsidRDefault="00025C5D" w:rsidP="008379E2">
    <w:pPr>
      <w:pStyle w:val="a4"/>
      <w:pBdr>
        <w:bottom w:val="single" w:sz="6" w:space="0" w:color="auto"/>
      </w:pBdr>
      <w:jc w:val="right"/>
    </w:pPr>
    <w:r>
      <w:rPr>
        <w:sz w:val="21"/>
        <w:szCs w:val="21"/>
      </w:rPr>
      <w:t>上投摩根天添盈货币市场基金</w:t>
    </w:r>
    <w:r>
      <w:rPr>
        <w:sz w:val="21"/>
        <w:szCs w:val="21"/>
      </w:rPr>
      <w:t>2021</w:t>
    </w:r>
    <w:r>
      <w:rPr>
        <w:sz w:val="21"/>
        <w:szCs w:val="21"/>
      </w:rPr>
      <w:t>年第</w:t>
    </w:r>
    <w:r>
      <w:rPr>
        <w:sz w:val="21"/>
        <w:szCs w:val="21"/>
      </w:rPr>
      <w:t>2</w:t>
    </w:r>
    <w:r>
      <w:rPr>
        <w:sz w:val="21"/>
        <w:szCs w:val="21"/>
      </w:rPr>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1" w15:restartNumberingAfterBreak="0">
    <w:nsid w:val="76E15721"/>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1552D"/>
    <w:rsid w:val="0001566B"/>
    <w:rsid w:val="0002085F"/>
    <w:rsid w:val="00025C5D"/>
    <w:rsid w:val="00035596"/>
    <w:rsid w:val="000417E0"/>
    <w:rsid w:val="00044724"/>
    <w:rsid w:val="0004699A"/>
    <w:rsid w:val="00052CA4"/>
    <w:rsid w:val="00054470"/>
    <w:rsid w:val="0005518A"/>
    <w:rsid w:val="000570EB"/>
    <w:rsid w:val="00057D26"/>
    <w:rsid w:val="00063BA4"/>
    <w:rsid w:val="0006697D"/>
    <w:rsid w:val="00070092"/>
    <w:rsid w:val="0007109E"/>
    <w:rsid w:val="00072602"/>
    <w:rsid w:val="00075BBB"/>
    <w:rsid w:val="00075CA2"/>
    <w:rsid w:val="0007770D"/>
    <w:rsid w:val="000A225E"/>
    <w:rsid w:val="000A39AB"/>
    <w:rsid w:val="000A466F"/>
    <w:rsid w:val="000B2044"/>
    <w:rsid w:val="000B2266"/>
    <w:rsid w:val="000C469F"/>
    <w:rsid w:val="000D0F44"/>
    <w:rsid w:val="000D6294"/>
    <w:rsid w:val="000E0F6E"/>
    <w:rsid w:val="000F3C21"/>
    <w:rsid w:val="000F4826"/>
    <w:rsid w:val="000F5947"/>
    <w:rsid w:val="00101278"/>
    <w:rsid w:val="00102307"/>
    <w:rsid w:val="001038EF"/>
    <w:rsid w:val="00103B93"/>
    <w:rsid w:val="001074D6"/>
    <w:rsid w:val="00113777"/>
    <w:rsid w:val="00114C97"/>
    <w:rsid w:val="001302DB"/>
    <w:rsid w:val="00136502"/>
    <w:rsid w:val="001539FE"/>
    <w:rsid w:val="00157B55"/>
    <w:rsid w:val="00162222"/>
    <w:rsid w:val="001635C7"/>
    <w:rsid w:val="001669F2"/>
    <w:rsid w:val="0016721A"/>
    <w:rsid w:val="0018401C"/>
    <w:rsid w:val="00185622"/>
    <w:rsid w:val="00186667"/>
    <w:rsid w:val="00191B28"/>
    <w:rsid w:val="00193BCF"/>
    <w:rsid w:val="00195C6F"/>
    <w:rsid w:val="00196812"/>
    <w:rsid w:val="00197ED0"/>
    <w:rsid w:val="001A2524"/>
    <w:rsid w:val="001B42BE"/>
    <w:rsid w:val="001B72D6"/>
    <w:rsid w:val="001B7CC6"/>
    <w:rsid w:val="001C5D80"/>
    <w:rsid w:val="001D0D4C"/>
    <w:rsid w:val="001D0DB0"/>
    <w:rsid w:val="001D3FAC"/>
    <w:rsid w:val="001D65C8"/>
    <w:rsid w:val="001D6ECD"/>
    <w:rsid w:val="001D75D9"/>
    <w:rsid w:val="001F0286"/>
    <w:rsid w:val="001F5907"/>
    <w:rsid w:val="0020640F"/>
    <w:rsid w:val="0021251E"/>
    <w:rsid w:val="00220437"/>
    <w:rsid w:val="00232095"/>
    <w:rsid w:val="00233014"/>
    <w:rsid w:val="0024424F"/>
    <w:rsid w:val="002507FE"/>
    <w:rsid w:val="002525C7"/>
    <w:rsid w:val="002611C3"/>
    <w:rsid w:val="002622E8"/>
    <w:rsid w:val="00267283"/>
    <w:rsid w:val="00274FAC"/>
    <w:rsid w:val="002811EB"/>
    <w:rsid w:val="002A4B7F"/>
    <w:rsid w:val="002B45A4"/>
    <w:rsid w:val="002D3ADF"/>
    <w:rsid w:val="002E040C"/>
    <w:rsid w:val="002E0F4A"/>
    <w:rsid w:val="002F0E9D"/>
    <w:rsid w:val="002F1496"/>
    <w:rsid w:val="002F6539"/>
    <w:rsid w:val="00307062"/>
    <w:rsid w:val="00311ADA"/>
    <w:rsid w:val="00311AEB"/>
    <w:rsid w:val="00322B07"/>
    <w:rsid w:val="0032323A"/>
    <w:rsid w:val="00323377"/>
    <w:rsid w:val="00327FB0"/>
    <w:rsid w:val="0033599F"/>
    <w:rsid w:val="00340292"/>
    <w:rsid w:val="00340456"/>
    <w:rsid w:val="00340C3A"/>
    <w:rsid w:val="00343648"/>
    <w:rsid w:val="00343AF0"/>
    <w:rsid w:val="00346359"/>
    <w:rsid w:val="00346B82"/>
    <w:rsid w:val="0035022C"/>
    <w:rsid w:val="0035215C"/>
    <w:rsid w:val="00362E2A"/>
    <w:rsid w:val="00371E26"/>
    <w:rsid w:val="00373AAB"/>
    <w:rsid w:val="00383631"/>
    <w:rsid w:val="00384942"/>
    <w:rsid w:val="0039077A"/>
    <w:rsid w:val="00394455"/>
    <w:rsid w:val="00394BC1"/>
    <w:rsid w:val="00395D2C"/>
    <w:rsid w:val="003A0EC1"/>
    <w:rsid w:val="003A1E1E"/>
    <w:rsid w:val="003B36B4"/>
    <w:rsid w:val="003B6DC6"/>
    <w:rsid w:val="003C0E8C"/>
    <w:rsid w:val="003C1137"/>
    <w:rsid w:val="003C495A"/>
    <w:rsid w:val="003D1ECF"/>
    <w:rsid w:val="003D21F4"/>
    <w:rsid w:val="003E14FE"/>
    <w:rsid w:val="003E565B"/>
    <w:rsid w:val="003F43EB"/>
    <w:rsid w:val="00402654"/>
    <w:rsid w:val="00403ED2"/>
    <w:rsid w:val="004250C5"/>
    <w:rsid w:val="00425438"/>
    <w:rsid w:val="00433C1E"/>
    <w:rsid w:val="004369B0"/>
    <w:rsid w:val="00440828"/>
    <w:rsid w:val="0044257C"/>
    <w:rsid w:val="00446474"/>
    <w:rsid w:val="004527E3"/>
    <w:rsid w:val="00452D31"/>
    <w:rsid w:val="00455AA7"/>
    <w:rsid w:val="00460000"/>
    <w:rsid w:val="00461A70"/>
    <w:rsid w:val="004702DF"/>
    <w:rsid w:val="00470F55"/>
    <w:rsid w:val="00471444"/>
    <w:rsid w:val="00473E10"/>
    <w:rsid w:val="00473EC9"/>
    <w:rsid w:val="00474896"/>
    <w:rsid w:val="004771B9"/>
    <w:rsid w:val="004950A3"/>
    <w:rsid w:val="00496B2E"/>
    <w:rsid w:val="004A0C6B"/>
    <w:rsid w:val="004A2432"/>
    <w:rsid w:val="004A357E"/>
    <w:rsid w:val="004A46A0"/>
    <w:rsid w:val="004A5B68"/>
    <w:rsid w:val="004B1C09"/>
    <w:rsid w:val="004C5B7C"/>
    <w:rsid w:val="004D22E1"/>
    <w:rsid w:val="004D51CC"/>
    <w:rsid w:val="004D72C7"/>
    <w:rsid w:val="004E041A"/>
    <w:rsid w:val="004E3452"/>
    <w:rsid w:val="004E4E63"/>
    <w:rsid w:val="00500487"/>
    <w:rsid w:val="00506EF6"/>
    <w:rsid w:val="005109AB"/>
    <w:rsid w:val="005141F5"/>
    <w:rsid w:val="0051505A"/>
    <w:rsid w:val="00515166"/>
    <w:rsid w:val="0051578D"/>
    <w:rsid w:val="005212AE"/>
    <w:rsid w:val="00532457"/>
    <w:rsid w:val="00532749"/>
    <w:rsid w:val="00533490"/>
    <w:rsid w:val="0054464B"/>
    <w:rsid w:val="00546747"/>
    <w:rsid w:val="0054785C"/>
    <w:rsid w:val="00555883"/>
    <w:rsid w:val="00560F94"/>
    <w:rsid w:val="005633AD"/>
    <w:rsid w:val="00564C24"/>
    <w:rsid w:val="00570F8C"/>
    <w:rsid w:val="00575970"/>
    <w:rsid w:val="00582960"/>
    <w:rsid w:val="00592D0A"/>
    <w:rsid w:val="00593AD2"/>
    <w:rsid w:val="00594DCA"/>
    <w:rsid w:val="00595285"/>
    <w:rsid w:val="005A60B7"/>
    <w:rsid w:val="005B527B"/>
    <w:rsid w:val="005C0C60"/>
    <w:rsid w:val="005D1BAF"/>
    <w:rsid w:val="005D596C"/>
    <w:rsid w:val="005D6807"/>
    <w:rsid w:val="005E05CC"/>
    <w:rsid w:val="005E2087"/>
    <w:rsid w:val="005E4C7D"/>
    <w:rsid w:val="005E6FA5"/>
    <w:rsid w:val="005F17EC"/>
    <w:rsid w:val="005F41D2"/>
    <w:rsid w:val="005F668B"/>
    <w:rsid w:val="005F6B28"/>
    <w:rsid w:val="00613327"/>
    <w:rsid w:val="006214E4"/>
    <w:rsid w:val="006254A5"/>
    <w:rsid w:val="006317E8"/>
    <w:rsid w:val="00631E43"/>
    <w:rsid w:val="0063302E"/>
    <w:rsid w:val="00633177"/>
    <w:rsid w:val="006331F2"/>
    <w:rsid w:val="00636261"/>
    <w:rsid w:val="00636B17"/>
    <w:rsid w:val="0064191E"/>
    <w:rsid w:val="00664834"/>
    <w:rsid w:val="00672BEF"/>
    <w:rsid w:val="00673BA5"/>
    <w:rsid w:val="006911A1"/>
    <w:rsid w:val="006A0876"/>
    <w:rsid w:val="006A1E40"/>
    <w:rsid w:val="006A2D00"/>
    <w:rsid w:val="006B4C67"/>
    <w:rsid w:val="006B4FD5"/>
    <w:rsid w:val="006B56E1"/>
    <w:rsid w:val="006D27DD"/>
    <w:rsid w:val="006D4647"/>
    <w:rsid w:val="006D4C22"/>
    <w:rsid w:val="006E4EB5"/>
    <w:rsid w:val="006F1C55"/>
    <w:rsid w:val="006F3CEE"/>
    <w:rsid w:val="006F58CA"/>
    <w:rsid w:val="006F622C"/>
    <w:rsid w:val="00704607"/>
    <w:rsid w:val="00707CB2"/>
    <w:rsid w:val="00710487"/>
    <w:rsid w:val="00714B3D"/>
    <w:rsid w:val="00714FD1"/>
    <w:rsid w:val="007277D1"/>
    <w:rsid w:val="00727EA0"/>
    <w:rsid w:val="0073105A"/>
    <w:rsid w:val="00734B8E"/>
    <w:rsid w:val="00737060"/>
    <w:rsid w:val="00741288"/>
    <w:rsid w:val="0074455F"/>
    <w:rsid w:val="00746FAF"/>
    <w:rsid w:val="007521F9"/>
    <w:rsid w:val="00756489"/>
    <w:rsid w:val="00756EA2"/>
    <w:rsid w:val="00757F37"/>
    <w:rsid w:val="007600BC"/>
    <w:rsid w:val="00762326"/>
    <w:rsid w:val="00762E87"/>
    <w:rsid w:val="00764CF7"/>
    <w:rsid w:val="007723FD"/>
    <w:rsid w:val="00772687"/>
    <w:rsid w:val="00774E1E"/>
    <w:rsid w:val="00780252"/>
    <w:rsid w:val="007806BE"/>
    <w:rsid w:val="00782061"/>
    <w:rsid w:val="00783AD8"/>
    <w:rsid w:val="00785897"/>
    <w:rsid w:val="00785C32"/>
    <w:rsid w:val="007A3F82"/>
    <w:rsid w:val="007B082A"/>
    <w:rsid w:val="007B1C3E"/>
    <w:rsid w:val="007C42E5"/>
    <w:rsid w:val="007E0C02"/>
    <w:rsid w:val="007E5ADE"/>
    <w:rsid w:val="007F1DE3"/>
    <w:rsid w:val="007F7BD7"/>
    <w:rsid w:val="0080026E"/>
    <w:rsid w:val="008011BF"/>
    <w:rsid w:val="008056FA"/>
    <w:rsid w:val="00810ECA"/>
    <w:rsid w:val="008115B6"/>
    <w:rsid w:val="00813897"/>
    <w:rsid w:val="00814461"/>
    <w:rsid w:val="00824D84"/>
    <w:rsid w:val="00825EA5"/>
    <w:rsid w:val="00833555"/>
    <w:rsid w:val="008347B3"/>
    <w:rsid w:val="00834D9F"/>
    <w:rsid w:val="00835BDD"/>
    <w:rsid w:val="008379E2"/>
    <w:rsid w:val="00852119"/>
    <w:rsid w:val="0085498E"/>
    <w:rsid w:val="0086245E"/>
    <w:rsid w:val="00877329"/>
    <w:rsid w:val="00880EE6"/>
    <w:rsid w:val="00882323"/>
    <w:rsid w:val="00893021"/>
    <w:rsid w:val="008B23BD"/>
    <w:rsid w:val="008C579A"/>
    <w:rsid w:val="008D0A39"/>
    <w:rsid w:val="008D55F2"/>
    <w:rsid w:val="008E4638"/>
    <w:rsid w:val="008E71D2"/>
    <w:rsid w:val="008F44F3"/>
    <w:rsid w:val="009004F7"/>
    <w:rsid w:val="00902E3F"/>
    <w:rsid w:val="00903E98"/>
    <w:rsid w:val="00903F06"/>
    <w:rsid w:val="00906C9B"/>
    <w:rsid w:val="00910FB5"/>
    <w:rsid w:val="00911C0E"/>
    <w:rsid w:val="009153D7"/>
    <w:rsid w:val="00922320"/>
    <w:rsid w:val="009223B5"/>
    <w:rsid w:val="00924D28"/>
    <w:rsid w:val="00927F83"/>
    <w:rsid w:val="0094213C"/>
    <w:rsid w:val="0094236C"/>
    <w:rsid w:val="00943AFD"/>
    <w:rsid w:val="0097021E"/>
    <w:rsid w:val="00971C19"/>
    <w:rsid w:val="00971D35"/>
    <w:rsid w:val="00973773"/>
    <w:rsid w:val="00976A1A"/>
    <w:rsid w:val="00984794"/>
    <w:rsid w:val="0099296A"/>
    <w:rsid w:val="009965A5"/>
    <w:rsid w:val="009A56D7"/>
    <w:rsid w:val="009A755D"/>
    <w:rsid w:val="009B15FD"/>
    <w:rsid w:val="009B2693"/>
    <w:rsid w:val="009B3C3F"/>
    <w:rsid w:val="009B73A7"/>
    <w:rsid w:val="009B7B0C"/>
    <w:rsid w:val="009C1A42"/>
    <w:rsid w:val="009D19C1"/>
    <w:rsid w:val="009D60EB"/>
    <w:rsid w:val="009D74FC"/>
    <w:rsid w:val="009E07F4"/>
    <w:rsid w:val="009E2527"/>
    <w:rsid w:val="009E2BAA"/>
    <w:rsid w:val="009E3E0B"/>
    <w:rsid w:val="009F1592"/>
    <w:rsid w:val="009F480F"/>
    <w:rsid w:val="00A01505"/>
    <w:rsid w:val="00A01DDC"/>
    <w:rsid w:val="00A1530B"/>
    <w:rsid w:val="00A16747"/>
    <w:rsid w:val="00A16D78"/>
    <w:rsid w:val="00A24DC0"/>
    <w:rsid w:val="00A42A96"/>
    <w:rsid w:val="00A455A0"/>
    <w:rsid w:val="00A457E5"/>
    <w:rsid w:val="00A50D92"/>
    <w:rsid w:val="00A608C4"/>
    <w:rsid w:val="00A62DD4"/>
    <w:rsid w:val="00A65A66"/>
    <w:rsid w:val="00A7219D"/>
    <w:rsid w:val="00A805BC"/>
    <w:rsid w:val="00A8086F"/>
    <w:rsid w:val="00A80F9F"/>
    <w:rsid w:val="00A81075"/>
    <w:rsid w:val="00A87550"/>
    <w:rsid w:val="00A95FA9"/>
    <w:rsid w:val="00AA5B03"/>
    <w:rsid w:val="00AA68D4"/>
    <w:rsid w:val="00AB24CA"/>
    <w:rsid w:val="00AB373C"/>
    <w:rsid w:val="00AB5159"/>
    <w:rsid w:val="00AC2B47"/>
    <w:rsid w:val="00AC3D9E"/>
    <w:rsid w:val="00AC6C3D"/>
    <w:rsid w:val="00AD1ADB"/>
    <w:rsid w:val="00AE17F1"/>
    <w:rsid w:val="00AE2FB9"/>
    <w:rsid w:val="00AE342F"/>
    <w:rsid w:val="00AE4F96"/>
    <w:rsid w:val="00AE6D9A"/>
    <w:rsid w:val="00AE7435"/>
    <w:rsid w:val="00AF2397"/>
    <w:rsid w:val="00AF27F9"/>
    <w:rsid w:val="00AF3D19"/>
    <w:rsid w:val="00B040BC"/>
    <w:rsid w:val="00B0441A"/>
    <w:rsid w:val="00B044FC"/>
    <w:rsid w:val="00B06458"/>
    <w:rsid w:val="00B15A42"/>
    <w:rsid w:val="00B213AC"/>
    <w:rsid w:val="00B25119"/>
    <w:rsid w:val="00B27004"/>
    <w:rsid w:val="00B33F45"/>
    <w:rsid w:val="00B33FA5"/>
    <w:rsid w:val="00B415B8"/>
    <w:rsid w:val="00B420AC"/>
    <w:rsid w:val="00B4354A"/>
    <w:rsid w:val="00B54CC5"/>
    <w:rsid w:val="00B60E27"/>
    <w:rsid w:val="00B64D62"/>
    <w:rsid w:val="00B6626F"/>
    <w:rsid w:val="00B83944"/>
    <w:rsid w:val="00B94B49"/>
    <w:rsid w:val="00BA7AF1"/>
    <w:rsid w:val="00BB03CC"/>
    <w:rsid w:val="00BB252C"/>
    <w:rsid w:val="00BB5126"/>
    <w:rsid w:val="00BB735C"/>
    <w:rsid w:val="00BB7518"/>
    <w:rsid w:val="00BC0205"/>
    <w:rsid w:val="00BC14F5"/>
    <w:rsid w:val="00BC2146"/>
    <w:rsid w:val="00BD6918"/>
    <w:rsid w:val="00BE1FC8"/>
    <w:rsid w:val="00BE439F"/>
    <w:rsid w:val="00BE5584"/>
    <w:rsid w:val="00BF1111"/>
    <w:rsid w:val="00BF3886"/>
    <w:rsid w:val="00C009AF"/>
    <w:rsid w:val="00C2005E"/>
    <w:rsid w:val="00C205E4"/>
    <w:rsid w:val="00C262B2"/>
    <w:rsid w:val="00C2782D"/>
    <w:rsid w:val="00C3040F"/>
    <w:rsid w:val="00C31708"/>
    <w:rsid w:val="00C36C15"/>
    <w:rsid w:val="00C4213A"/>
    <w:rsid w:val="00C4371A"/>
    <w:rsid w:val="00C4627A"/>
    <w:rsid w:val="00C637D1"/>
    <w:rsid w:val="00C640B8"/>
    <w:rsid w:val="00C7033B"/>
    <w:rsid w:val="00C75870"/>
    <w:rsid w:val="00C83157"/>
    <w:rsid w:val="00C916DD"/>
    <w:rsid w:val="00C927D5"/>
    <w:rsid w:val="00CA0730"/>
    <w:rsid w:val="00CA1C04"/>
    <w:rsid w:val="00CA3808"/>
    <w:rsid w:val="00CA592F"/>
    <w:rsid w:val="00CA65DD"/>
    <w:rsid w:val="00CB0E8A"/>
    <w:rsid w:val="00CC05B9"/>
    <w:rsid w:val="00CC3F83"/>
    <w:rsid w:val="00CC57FC"/>
    <w:rsid w:val="00CC7DB0"/>
    <w:rsid w:val="00CD5F24"/>
    <w:rsid w:val="00CE0E18"/>
    <w:rsid w:val="00CE193A"/>
    <w:rsid w:val="00CE5ABB"/>
    <w:rsid w:val="00CE6A71"/>
    <w:rsid w:val="00CF6DF0"/>
    <w:rsid w:val="00CF7E28"/>
    <w:rsid w:val="00D02B35"/>
    <w:rsid w:val="00D06255"/>
    <w:rsid w:val="00D15D82"/>
    <w:rsid w:val="00D1705E"/>
    <w:rsid w:val="00D20E97"/>
    <w:rsid w:val="00D25602"/>
    <w:rsid w:val="00D272EB"/>
    <w:rsid w:val="00D30BD3"/>
    <w:rsid w:val="00D33791"/>
    <w:rsid w:val="00D33BA8"/>
    <w:rsid w:val="00D364EB"/>
    <w:rsid w:val="00D40363"/>
    <w:rsid w:val="00D451BC"/>
    <w:rsid w:val="00D51E96"/>
    <w:rsid w:val="00D568BB"/>
    <w:rsid w:val="00D63B9E"/>
    <w:rsid w:val="00D65D90"/>
    <w:rsid w:val="00D66016"/>
    <w:rsid w:val="00D769BA"/>
    <w:rsid w:val="00D8034F"/>
    <w:rsid w:val="00D81755"/>
    <w:rsid w:val="00D8617C"/>
    <w:rsid w:val="00D87D00"/>
    <w:rsid w:val="00D94E23"/>
    <w:rsid w:val="00DA1983"/>
    <w:rsid w:val="00DA2F1E"/>
    <w:rsid w:val="00DA5831"/>
    <w:rsid w:val="00DB2873"/>
    <w:rsid w:val="00DC2192"/>
    <w:rsid w:val="00DC4482"/>
    <w:rsid w:val="00DD5028"/>
    <w:rsid w:val="00DE59DF"/>
    <w:rsid w:val="00DF1198"/>
    <w:rsid w:val="00E009CD"/>
    <w:rsid w:val="00E12082"/>
    <w:rsid w:val="00E13C0E"/>
    <w:rsid w:val="00E17226"/>
    <w:rsid w:val="00E17870"/>
    <w:rsid w:val="00E21589"/>
    <w:rsid w:val="00E24D9E"/>
    <w:rsid w:val="00E257C8"/>
    <w:rsid w:val="00E26581"/>
    <w:rsid w:val="00E2722E"/>
    <w:rsid w:val="00E3447D"/>
    <w:rsid w:val="00E431CE"/>
    <w:rsid w:val="00E445F8"/>
    <w:rsid w:val="00E503E4"/>
    <w:rsid w:val="00E55E02"/>
    <w:rsid w:val="00E571C4"/>
    <w:rsid w:val="00E63B3D"/>
    <w:rsid w:val="00E64479"/>
    <w:rsid w:val="00E65A8C"/>
    <w:rsid w:val="00E67D99"/>
    <w:rsid w:val="00E75556"/>
    <w:rsid w:val="00E75EFA"/>
    <w:rsid w:val="00E76F1F"/>
    <w:rsid w:val="00E80BE2"/>
    <w:rsid w:val="00E8309D"/>
    <w:rsid w:val="00E90A9C"/>
    <w:rsid w:val="00E9326F"/>
    <w:rsid w:val="00E93AA5"/>
    <w:rsid w:val="00E95356"/>
    <w:rsid w:val="00E966E5"/>
    <w:rsid w:val="00EA3D96"/>
    <w:rsid w:val="00EA6B69"/>
    <w:rsid w:val="00EA6B7B"/>
    <w:rsid w:val="00EB25E4"/>
    <w:rsid w:val="00EB3D8B"/>
    <w:rsid w:val="00ED1B77"/>
    <w:rsid w:val="00ED5511"/>
    <w:rsid w:val="00ED57D1"/>
    <w:rsid w:val="00EF3B7C"/>
    <w:rsid w:val="00EF56FA"/>
    <w:rsid w:val="00EF6216"/>
    <w:rsid w:val="00EF6E42"/>
    <w:rsid w:val="00F0613C"/>
    <w:rsid w:val="00F11244"/>
    <w:rsid w:val="00F14A7B"/>
    <w:rsid w:val="00F1658B"/>
    <w:rsid w:val="00F2540D"/>
    <w:rsid w:val="00F26602"/>
    <w:rsid w:val="00F31380"/>
    <w:rsid w:val="00F333BF"/>
    <w:rsid w:val="00F34499"/>
    <w:rsid w:val="00F406E3"/>
    <w:rsid w:val="00F40C82"/>
    <w:rsid w:val="00F5114E"/>
    <w:rsid w:val="00F53B1A"/>
    <w:rsid w:val="00F54568"/>
    <w:rsid w:val="00F56343"/>
    <w:rsid w:val="00F57249"/>
    <w:rsid w:val="00F62DE3"/>
    <w:rsid w:val="00F77131"/>
    <w:rsid w:val="00F85D7E"/>
    <w:rsid w:val="00F95038"/>
    <w:rsid w:val="00FA4C13"/>
    <w:rsid w:val="00FB0D19"/>
    <w:rsid w:val="00FB345F"/>
    <w:rsid w:val="00FB4DA5"/>
    <w:rsid w:val="00FB56E0"/>
    <w:rsid w:val="00FC57A1"/>
    <w:rsid w:val="00FC6D26"/>
    <w:rsid w:val="00FD3820"/>
    <w:rsid w:val="00FE6E6D"/>
    <w:rsid w:val="00FF0DAE"/>
    <w:rsid w:val="00FF3092"/>
    <w:rsid w:val="00FF4B06"/>
    <w:rsid w:val="00FF7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B5925761-9D6D-4930-9DFF-4CA4A404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794"/>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uiPriority w:val="99"/>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paragraph" w:styleId="af1">
    <w:name w:val="footnote text"/>
    <w:basedOn w:val="a"/>
    <w:link w:val="af2"/>
    <w:rsid w:val="006B56E1"/>
    <w:pPr>
      <w:snapToGrid w:val="0"/>
      <w:jc w:val="left"/>
    </w:pPr>
    <w:rPr>
      <w:sz w:val="18"/>
      <w:szCs w:val="18"/>
    </w:rPr>
  </w:style>
  <w:style w:type="character" w:customStyle="1" w:styleId="af2">
    <w:name w:val="脚注文本 字符"/>
    <w:basedOn w:val="a1"/>
    <w:link w:val="af1"/>
    <w:rsid w:val="006B56E1"/>
    <w:rPr>
      <w:kern w:val="2"/>
      <w:sz w:val="18"/>
      <w:szCs w:val="18"/>
    </w:rPr>
  </w:style>
  <w:style w:type="character" w:styleId="af3">
    <w:name w:val="footnote reference"/>
    <w:rsid w:val="006B56E1"/>
    <w:rPr>
      <w:vertAlign w:val="superscript"/>
    </w:rPr>
  </w:style>
  <w:style w:type="character" w:styleId="af4">
    <w:name w:val="Strong"/>
    <w:basedOn w:val="a1"/>
    <w:uiPriority w:val="22"/>
    <w:qFormat/>
    <w:rsid w:val="009B7B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16</Pages>
  <Words>1281</Words>
  <Characters>7303</Characters>
  <Application>Microsoft Office Word</Application>
  <DocSecurity>0</DocSecurity>
  <Lines>60</Lines>
  <Paragraphs>17</Paragraphs>
  <ScaleCrop>false</ScaleCrop>
  <Company>jysld</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Wentian.Zhou@FA</cp:lastModifiedBy>
  <cp:revision>6</cp:revision>
  <cp:lastPrinted>2009-01-22T10:11:00Z</cp:lastPrinted>
  <dcterms:created xsi:type="dcterms:W3CDTF">2017-07-25T14:30:00Z</dcterms:created>
  <dcterms:modified xsi:type="dcterms:W3CDTF">2021-07-20T08:05:00Z</dcterms:modified>
</cp:coreProperties>
</file>