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593AD2"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593AD2"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上投摩根天添盈货币市场基金</w:t>
      </w: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2019年第3季度报告</w:t>
      </w:r>
    </w:p>
    <w:p w:rsidR="002B45A4" w:rsidRPr="00593AD2" w:rsidRDefault="00D87D00"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b/>
          <w:color w:val="000000" w:themeColor="text1"/>
          <w:sz w:val="36"/>
          <w:szCs w:val="36"/>
        </w:rPr>
        <w:t>2019年9月30日</w:t>
      </w: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rPr>
          <w:rFonts w:asciiTheme="minorEastAsia" w:eastAsiaTheme="minorEastAsia" w:hAnsiTheme="minorEastAsia"/>
          <w:b/>
          <w:color w:val="000000" w:themeColor="text1"/>
          <w:sz w:val="24"/>
        </w:rPr>
      </w:pP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基金管理人：</w:t>
      </w:r>
      <w:r w:rsidRPr="00593AD2">
        <w:rPr>
          <w:rFonts w:asciiTheme="minorEastAsia" w:eastAsiaTheme="minorEastAsia" w:hAnsiTheme="minorEastAsia"/>
          <w:b/>
          <w:color w:val="000000" w:themeColor="text1"/>
          <w:sz w:val="24"/>
        </w:rPr>
        <w:t>上投摩根基金管理有限公司</w:t>
      </w: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基金托管人：</w:t>
      </w:r>
      <w:r w:rsidRPr="00593AD2">
        <w:rPr>
          <w:rFonts w:asciiTheme="minorEastAsia" w:eastAsiaTheme="minorEastAsia" w:hAnsiTheme="minorEastAsia"/>
          <w:b/>
          <w:color w:val="000000" w:themeColor="text1"/>
          <w:sz w:val="24"/>
        </w:rPr>
        <w:t>中信银行股份有限公司</w:t>
      </w:r>
    </w:p>
    <w:p w:rsidR="00902E3F" w:rsidRPr="00593AD2"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593AD2" w:rsidSect="005633AD">
          <w:headerReference w:type="default" r:id="rId7"/>
          <w:footerReference w:type="default" r:id="rId8"/>
          <w:pgSz w:w="11926" w:h="15840"/>
          <w:pgMar w:top="1418" w:right="1418" w:bottom="851" w:left="1418" w:header="851" w:footer="992" w:gutter="0"/>
          <w:cols w:space="720"/>
          <w:noEndnote/>
        </w:sectPr>
      </w:pPr>
      <w:r w:rsidRPr="00593AD2">
        <w:rPr>
          <w:rFonts w:asciiTheme="minorEastAsia" w:eastAsiaTheme="minorEastAsia" w:hAnsiTheme="minorEastAsia" w:hint="eastAsia"/>
          <w:b/>
          <w:color w:val="000000" w:themeColor="text1"/>
          <w:sz w:val="24"/>
        </w:rPr>
        <w:t>报告送出日期：</w:t>
      </w:r>
      <w:r w:rsidR="00EF56FA" w:rsidRPr="00593AD2">
        <w:rPr>
          <w:rFonts w:asciiTheme="minorEastAsia" w:eastAsiaTheme="minorEastAsia" w:hAnsiTheme="minorEastAsia"/>
          <w:b/>
          <w:color w:val="000000" w:themeColor="text1"/>
          <w:sz w:val="24"/>
        </w:rPr>
        <w:t>二〇一九年十月二十五日</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Pr="00593AD2">
        <w:rPr>
          <w:rFonts w:asciiTheme="minorEastAsia" w:eastAsiaTheme="minorEastAsia" w:hAnsiTheme="minorEastAsia" w:cs="Arial"/>
          <w:color w:val="000000" w:themeColor="text1"/>
          <w:kern w:val="0"/>
          <w:sz w:val="24"/>
          <w:szCs w:val="24"/>
        </w:rPr>
        <w:t xml:space="preserve">1  </w:t>
      </w:r>
      <w:r w:rsidRPr="00593AD2">
        <w:rPr>
          <w:rFonts w:asciiTheme="minorEastAsia" w:eastAsiaTheme="minorEastAsia" w:hAnsiTheme="minorEastAsia" w:cs="Arial" w:hint="eastAsia"/>
          <w:color w:val="000000" w:themeColor="text1"/>
          <w:kern w:val="0"/>
          <w:sz w:val="24"/>
          <w:szCs w:val="24"/>
        </w:rPr>
        <w:t>重要提示</w:t>
      </w:r>
    </w:p>
    <w:p w:rsidR="00B15891" w:rsidRDefault="00E47896">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 w:val="24"/>
        </w:rPr>
        <w:t xml:space="preserve"> </w:t>
      </w:r>
    </w:p>
    <w:p w:rsidR="00B15891" w:rsidRDefault="00E47896">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基金托管人中信银行股份有限公司根据本基金合同规定，于</w:t>
      </w:r>
      <w:r>
        <w:rPr>
          <w:rFonts w:asciiTheme="minorEastAsia" w:eastAsiaTheme="minorEastAsia" w:hAnsiTheme="minorEastAsia"/>
          <w:color w:val="000000" w:themeColor="text1"/>
          <w:sz w:val="24"/>
        </w:rPr>
        <w:t>2019</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 w:val="24"/>
        </w:rPr>
        <w:t xml:space="preserve"> </w:t>
      </w:r>
    </w:p>
    <w:p w:rsidR="00B15891" w:rsidRDefault="00E47896">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基金管理人承诺以诚实信用、勤勉尽责的原则管理和运用基金资产，但不保证基金一定盈利。</w:t>
      </w:r>
      <w:r>
        <w:rPr>
          <w:rFonts w:asciiTheme="minorEastAsia" w:eastAsiaTheme="minorEastAsia" w:hAnsiTheme="minorEastAsia"/>
          <w:color w:val="000000" w:themeColor="text1"/>
          <w:sz w:val="24"/>
        </w:rPr>
        <w:t xml:space="preserve"> </w:t>
      </w:r>
    </w:p>
    <w:p w:rsidR="00B15891" w:rsidRDefault="00E47896">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 w:val="24"/>
        </w:rPr>
        <w:t xml:space="preserve"> </w:t>
      </w:r>
    </w:p>
    <w:p w:rsidR="00B15891" w:rsidRDefault="00E47896">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rsidR="00186667" w:rsidRPr="00593AD2" w:rsidRDefault="00A805BC" w:rsidP="00307062">
      <w:pPr>
        <w:adjustRightInd w:val="0"/>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本报告期自2019年7月1日起至9月30日止。</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2  </w:t>
      </w:r>
      <w:r w:rsidRPr="00593AD2">
        <w:rPr>
          <w:rFonts w:asciiTheme="minorEastAsia" w:eastAsiaTheme="minorEastAsia" w:hAnsiTheme="minorEastAsia" w:cs="Arial" w:hint="eastAsia"/>
          <w:color w:val="000000" w:themeColor="text1"/>
          <w:kern w:val="0"/>
          <w:sz w:val="24"/>
          <w:szCs w:val="24"/>
        </w:rPr>
        <w:t>基金产品概况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593AD2" w:rsidRPr="00593AD2" w:rsidTr="009D19C1">
        <w:trPr>
          <w:jc w:val="center"/>
        </w:trPr>
        <w:tc>
          <w:tcPr>
            <w:tcW w:w="2835" w:type="dxa"/>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基金简称</w:t>
            </w:r>
          </w:p>
        </w:tc>
        <w:tc>
          <w:tcPr>
            <w:tcW w:w="6901" w:type="dxa"/>
            <w:gridSpan w:val="3"/>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上投摩根天添盈货币</w:t>
            </w:r>
          </w:p>
        </w:tc>
      </w:tr>
      <w:tr w:rsidR="00593AD2" w:rsidRPr="00593AD2" w:rsidTr="009D19C1">
        <w:trPr>
          <w:jc w:val="center"/>
        </w:trPr>
        <w:tc>
          <w:tcPr>
            <w:tcW w:w="2835" w:type="dxa"/>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基金主代码</w:t>
            </w:r>
          </w:p>
        </w:tc>
        <w:tc>
          <w:tcPr>
            <w:tcW w:w="6901" w:type="dxa"/>
            <w:gridSpan w:val="3"/>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000855</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基金运作方式</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契约型开放式</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基金合同生效日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2014年11月25日</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报告期末基金份额总额</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8,975,813,734.55</w:t>
            </w:r>
            <w:r w:rsidRPr="00593AD2">
              <w:rPr>
                <w:rFonts w:asciiTheme="minorEastAsia" w:eastAsiaTheme="minorEastAsia" w:hAnsiTheme="minorEastAsia" w:hint="eastAsia"/>
                <w:color w:val="000000" w:themeColor="text1"/>
                <w:kern w:val="0"/>
                <w:sz w:val="24"/>
              </w:rPr>
              <w:t>份</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投资目标</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投资策略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w:t>
            </w:r>
            <w:r w:rsidRPr="00593AD2">
              <w:rPr>
                <w:rFonts w:asciiTheme="minorEastAsia" w:eastAsiaTheme="minorEastAsia" w:hAnsiTheme="minorEastAsia"/>
                <w:color w:val="000000" w:themeColor="text1"/>
                <w:kern w:val="0"/>
                <w:sz w:val="24"/>
              </w:rPr>
              <w:lastRenderedPageBreak/>
              <w:t>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lastRenderedPageBreak/>
              <w:t>业绩比较基准</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同期七天通知存款利率（税后）</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风险收益特征</w:t>
            </w:r>
          </w:p>
        </w:tc>
        <w:tc>
          <w:tcPr>
            <w:tcW w:w="6901" w:type="dxa"/>
            <w:gridSpan w:val="3"/>
          </w:tcPr>
          <w:p w:rsidR="00B15891" w:rsidRDefault="00E47896">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本基金风险收益特征会定期评估并在公司网站发布，请投资者关注。</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基金管理人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上投摩根基金管理有限公司</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基金托管人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中信银行股份有限公司</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级基金的</w:t>
            </w:r>
            <w:r w:rsidR="00340456" w:rsidRPr="00593AD2">
              <w:rPr>
                <w:rFonts w:asciiTheme="minorEastAsia" w:eastAsiaTheme="minorEastAsia" w:hAnsiTheme="minorEastAsia" w:hint="eastAsia"/>
                <w:color w:val="000000" w:themeColor="text1"/>
                <w:sz w:val="24"/>
              </w:rPr>
              <w:t>基金简称</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上投摩根天添盈货币E类</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w:t>
            </w:r>
            <w:r w:rsidR="00340456" w:rsidRPr="00593AD2">
              <w:rPr>
                <w:rFonts w:asciiTheme="minorEastAsia" w:eastAsiaTheme="minorEastAsia" w:hAnsiTheme="minorEastAsia" w:hint="eastAsia"/>
                <w:color w:val="000000" w:themeColor="text1"/>
                <w:sz w:val="24"/>
              </w:rPr>
              <w:t>的交易代码</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000855</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000856</w:t>
            </w:r>
          </w:p>
        </w:tc>
        <w:tc>
          <w:tcPr>
            <w:tcW w:w="2301" w:type="dxa"/>
            <w:vAlign w:val="center"/>
          </w:tcPr>
          <w:p w:rsidR="00340456" w:rsidRPr="00593AD2" w:rsidRDefault="00340456" w:rsidP="001669F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000857</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w:t>
            </w:r>
            <w:r w:rsidRPr="00FF721F">
              <w:rPr>
                <w:rFonts w:asciiTheme="minorEastAsia" w:eastAsiaTheme="minorEastAsia" w:hAnsiTheme="minorEastAsia" w:cs="宋体" w:hint="eastAsia"/>
                <w:color w:val="000000" w:themeColor="text1"/>
                <w:kern w:val="0"/>
                <w:sz w:val="24"/>
              </w:rPr>
              <w:t>期末下属</w:t>
            </w:r>
            <w:r w:rsidR="00FF721F" w:rsidRPr="00FF721F">
              <w:rPr>
                <w:rFonts w:asciiTheme="minorEastAsia" w:eastAsiaTheme="minorEastAsia" w:hAnsiTheme="minorEastAsia" w:cs="宋体" w:hint="eastAsia"/>
                <w:color w:val="000000" w:themeColor="text1"/>
                <w:kern w:val="0"/>
                <w:sz w:val="24"/>
              </w:rPr>
              <w:t>分</w:t>
            </w:r>
            <w:r w:rsidR="00340456" w:rsidRPr="00593AD2">
              <w:rPr>
                <w:rFonts w:asciiTheme="minorEastAsia" w:eastAsiaTheme="minorEastAsia" w:hAnsiTheme="minorEastAsia" w:hint="eastAsia"/>
                <w:color w:val="000000" w:themeColor="text1"/>
                <w:sz w:val="24"/>
              </w:rPr>
              <w:t>级基金的份额总额</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8,849,634,613.10</w:t>
            </w:r>
            <w:r w:rsidRPr="00593AD2">
              <w:rPr>
                <w:rFonts w:asciiTheme="minorEastAsia" w:eastAsiaTheme="minorEastAsia" w:hAnsiTheme="minorEastAsia" w:hint="eastAsia"/>
                <w:color w:val="000000" w:themeColor="text1"/>
                <w:sz w:val="24"/>
              </w:rPr>
              <w:t>份</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份</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126,179,121.45</w:t>
            </w:r>
            <w:r w:rsidRPr="00593AD2">
              <w:rPr>
                <w:rFonts w:asciiTheme="minorEastAsia" w:eastAsiaTheme="minorEastAsia" w:hAnsiTheme="minorEastAsia" w:hint="eastAsia"/>
                <w:color w:val="000000" w:themeColor="text1"/>
                <w:sz w:val="24"/>
              </w:rPr>
              <w:t>份</w:t>
            </w:r>
          </w:p>
        </w:tc>
      </w:tr>
    </w:tbl>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3  </w:t>
      </w:r>
      <w:r w:rsidRPr="00593AD2">
        <w:rPr>
          <w:rFonts w:asciiTheme="minorEastAsia" w:eastAsiaTheme="minorEastAsia" w:hAnsiTheme="minorEastAsia" w:cs="Arial" w:hint="eastAsia"/>
          <w:color w:val="000000" w:themeColor="text1"/>
          <w:kern w:val="0"/>
          <w:sz w:val="24"/>
          <w:szCs w:val="24"/>
        </w:rPr>
        <w:t>主要财务指标和基金净值表现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3.1 </w:t>
      </w:r>
      <w:r w:rsidRPr="00593AD2">
        <w:rPr>
          <w:rFonts w:asciiTheme="minorEastAsia" w:eastAsiaTheme="minorEastAsia" w:hAnsiTheme="minorEastAsia" w:cs="Arial" w:hint="eastAsia"/>
          <w:b/>
          <w:color w:val="000000" w:themeColor="text1"/>
          <w:kern w:val="0"/>
          <w:sz w:val="24"/>
        </w:rPr>
        <w:t>主要财务指标</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lastRenderedPageBreak/>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2410"/>
        <w:gridCol w:w="1984"/>
        <w:gridCol w:w="1827"/>
      </w:tblGrid>
      <w:tr w:rsidR="00593AD2" w:rsidRPr="00593AD2" w:rsidTr="0033599F">
        <w:trPr>
          <w:jc w:val="center"/>
        </w:trPr>
        <w:tc>
          <w:tcPr>
            <w:tcW w:w="3373" w:type="dxa"/>
            <w:vMerge w:val="restart"/>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主要财务指标</w:t>
            </w:r>
          </w:p>
        </w:tc>
        <w:tc>
          <w:tcPr>
            <w:tcW w:w="6221" w:type="dxa"/>
            <w:gridSpan w:val="3"/>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报告期(</w:t>
            </w:r>
            <w:r w:rsidRPr="00593AD2">
              <w:rPr>
                <w:rFonts w:asciiTheme="minorEastAsia" w:eastAsiaTheme="minorEastAsia" w:hAnsiTheme="minorEastAsia" w:cs="宋体"/>
                <w:color w:val="000000" w:themeColor="text1"/>
                <w:sz w:val="24"/>
              </w:rPr>
              <w:t>2019年7月1日-2019年9月30日</w:t>
            </w:r>
            <w:r w:rsidRPr="00593AD2">
              <w:rPr>
                <w:rFonts w:asciiTheme="minorEastAsia" w:eastAsiaTheme="minorEastAsia" w:hAnsiTheme="minorEastAsia" w:cs="宋体" w:hint="eastAsia"/>
                <w:color w:val="000000" w:themeColor="text1"/>
                <w:sz w:val="24"/>
              </w:rPr>
              <w:t>)</w:t>
            </w:r>
          </w:p>
        </w:tc>
      </w:tr>
      <w:tr w:rsidR="00593AD2" w:rsidRPr="00593AD2" w:rsidTr="00D20E97">
        <w:trPr>
          <w:jc w:val="center"/>
        </w:trPr>
        <w:tc>
          <w:tcPr>
            <w:tcW w:w="3373" w:type="dxa"/>
            <w:vMerge/>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kern w:val="0"/>
                <w:sz w:val="24"/>
              </w:rPr>
            </w:pPr>
          </w:p>
        </w:tc>
        <w:tc>
          <w:tcPr>
            <w:tcW w:w="2410"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1984"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1827" w:type="dxa"/>
            <w:vAlign w:val="center"/>
          </w:tcPr>
          <w:p w:rsidR="00025C5D" w:rsidRPr="00593AD2" w:rsidRDefault="00025C5D" w:rsidP="00025C5D">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D20E97">
        <w:trPr>
          <w:trHeight w:val="840"/>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1.</w:t>
            </w:r>
            <w:r w:rsidRPr="00593AD2">
              <w:rPr>
                <w:rFonts w:asciiTheme="minorEastAsia" w:eastAsiaTheme="minorEastAsia" w:hAnsiTheme="minorEastAsia" w:cs="宋体" w:hint="eastAsia"/>
                <w:color w:val="000000" w:themeColor="text1"/>
                <w:kern w:val="0"/>
                <w:sz w:val="24"/>
              </w:rPr>
              <w:t>本期已实现收益</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49,389,638.62</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708,527.79</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2.</w:t>
            </w:r>
            <w:r w:rsidRPr="00593AD2">
              <w:rPr>
                <w:rFonts w:asciiTheme="minorEastAsia" w:eastAsiaTheme="minorEastAsia" w:hAnsiTheme="minorEastAsia" w:cs="宋体" w:hint="eastAsia"/>
                <w:color w:val="000000" w:themeColor="text1"/>
                <w:kern w:val="0"/>
                <w:sz w:val="24"/>
              </w:rPr>
              <w:t>本期利润</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49,389,638.62</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708,527.79</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hint="eastAsia"/>
                <w:color w:val="000000" w:themeColor="text1"/>
                <w:kern w:val="0"/>
                <w:sz w:val="24"/>
              </w:rPr>
              <w:t>3</w:t>
            </w:r>
            <w:r w:rsidRPr="00593AD2">
              <w:rPr>
                <w:rFonts w:asciiTheme="minorEastAsia" w:eastAsiaTheme="minorEastAsia" w:hAnsiTheme="minorEastAsia" w:cs="方正仿宋简体"/>
                <w:color w:val="000000" w:themeColor="text1"/>
                <w:kern w:val="0"/>
                <w:sz w:val="24"/>
              </w:rPr>
              <w:t>.</w:t>
            </w:r>
            <w:r w:rsidRPr="00593AD2">
              <w:rPr>
                <w:rFonts w:asciiTheme="minorEastAsia" w:eastAsiaTheme="minorEastAsia" w:hAnsiTheme="minorEastAsia" w:cs="宋体" w:hint="eastAsia"/>
                <w:color w:val="000000" w:themeColor="text1"/>
                <w:kern w:val="0"/>
                <w:sz w:val="24"/>
              </w:rPr>
              <w:t>期末基金资产净值</w:t>
            </w:r>
          </w:p>
        </w:tc>
        <w:tc>
          <w:tcPr>
            <w:tcW w:w="2410"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8,849,634,613.10</w:t>
            </w:r>
          </w:p>
        </w:tc>
        <w:tc>
          <w:tcPr>
            <w:tcW w:w="1984"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126,179,121.45</w:t>
            </w:r>
          </w:p>
        </w:tc>
      </w:tr>
    </w:tbl>
    <w:p w:rsidR="00B15891" w:rsidRDefault="00E47896">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593AD2" w:rsidRDefault="00893021"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 </w:t>
      </w:r>
      <w:r w:rsidRPr="00593AD2">
        <w:rPr>
          <w:rFonts w:asciiTheme="minorEastAsia" w:eastAsiaTheme="minorEastAsia" w:hAnsiTheme="minorEastAsia" w:cs="Arial" w:hint="eastAsia"/>
          <w:b/>
          <w:color w:val="000000" w:themeColor="text1"/>
          <w:kern w:val="0"/>
          <w:sz w:val="24"/>
        </w:rPr>
        <w:t>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3.2.1 </w:t>
      </w:r>
      <w:r w:rsidRPr="00593AD2">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1</w:t>
      </w:r>
      <w:r w:rsidR="00570F8C" w:rsidRPr="00593AD2">
        <w:rPr>
          <w:rFonts w:asciiTheme="minorEastAsia" w:eastAsiaTheme="minorEastAsia" w:hAnsiTheme="minorEastAsia" w:hint="eastAsia"/>
          <w:b/>
          <w:color w:val="000000" w:themeColor="text1"/>
        </w:rPr>
        <w:t>、</w:t>
      </w:r>
      <w:r w:rsidR="0024424F" w:rsidRPr="00593AD2">
        <w:rPr>
          <w:rFonts w:asciiTheme="minorEastAsia" w:eastAsiaTheme="minorEastAsia" w:hAnsiTheme="minorEastAsia" w:hint="eastAsia"/>
          <w:b/>
          <w:color w:val="000000" w:themeColor="text1"/>
        </w:rPr>
        <w:t>上投摩根天添盈货币A类:</w:t>
      </w:r>
    </w:p>
    <w:tbl>
      <w:tblPr>
        <w:tblStyle w:val="aa"/>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636B17">
        <w:tc>
          <w:tcPr>
            <w:tcW w:w="1328" w:type="dxa"/>
            <w:vAlign w:val="center"/>
          </w:tcPr>
          <w:p w:rsidR="008B23BD" w:rsidRPr="00593AD2" w:rsidRDefault="008B23BD"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8B23BD" w:rsidRPr="00593AD2" w:rsidRDefault="008B23BD"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8B23BD" w:rsidRPr="00593AD2" w:rsidRDefault="008B23BD"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8B23BD" w:rsidRPr="00593AD2" w:rsidRDefault="008B23BD"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8B23BD" w:rsidRPr="00593AD2" w:rsidRDefault="008B23BD"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8B23BD" w:rsidRPr="00593AD2" w:rsidRDefault="008B23BD"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8B23BD" w:rsidRPr="00593AD2" w:rsidRDefault="008B23BD"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B15891">
        <w:tc>
          <w:tcPr>
            <w:tcW w:w="1328" w:type="dxa"/>
            <w:vAlign w:val="center"/>
          </w:tcPr>
          <w:p w:rsidR="00B15891" w:rsidRDefault="00E47896">
            <w:pPr>
              <w:jc w:val="left"/>
            </w:pPr>
            <w:r>
              <w:rPr>
                <w:rFonts w:asciiTheme="minorEastAsia" w:eastAsiaTheme="minorEastAsia" w:hAnsiTheme="minorEastAsia"/>
                <w:color w:val="000000" w:themeColor="text1"/>
              </w:rPr>
              <w:t>过去三个月</w:t>
            </w:r>
          </w:p>
        </w:tc>
        <w:tc>
          <w:tcPr>
            <w:tcW w:w="1329" w:type="dxa"/>
            <w:vAlign w:val="center"/>
          </w:tcPr>
          <w:p w:rsidR="00B15891" w:rsidRDefault="00E47896">
            <w:pPr>
              <w:jc w:val="center"/>
            </w:pPr>
            <w:r>
              <w:rPr>
                <w:rFonts w:asciiTheme="minorEastAsia" w:eastAsiaTheme="minorEastAsia" w:hAnsiTheme="minorEastAsia"/>
                <w:color w:val="000000" w:themeColor="text1"/>
              </w:rPr>
              <w:t>0.5606%</w:t>
            </w:r>
          </w:p>
        </w:tc>
        <w:tc>
          <w:tcPr>
            <w:tcW w:w="1329" w:type="dxa"/>
            <w:vAlign w:val="center"/>
          </w:tcPr>
          <w:p w:rsidR="00B15891" w:rsidRDefault="00E47896">
            <w:pPr>
              <w:jc w:val="center"/>
            </w:pPr>
            <w:r>
              <w:rPr>
                <w:rFonts w:asciiTheme="minorEastAsia" w:eastAsiaTheme="minorEastAsia" w:hAnsiTheme="minorEastAsia"/>
                <w:color w:val="000000" w:themeColor="text1"/>
              </w:rPr>
              <w:t>0.0003%</w:t>
            </w:r>
          </w:p>
        </w:tc>
        <w:tc>
          <w:tcPr>
            <w:tcW w:w="1329" w:type="dxa"/>
            <w:vAlign w:val="center"/>
          </w:tcPr>
          <w:p w:rsidR="00B15891" w:rsidRDefault="00E47896">
            <w:pPr>
              <w:jc w:val="center"/>
            </w:pPr>
            <w:r>
              <w:rPr>
                <w:rFonts w:asciiTheme="minorEastAsia" w:eastAsiaTheme="minorEastAsia" w:hAnsiTheme="minorEastAsia"/>
                <w:color w:val="000000" w:themeColor="text1"/>
              </w:rPr>
              <w:t>0.3403%</w:t>
            </w:r>
          </w:p>
        </w:tc>
        <w:tc>
          <w:tcPr>
            <w:tcW w:w="1329" w:type="dxa"/>
            <w:vAlign w:val="center"/>
          </w:tcPr>
          <w:p w:rsidR="00B15891" w:rsidRDefault="00E47896">
            <w:pPr>
              <w:jc w:val="center"/>
            </w:pPr>
            <w:r>
              <w:rPr>
                <w:rFonts w:asciiTheme="minorEastAsia" w:eastAsiaTheme="minorEastAsia" w:hAnsiTheme="minorEastAsia"/>
                <w:color w:val="000000" w:themeColor="text1"/>
              </w:rPr>
              <w:t>0.0000%</w:t>
            </w:r>
          </w:p>
        </w:tc>
        <w:tc>
          <w:tcPr>
            <w:tcW w:w="1329" w:type="dxa"/>
            <w:vAlign w:val="center"/>
          </w:tcPr>
          <w:p w:rsidR="00B15891" w:rsidRDefault="00E47896">
            <w:pPr>
              <w:jc w:val="center"/>
            </w:pPr>
            <w:r>
              <w:rPr>
                <w:rFonts w:asciiTheme="minorEastAsia" w:eastAsiaTheme="minorEastAsia" w:hAnsiTheme="minorEastAsia"/>
                <w:color w:val="000000" w:themeColor="text1"/>
              </w:rPr>
              <w:t>0.2203%</w:t>
            </w:r>
          </w:p>
        </w:tc>
        <w:tc>
          <w:tcPr>
            <w:tcW w:w="1329" w:type="dxa"/>
            <w:vAlign w:val="center"/>
          </w:tcPr>
          <w:p w:rsidR="00B15891" w:rsidRDefault="00E47896">
            <w:pPr>
              <w:jc w:val="center"/>
            </w:pPr>
            <w:r>
              <w:rPr>
                <w:rFonts w:asciiTheme="minorEastAsia" w:eastAsiaTheme="minorEastAsia" w:hAnsiTheme="minorEastAsia"/>
                <w:color w:val="000000" w:themeColor="text1"/>
              </w:rPr>
              <w:t>0.0003%</w:t>
            </w:r>
          </w:p>
        </w:tc>
      </w:tr>
    </w:tbl>
    <w:p w:rsidR="00186667" w:rsidRPr="00593AD2"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2</w:t>
      </w:r>
      <w:r w:rsidR="00570F8C" w:rsidRPr="00593AD2">
        <w:rPr>
          <w:rFonts w:asciiTheme="minorEastAsia" w:eastAsiaTheme="minorEastAsia" w:hAnsiTheme="minorEastAsia" w:hint="eastAsia"/>
          <w:b/>
          <w:color w:val="000000" w:themeColor="text1"/>
        </w:rPr>
        <w:t>、</w:t>
      </w:r>
      <w:r w:rsidR="000B2044" w:rsidRPr="00593AD2">
        <w:rPr>
          <w:rFonts w:asciiTheme="minorEastAsia" w:eastAsiaTheme="minorEastAsia" w:hAnsiTheme="minorEastAsia" w:hint="eastAsia"/>
          <w:b/>
          <w:color w:val="000000" w:themeColor="text1"/>
        </w:rPr>
        <w:t>上投摩根天添盈货币B类：</w:t>
      </w:r>
    </w:p>
    <w:tbl>
      <w:tblPr>
        <w:tblStyle w:val="aa"/>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B64D62">
        <w:tc>
          <w:tcPr>
            <w:tcW w:w="1328" w:type="dxa"/>
            <w:vAlign w:val="center"/>
          </w:tcPr>
          <w:p w:rsidR="00113777" w:rsidRPr="00593AD2" w:rsidRDefault="00113777"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113777" w:rsidRPr="00593AD2" w:rsidRDefault="00113777"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113777" w:rsidRPr="00593AD2" w:rsidRDefault="00113777"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w:t>
            </w:r>
            <w:r w:rsidRPr="00593AD2">
              <w:rPr>
                <w:rFonts w:asciiTheme="minorEastAsia" w:eastAsiaTheme="minorEastAsia" w:hAnsiTheme="minorEastAsia" w:hint="eastAsia"/>
                <w:color w:val="000000" w:themeColor="text1"/>
                <w:szCs w:val="24"/>
              </w:rPr>
              <w:lastRenderedPageBreak/>
              <w:t>②</w:t>
            </w:r>
          </w:p>
        </w:tc>
        <w:tc>
          <w:tcPr>
            <w:tcW w:w="1329" w:type="dxa"/>
            <w:vAlign w:val="center"/>
          </w:tcPr>
          <w:p w:rsidR="00113777" w:rsidRPr="00593AD2" w:rsidRDefault="00113777"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lastRenderedPageBreak/>
              <w:t>业绩比较基准收益</w:t>
            </w:r>
            <w:r w:rsidRPr="00593AD2">
              <w:rPr>
                <w:rFonts w:asciiTheme="minorEastAsia" w:eastAsiaTheme="minorEastAsia" w:hAnsiTheme="minorEastAsia" w:hint="eastAsia"/>
                <w:color w:val="000000" w:themeColor="text1"/>
                <w:szCs w:val="24"/>
              </w:rPr>
              <w:lastRenderedPageBreak/>
              <w:t>率③</w:t>
            </w:r>
          </w:p>
        </w:tc>
        <w:tc>
          <w:tcPr>
            <w:tcW w:w="1329" w:type="dxa"/>
            <w:vAlign w:val="center"/>
          </w:tcPr>
          <w:p w:rsidR="00113777" w:rsidRPr="00593AD2" w:rsidRDefault="00113777"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lastRenderedPageBreak/>
              <w:t>业绩比较基准收益</w:t>
            </w:r>
            <w:r w:rsidRPr="00593AD2">
              <w:rPr>
                <w:rFonts w:asciiTheme="minorEastAsia" w:eastAsiaTheme="minorEastAsia" w:hAnsiTheme="minorEastAsia" w:hint="eastAsia"/>
                <w:color w:val="000000" w:themeColor="text1"/>
                <w:szCs w:val="24"/>
              </w:rPr>
              <w:lastRenderedPageBreak/>
              <w:t>率标准差④</w:t>
            </w:r>
          </w:p>
        </w:tc>
        <w:tc>
          <w:tcPr>
            <w:tcW w:w="1329" w:type="dxa"/>
            <w:vAlign w:val="center"/>
          </w:tcPr>
          <w:p w:rsidR="00113777" w:rsidRPr="00593AD2" w:rsidRDefault="00113777"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lastRenderedPageBreak/>
              <w:t>①-③</w:t>
            </w:r>
          </w:p>
        </w:tc>
        <w:tc>
          <w:tcPr>
            <w:tcW w:w="1329" w:type="dxa"/>
            <w:vAlign w:val="center"/>
          </w:tcPr>
          <w:p w:rsidR="00113777" w:rsidRPr="00593AD2" w:rsidRDefault="00113777" w:rsidP="00196812">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B15891">
        <w:tc>
          <w:tcPr>
            <w:tcW w:w="1328" w:type="dxa"/>
            <w:vAlign w:val="center"/>
          </w:tcPr>
          <w:p w:rsidR="00B15891" w:rsidRDefault="00E47896">
            <w:pPr>
              <w:jc w:val="left"/>
            </w:pPr>
            <w:r>
              <w:rPr>
                <w:rFonts w:asciiTheme="minorEastAsia" w:eastAsiaTheme="minorEastAsia" w:hAnsiTheme="minorEastAsia"/>
                <w:color w:val="000000" w:themeColor="text1"/>
              </w:rPr>
              <w:lastRenderedPageBreak/>
              <w:t>过去三个月</w:t>
            </w:r>
          </w:p>
        </w:tc>
        <w:tc>
          <w:tcPr>
            <w:tcW w:w="1329" w:type="dxa"/>
            <w:vAlign w:val="center"/>
          </w:tcPr>
          <w:p w:rsidR="00B15891" w:rsidRDefault="00E47896">
            <w:pPr>
              <w:jc w:val="center"/>
            </w:pPr>
            <w:r>
              <w:rPr>
                <w:rFonts w:asciiTheme="minorEastAsia" w:eastAsiaTheme="minorEastAsia" w:hAnsiTheme="minorEastAsia"/>
                <w:color w:val="000000" w:themeColor="text1"/>
              </w:rPr>
              <w:t>-</w:t>
            </w:r>
          </w:p>
        </w:tc>
        <w:tc>
          <w:tcPr>
            <w:tcW w:w="1329" w:type="dxa"/>
            <w:vAlign w:val="center"/>
          </w:tcPr>
          <w:p w:rsidR="00B15891" w:rsidRDefault="00E47896">
            <w:pPr>
              <w:jc w:val="center"/>
            </w:pPr>
            <w:r>
              <w:rPr>
                <w:rFonts w:asciiTheme="minorEastAsia" w:eastAsiaTheme="minorEastAsia" w:hAnsiTheme="minorEastAsia"/>
                <w:color w:val="000000" w:themeColor="text1"/>
              </w:rPr>
              <w:t>-</w:t>
            </w:r>
          </w:p>
        </w:tc>
        <w:tc>
          <w:tcPr>
            <w:tcW w:w="1329" w:type="dxa"/>
            <w:vAlign w:val="center"/>
          </w:tcPr>
          <w:p w:rsidR="00B15891" w:rsidRDefault="00E47896">
            <w:pPr>
              <w:jc w:val="center"/>
            </w:pPr>
            <w:r>
              <w:rPr>
                <w:rFonts w:asciiTheme="minorEastAsia" w:eastAsiaTheme="minorEastAsia" w:hAnsiTheme="minorEastAsia"/>
                <w:color w:val="000000" w:themeColor="text1"/>
              </w:rPr>
              <w:t>-</w:t>
            </w:r>
          </w:p>
        </w:tc>
        <w:tc>
          <w:tcPr>
            <w:tcW w:w="1329" w:type="dxa"/>
            <w:vAlign w:val="center"/>
          </w:tcPr>
          <w:p w:rsidR="00B15891" w:rsidRDefault="00E47896">
            <w:pPr>
              <w:jc w:val="center"/>
            </w:pPr>
            <w:r>
              <w:rPr>
                <w:rFonts w:asciiTheme="minorEastAsia" w:eastAsiaTheme="minorEastAsia" w:hAnsiTheme="minorEastAsia"/>
                <w:color w:val="000000" w:themeColor="text1"/>
              </w:rPr>
              <w:t>-</w:t>
            </w:r>
          </w:p>
        </w:tc>
        <w:tc>
          <w:tcPr>
            <w:tcW w:w="1329" w:type="dxa"/>
            <w:vAlign w:val="center"/>
          </w:tcPr>
          <w:p w:rsidR="00B15891" w:rsidRDefault="00E47896">
            <w:pPr>
              <w:jc w:val="center"/>
            </w:pPr>
            <w:r>
              <w:rPr>
                <w:rFonts w:asciiTheme="minorEastAsia" w:eastAsiaTheme="minorEastAsia" w:hAnsiTheme="minorEastAsia"/>
                <w:color w:val="000000" w:themeColor="text1"/>
              </w:rPr>
              <w:t>-</w:t>
            </w:r>
          </w:p>
        </w:tc>
        <w:tc>
          <w:tcPr>
            <w:tcW w:w="1329" w:type="dxa"/>
            <w:vAlign w:val="center"/>
          </w:tcPr>
          <w:p w:rsidR="00B15891" w:rsidRDefault="00E47896">
            <w:pPr>
              <w:jc w:val="center"/>
            </w:pPr>
            <w:r>
              <w:rPr>
                <w:rFonts w:asciiTheme="minorEastAsia" w:eastAsiaTheme="minorEastAsia" w:hAnsiTheme="minorEastAsia"/>
                <w:color w:val="000000" w:themeColor="text1"/>
              </w:rPr>
              <w:t>-</w:t>
            </w:r>
          </w:p>
        </w:tc>
      </w:tr>
    </w:tbl>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3、上投摩根天添盈货币E类：</w:t>
      </w:r>
    </w:p>
    <w:tbl>
      <w:tblPr>
        <w:tblStyle w:val="aa"/>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025C5D">
        <w:tc>
          <w:tcPr>
            <w:tcW w:w="1328" w:type="dxa"/>
            <w:vAlign w:val="center"/>
          </w:tcPr>
          <w:p w:rsidR="00025C5D" w:rsidRPr="00593AD2" w:rsidRDefault="00025C5D" w:rsidP="00025C5D">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025C5D" w:rsidRPr="00593AD2" w:rsidRDefault="00025C5D" w:rsidP="00025C5D">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025C5D" w:rsidRPr="00593AD2" w:rsidRDefault="00025C5D" w:rsidP="00025C5D">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025C5D" w:rsidRPr="00593AD2" w:rsidRDefault="00025C5D" w:rsidP="00025C5D">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025C5D" w:rsidRPr="00593AD2" w:rsidRDefault="00025C5D" w:rsidP="00025C5D">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025C5D" w:rsidRPr="00593AD2" w:rsidRDefault="00025C5D" w:rsidP="00025C5D">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025C5D" w:rsidRPr="00593AD2" w:rsidRDefault="00025C5D" w:rsidP="00025C5D">
            <w:pPr>
              <w:pStyle w:val="ab"/>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B15891">
        <w:tc>
          <w:tcPr>
            <w:tcW w:w="1328" w:type="dxa"/>
            <w:vAlign w:val="center"/>
          </w:tcPr>
          <w:p w:rsidR="00B15891" w:rsidRDefault="00E47896">
            <w:pPr>
              <w:jc w:val="left"/>
            </w:pPr>
            <w:r>
              <w:rPr>
                <w:rFonts w:asciiTheme="minorEastAsia" w:eastAsiaTheme="minorEastAsia" w:hAnsiTheme="minorEastAsia"/>
                <w:color w:val="000000" w:themeColor="text1"/>
              </w:rPr>
              <w:t>过去三个月</w:t>
            </w:r>
          </w:p>
        </w:tc>
        <w:tc>
          <w:tcPr>
            <w:tcW w:w="1329" w:type="dxa"/>
            <w:vAlign w:val="center"/>
          </w:tcPr>
          <w:p w:rsidR="00B15891" w:rsidRDefault="00E47896">
            <w:pPr>
              <w:jc w:val="center"/>
            </w:pPr>
            <w:r>
              <w:rPr>
                <w:rFonts w:asciiTheme="minorEastAsia" w:eastAsiaTheme="minorEastAsia" w:hAnsiTheme="minorEastAsia"/>
                <w:color w:val="000000" w:themeColor="text1"/>
              </w:rPr>
              <w:t>0.5987%</w:t>
            </w:r>
          </w:p>
        </w:tc>
        <w:tc>
          <w:tcPr>
            <w:tcW w:w="1329" w:type="dxa"/>
            <w:vAlign w:val="center"/>
          </w:tcPr>
          <w:p w:rsidR="00B15891" w:rsidRDefault="00E47896">
            <w:pPr>
              <w:jc w:val="center"/>
            </w:pPr>
            <w:r>
              <w:rPr>
                <w:rFonts w:asciiTheme="minorEastAsia" w:eastAsiaTheme="minorEastAsia" w:hAnsiTheme="minorEastAsia"/>
                <w:color w:val="000000" w:themeColor="text1"/>
              </w:rPr>
              <w:t>0.0003%</w:t>
            </w:r>
          </w:p>
        </w:tc>
        <w:tc>
          <w:tcPr>
            <w:tcW w:w="1329" w:type="dxa"/>
            <w:vAlign w:val="center"/>
          </w:tcPr>
          <w:p w:rsidR="00B15891" w:rsidRDefault="00E47896">
            <w:pPr>
              <w:jc w:val="center"/>
            </w:pPr>
            <w:r>
              <w:rPr>
                <w:rFonts w:asciiTheme="minorEastAsia" w:eastAsiaTheme="minorEastAsia" w:hAnsiTheme="minorEastAsia"/>
                <w:color w:val="000000" w:themeColor="text1"/>
              </w:rPr>
              <w:t>0.3403%</w:t>
            </w:r>
          </w:p>
        </w:tc>
        <w:tc>
          <w:tcPr>
            <w:tcW w:w="1329" w:type="dxa"/>
            <w:vAlign w:val="center"/>
          </w:tcPr>
          <w:p w:rsidR="00B15891" w:rsidRDefault="00E47896">
            <w:pPr>
              <w:jc w:val="center"/>
            </w:pPr>
            <w:r>
              <w:rPr>
                <w:rFonts w:asciiTheme="minorEastAsia" w:eastAsiaTheme="minorEastAsia" w:hAnsiTheme="minorEastAsia"/>
                <w:color w:val="000000" w:themeColor="text1"/>
              </w:rPr>
              <w:t>0.0000%</w:t>
            </w:r>
          </w:p>
        </w:tc>
        <w:tc>
          <w:tcPr>
            <w:tcW w:w="1329" w:type="dxa"/>
            <w:vAlign w:val="center"/>
          </w:tcPr>
          <w:p w:rsidR="00B15891" w:rsidRDefault="00E47896">
            <w:pPr>
              <w:jc w:val="center"/>
            </w:pPr>
            <w:r>
              <w:rPr>
                <w:rFonts w:asciiTheme="minorEastAsia" w:eastAsiaTheme="minorEastAsia" w:hAnsiTheme="minorEastAsia"/>
                <w:color w:val="000000" w:themeColor="text1"/>
              </w:rPr>
              <w:t>0.2584%</w:t>
            </w:r>
          </w:p>
        </w:tc>
        <w:tc>
          <w:tcPr>
            <w:tcW w:w="1329" w:type="dxa"/>
            <w:vAlign w:val="center"/>
          </w:tcPr>
          <w:p w:rsidR="00B15891" w:rsidRDefault="00E47896">
            <w:pPr>
              <w:jc w:val="center"/>
            </w:pPr>
            <w:r>
              <w:rPr>
                <w:rFonts w:asciiTheme="minorEastAsia" w:eastAsiaTheme="minorEastAsia" w:hAnsiTheme="minorEastAsia"/>
                <w:color w:val="000000" w:themeColor="text1"/>
              </w:rPr>
              <w:t>0.0003%</w:t>
            </w:r>
          </w:p>
        </w:tc>
      </w:tr>
    </w:tbl>
    <w:p w:rsidR="0064191E" w:rsidRPr="00593AD2" w:rsidRDefault="0064191E"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注：本基金收益分配按日结转份额。</w:t>
      </w:r>
    </w:p>
    <w:p w:rsidR="001F0286" w:rsidRPr="00593AD2"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3.2.2</w:t>
      </w:r>
      <w:r w:rsidR="009B7B0C" w:rsidRPr="00593AD2">
        <w:rPr>
          <w:rStyle w:val="af"/>
          <w:rFonts w:hint="eastAsia"/>
          <w:color w:val="000000" w:themeColor="text1"/>
          <w:sz w:val="24"/>
          <w:shd w:val="clear" w:color="auto" w:fill="FFFFFF"/>
        </w:rPr>
        <w:t>自基金合同生效以来</w:t>
      </w:r>
      <w:r w:rsidRPr="00593AD2">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593AD2" w:rsidRDefault="00E63B3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上投摩根天添盈货币市场基金</w:t>
      </w:r>
    </w:p>
    <w:p w:rsidR="00E63B3D" w:rsidRPr="00593AD2" w:rsidRDefault="00533490" w:rsidP="009A755D">
      <w:pPr>
        <w:pStyle w:val="a6"/>
        <w:snapToGrid w:val="0"/>
        <w:spacing w:line="360" w:lineRule="auto"/>
        <w:jc w:val="center"/>
        <w:rPr>
          <w:rFonts w:asciiTheme="minorEastAsia" w:eastAsiaTheme="minorEastAsia" w:hAnsiTheme="minorEastAsia"/>
          <w:color w:val="000000" w:themeColor="text1"/>
          <w:sz w:val="24"/>
          <w:szCs w:val="24"/>
        </w:rPr>
      </w:pPr>
      <w:r w:rsidRPr="00593AD2">
        <w:rPr>
          <w:rFonts w:asciiTheme="minorEastAsia" w:eastAsiaTheme="minorEastAsia" w:hAnsiTheme="minorEastAsia" w:hint="eastAsia"/>
          <w:color w:val="000000" w:themeColor="text1"/>
          <w:sz w:val="24"/>
          <w:szCs w:val="24"/>
        </w:rPr>
        <w:t>份额</w:t>
      </w:r>
      <w:r w:rsidR="00E63B3D" w:rsidRPr="00593AD2">
        <w:rPr>
          <w:rFonts w:asciiTheme="minorEastAsia" w:eastAsiaTheme="minorEastAsia" w:hAnsiTheme="minorEastAsia" w:hint="eastAsia"/>
          <w:color w:val="000000" w:themeColor="text1"/>
          <w:sz w:val="24"/>
          <w:szCs w:val="24"/>
        </w:rPr>
        <w:t>累计净值收益率与业绩比较基准收益率历史走势对比图</w:t>
      </w:r>
    </w:p>
    <w:p w:rsidR="00A7219D" w:rsidRPr="00593AD2" w:rsidRDefault="00A7219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w:t>
      </w:r>
      <w:r w:rsidR="00D87D00" w:rsidRPr="00593AD2">
        <w:rPr>
          <w:rFonts w:asciiTheme="minorEastAsia" w:eastAsiaTheme="minorEastAsia" w:hAnsiTheme="minorEastAsia"/>
          <w:color w:val="000000" w:themeColor="text1"/>
          <w:kern w:val="0"/>
          <w:sz w:val="24"/>
        </w:rPr>
        <w:t>2014年11月25日</w:t>
      </w:r>
      <w:r w:rsidRPr="00593AD2">
        <w:rPr>
          <w:rFonts w:asciiTheme="minorEastAsia" w:eastAsiaTheme="minorEastAsia" w:hAnsiTheme="minorEastAsia" w:hint="eastAsia"/>
          <w:color w:val="000000" w:themeColor="text1"/>
          <w:kern w:val="0"/>
          <w:sz w:val="24"/>
        </w:rPr>
        <w:t>至2019年9月30日)</w:t>
      </w: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1、</w:t>
      </w:r>
      <w:r w:rsidR="00E63B3D" w:rsidRPr="00593AD2">
        <w:rPr>
          <w:rFonts w:asciiTheme="minorEastAsia" w:eastAsiaTheme="minorEastAsia" w:hAnsiTheme="minorEastAsia"/>
          <w:color w:val="000000" w:themeColor="text1"/>
          <w:kern w:val="0"/>
          <w:sz w:val="24"/>
        </w:rPr>
        <w:t>上投摩根天添盈货币A类</w:t>
      </w:r>
    </w:p>
    <w:p w:rsidR="00E63B3D" w:rsidRPr="00593AD2" w:rsidRDefault="00E17870" w:rsidP="00196812">
      <w:pPr>
        <w:tabs>
          <w:tab w:val="left" w:pos="0"/>
        </w:tabs>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593AD2"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2、</w:t>
      </w:r>
      <w:r w:rsidR="005F668B" w:rsidRPr="00593AD2">
        <w:rPr>
          <w:rFonts w:asciiTheme="minorEastAsia" w:eastAsiaTheme="minorEastAsia" w:hAnsiTheme="minorEastAsia"/>
          <w:color w:val="000000" w:themeColor="text1"/>
          <w:kern w:val="0"/>
          <w:sz w:val="24"/>
        </w:rPr>
        <w:t>上投摩根天添盈货币B类</w:t>
      </w:r>
    </w:p>
    <w:p w:rsidR="005F668B" w:rsidRPr="00593AD2" w:rsidRDefault="00834D9F" w:rsidP="00196812">
      <w:pPr>
        <w:snapToGri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3、</w:t>
      </w:r>
      <w:r w:rsidRPr="00593AD2">
        <w:rPr>
          <w:rFonts w:asciiTheme="minorEastAsia" w:eastAsiaTheme="minorEastAsia" w:hAnsiTheme="minorEastAsia"/>
          <w:color w:val="000000" w:themeColor="text1"/>
          <w:kern w:val="0"/>
          <w:sz w:val="24"/>
        </w:rPr>
        <w:t>上投摩根天添盈货币E类</w:t>
      </w:r>
    </w:p>
    <w:p w:rsidR="00025C5D" w:rsidRPr="00593AD2" w:rsidRDefault="00CA592F" w:rsidP="00220437">
      <w:pPr>
        <w:autoSpaceDE w:val="0"/>
        <w:autoSpaceDN w:val="0"/>
        <w:adjustRightIn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B15891" w:rsidRDefault="00E47896">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本基金合同生效日为</w:t>
      </w:r>
      <w:r>
        <w:rPr>
          <w:rFonts w:asciiTheme="minorEastAsia" w:eastAsiaTheme="minorEastAsia" w:hAnsiTheme="minorEastAsia" w:hint="eastAsia"/>
          <w:color w:val="000000" w:themeColor="text1"/>
          <w:sz w:val="24"/>
        </w:rPr>
        <w:t>2014</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日，图示时间段为</w:t>
      </w:r>
      <w:r>
        <w:rPr>
          <w:rFonts w:asciiTheme="minorEastAsia" w:eastAsiaTheme="minorEastAsia" w:hAnsiTheme="minorEastAsia" w:hint="eastAsia"/>
          <w:color w:val="000000" w:themeColor="text1"/>
          <w:sz w:val="24"/>
        </w:rPr>
        <w:t>2014</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日至</w:t>
      </w:r>
      <w:r>
        <w:rPr>
          <w:rFonts w:asciiTheme="minorEastAsia" w:eastAsiaTheme="minorEastAsia" w:hAnsiTheme="minorEastAsia" w:hint="eastAsia"/>
          <w:color w:val="000000" w:themeColor="text1"/>
          <w:sz w:val="24"/>
        </w:rPr>
        <w:t>2019</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9</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30</w:t>
      </w:r>
      <w:r>
        <w:rPr>
          <w:rFonts w:asciiTheme="minorEastAsia" w:eastAsiaTheme="minorEastAsia" w:hAnsiTheme="minorEastAsia" w:hint="eastAsia"/>
          <w:color w:val="000000" w:themeColor="text1"/>
          <w:sz w:val="24"/>
        </w:rPr>
        <w:t>日。</w:t>
      </w:r>
    </w:p>
    <w:p w:rsidR="00B15891" w:rsidRDefault="00E47896">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本基金建仓期自</w:t>
      </w:r>
      <w:r>
        <w:rPr>
          <w:rFonts w:asciiTheme="minorEastAsia" w:eastAsiaTheme="minorEastAsia" w:hAnsiTheme="minorEastAsia" w:hint="eastAsia"/>
          <w:color w:val="000000" w:themeColor="text1"/>
          <w:sz w:val="24"/>
        </w:rPr>
        <w:t>2014</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日至</w:t>
      </w:r>
      <w:r>
        <w:rPr>
          <w:rFonts w:asciiTheme="minorEastAsia" w:eastAsiaTheme="minorEastAsia" w:hAnsiTheme="minorEastAsia" w:hint="eastAsia"/>
          <w:color w:val="000000" w:themeColor="text1"/>
          <w:sz w:val="24"/>
        </w:rPr>
        <w:t>2015</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24</w:t>
      </w:r>
      <w:r>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建仓期结束时资产配置比例符合本基金基金合同的规定。</w:t>
      </w:r>
    </w:p>
    <w:p w:rsidR="00707CB2" w:rsidRPr="00593AD2" w:rsidRDefault="00C4213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3.自2018年6月22日起，本基金B类基金份额为零且停止计算B类基金份额每万份收益。</w:t>
      </w:r>
    </w:p>
    <w:p w:rsidR="00CA65DD" w:rsidRPr="00593AD2"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4  </w:t>
      </w:r>
      <w:r w:rsidRPr="00593AD2">
        <w:rPr>
          <w:rFonts w:asciiTheme="minorEastAsia" w:eastAsiaTheme="minorEastAsia" w:hAnsiTheme="minorEastAsia" w:cs="Arial" w:hint="eastAsia"/>
          <w:color w:val="000000" w:themeColor="text1"/>
          <w:kern w:val="0"/>
          <w:sz w:val="24"/>
          <w:szCs w:val="24"/>
        </w:rPr>
        <w:t>管理人报告</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593AD2">
        <w:rPr>
          <w:rFonts w:asciiTheme="minorEastAsia" w:eastAsiaTheme="minorEastAsia" w:hAnsiTheme="minorEastAsia" w:cs="Arial"/>
          <w:b/>
          <w:color w:val="000000" w:themeColor="text1"/>
          <w:kern w:val="0"/>
          <w:sz w:val="24"/>
        </w:rPr>
        <w:t xml:space="preserve">4.1 </w:t>
      </w:r>
      <w:r w:rsidRPr="00593AD2">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593AD2" w:rsidRPr="00593AD2" w:rsidTr="00AC3D9E">
        <w:trPr>
          <w:cantSplit/>
        </w:trPr>
        <w:tc>
          <w:tcPr>
            <w:tcW w:w="95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姓名</w:t>
            </w:r>
          </w:p>
        </w:tc>
        <w:tc>
          <w:tcPr>
            <w:tcW w:w="160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职务</w:t>
            </w:r>
          </w:p>
        </w:tc>
        <w:tc>
          <w:tcPr>
            <w:tcW w:w="2977" w:type="dxa"/>
            <w:gridSpan w:val="2"/>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任本基金的基金经理期限</w:t>
            </w:r>
          </w:p>
        </w:tc>
        <w:tc>
          <w:tcPr>
            <w:tcW w:w="99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证券从业年限</w:t>
            </w:r>
          </w:p>
        </w:tc>
        <w:tc>
          <w:tcPr>
            <w:tcW w:w="241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说明</w:t>
            </w:r>
          </w:p>
        </w:tc>
      </w:tr>
      <w:tr w:rsidR="00593AD2" w:rsidRPr="00593AD2" w:rsidTr="00AC3D9E">
        <w:trPr>
          <w:cantSplit/>
        </w:trPr>
        <w:tc>
          <w:tcPr>
            <w:tcW w:w="95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600" w:type="dxa"/>
            <w:vMerge/>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488"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任职日期</w:t>
            </w:r>
          </w:p>
        </w:tc>
        <w:tc>
          <w:tcPr>
            <w:tcW w:w="1489"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离任日期</w:t>
            </w:r>
          </w:p>
        </w:tc>
        <w:tc>
          <w:tcPr>
            <w:tcW w:w="99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410"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B15891">
        <w:tc>
          <w:tcPr>
            <w:tcW w:w="952" w:type="dxa"/>
            <w:vAlign w:val="center"/>
          </w:tcPr>
          <w:p w:rsidR="00B15891" w:rsidRDefault="00E47896">
            <w:pPr>
              <w:jc w:val="center"/>
            </w:pPr>
            <w:r>
              <w:rPr>
                <w:rFonts w:asciiTheme="minorEastAsia" w:eastAsiaTheme="minorEastAsia" w:hAnsiTheme="minorEastAsia"/>
                <w:color w:val="000000" w:themeColor="text1"/>
                <w:sz w:val="24"/>
              </w:rPr>
              <w:t>鞠婷</w:t>
            </w:r>
          </w:p>
        </w:tc>
        <w:tc>
          <w:tcPr>
            <w:tcW w:w="1600" w:type="dxa"/>
            <w:vAlign w:val="center"/>
          </w:tcPr>
          <w:p w:rsidR="00B15891" w:rsidRDefault="00E47896">
            <w:pPr>
              <w:jc w:val="center"/>
            </w:pPr>
            <w:r>
              <w:rPr>
                <w:rFonts w:asciiTheme="minorEastAsia" w:eastAsiaTheme="minorEastAsia" w:hAnsiTheme="minorEastAsia"/>
                <w:color w:val="000000" w:themeColor="text1"/>
                <w:sz w:val="24"/>
              </w:rPr>
              <w:t>本基金基金经理</w:t>
            </w:r>
          </w:p>
        </w:tc>
        <w:tc>
          <w:tcPr>
            <w:tcW w:w="1488" w:type="dxa"/>
            <w:vAlign w:val="center"/>
          </w:tcPr>
          <w:p w:rsidR="00B15891" w:rsidRDefault="00E47896">
            <w:pPr>
              <w:jc w:val="center"/>
            </w:pPr>
            <w:r>
              <w:rPr>
                <w:rFonts w:asciiTheme="minorEastAsia" w:eastAsiaTheme="minorEastAsia" w:hAnsiTheme="minorEastAsia"/>
                <w:color w:val="000000" w:themeColor="text1"/>
                <w:sz w:val="24"/>
              </w:rPr>
              <w:t>2016-05-27</w:t>
            </w:r>
          </w:p>
        </w:tc>
        <w:tc>
          <w:tcPr>
            <w:tcW w:w="1489" w:type="dxa"/>
            <w:vAlign w:val="center"/>
          </w:tcPr>
          <w:p w:rsidR="00B15891" w:rsidRDefault="00E47896">
            <w:pPr>
              <w:jc w:val="center"/>
            </w:pPr>
            <w:r>
              <w:rPr>
                <w:rFonts w:asciiTheme="minorEastAsia" w:eastAsiaTheme="minorEastAsia" w:hAnsiTheme="minorEastAsia"/>
                <w:color w:val="000000" w:themeColor="text1"/>
                <w:sz w:val="24"/>
              </w:rPr>
              <w:t>-</w:t>
            </w:r>
          </w:p>
        </w:tc>
        <w:tc>
          <w:tcPr>
            <w:tcW w:w="992" w:type="dxa"/>
            <w:vAlign w:val="center"/>
          </w:tcPr>
          <w:p w:rsidR="00B15891" w:rsidRDefault="00E47896">
            <w:pPr>
              <w:jc w:val="center"/>
            </w:pP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年（金融领域从业经验</w:t>
            </w:r>
            <w:r>
              <w:rPr>
                <w:rFonts w:asciiTheme="minorEastAsia" w:eastAsiaTheme="minorEastAsia" w:hAnsiTheme="minorEastAsia"/>
                <w:color w:val="000000" w:themeColor="text1"/>
                <w:sz w:val="24"/>
              </w:rPr>
              <w:t>14</w:t>
            </w:r>
            <w:r>
              <w:rPr>
                <w:rFonts w:asciiTheme="minorEastAsia" w:eastAsiaTheme="minorEastAsia" w:hAnsiTheme="minorEastAsia"/>
                <w:color w:val="000000" w:themeColor="text1"/>
                <w:sz w:val="24"/>
              </w:rPr>
              <w:t>年）</w:t>
            </w:r>
          </w:p>
        </w:tc>
        <w:tc>
          <w:tcPr>
            <w:tcW w:w="2410" w:type="dxa"/>
            <w:vAlign w:val="center"/>
          </w:tcPr>
          <w:p w:rsidR="00B15891" w:rsidRDefault="00E47896">
            <w:r>
              <w:rPr>
                <w:rFonts w:asciiTheme="minorEastAsia" w:eastAsiaTheme="minorEastAsia" w:hAnsiTheme="minorEastAsia"/>
                <w:color w:val="000000" w:themeColor="text1"/>
                <w:sz w:val="24"/>
              </w:rPr>
              <w:t>鞠婷女士，</w:t>
            </w:r>
            <w:r>
              <w:rPr>
                <w:rFonts w:asciiTheme="minorEastAsia" w:eastAsiaTheme="minorEastAsia" w:hAnsiTheme="minorEastAsia"/>
                <w:color w:val="000000" w:themeColor="text1"/>
                <w:sz w:val="24"/>
              </w:rPr>
              <w:t>1997</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月至</w:t>
            </w:r>
            <w:r>
              <w:rPr>
                <w:rFonts w:asciiTheme="minorEastAsia" w:eastAsiaTheme="minorEastAsia" w:hAnsiTheme="minorEastAsia"/>
                <w:color w:val="000000" w:themeColor="text1"/>
                <w:sz w:val="24"/>
              </w:rPr>
              <w:t>2001</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月在中国建设银行第一支行担任助理经济师，</w:t>
            </w:r>
            <w:r>
              <w:rPr>
                <w:rFonts w:asciiTheme="minorEastAsia" w:eastAsiaTheme="minorEastAsia" w:hAnsiTheme="minorEastAsia"/>
                <w:color w:val="000000" w:themeColor="text1"/>
                <w:sz w:val="24"/>
              </w:rPr>
              <w:t>2006</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z w:val="24"/>
              </w:rPr>
              <w:t>月至</w:t>
            </w:r>
            <w:r>
              <w:rPr>
                <w:rFonts w:asciiTheme="minorEastAsia" w:eastAsiaTheme="minorEastAsia" w:hAnsiTheme="minorEastAsia"/>
                <w:color w:val="000000" w:themeColor="text1"/>
                <w:sz w:val="24"/>
              </w:rPr>
              <w:t>2014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月在瑞穗银行总行担任总经理助</w:t>
            </w:r>
            <w:r>
              <w:rPr>
                <w:rFonts w:asciiTheme="minorEastAsia" w:eastAsiaTheme="minorEastAsia" w:hAnsiTheme="minorEastAsia"/>
                <w:color w:val="000000" w:themeColor="text1"/>
                <w:sz w:val="24"/>
              </w:rPr>
              <w:lastRenderedPageBreak/>
              <w:t>理，自</w:t>
            </w:r>
            <w:r>
              <w:rPr>
                <w:rFonts w:asciiTheme="minorEastAsia" w:eastAsiaTheme="minorEastAsia" w:hAnsiTheme="minorEastAsia"/>
                <w:color w:val="000000" w:themeColor="text1"/>
                <w:sz w:val="24"/>
              </w:rPr>
              <w:t>2014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月起加入上投摩根基金管理有限公司，先后担任我公司货币市场投资部基金经理助理、基金经理，</w:t>
            </w:r>
            <w:r>
              <w:rPr>
                <w:rFonts w:asciiTheme="minorEastAsia" w:eastAsiaTheme="minorEastAsia" w:hAnsiTheme="minorEastAsia"/>
                <w:color w:val="000000" w:themeColor="text1"/>
                <w:sz w:val="24"/>
              </w:rPr>
              <w:t>2015</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月至</w:t>
            </w:r>
            <w:r>
              <w:rPr>
                <w:rFonts w:asciiTheme="minorEastAsia" w:eastAsiaTheme="minorEastAsia" w:hAnsiTheme="minorEastAsia"/>
                <w:color w:val="000000" w:themeColor="text1"/>
                <w:sz w:val="24"/>
              </w:rPr>
              <w:t>2018</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月担任上投摩根现金管理货币市场基金基金经理，自</w:t>
            </w:r>
            <w:r>
              <w:rPr>
                <w:rFonts w:asciiTheme="minorEastAsia" w:eastAsiaTheme="minorEastAsia" w:hAnsiTheme="minorEastAsia"/>
                <w:color w:val="000000" w:themeColor="text1"/>
                <w:sz w:val="24"/>
              </w:rPr>
              <w:t>2016</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月起同时担任上投摩根天添盈货币市场基金和上投摩根天添宝货币市场基金基金经理。</w:t>
            </w:r>
          </w:p>
        </w:tc>
      </w:tr>
    </w:tbl>
    <w:p w:rsidR="00B15891" w:rsidRDefault="00E47896">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注：</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任职日期和离任日期均指根据公司决定确定的聘任日期和解聘日期。</w:t>
      </w:r>
    </w:p>
    <w:p w:rsidR="00C4627A" w:rsidRPr="00593AD2" w:rsidRDefault="00C4627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2.证券从业的含义遵从行业协会《证券业从业人员资格管理办法》的相关规定。</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4.2</w:t>
      </w:r>
      <w:r w:rsidR="0016721A" w:rsidRPr="0016721A">
        <w:rPr>
          <w:rFonts w:hint="eastAsia"/>
          <w:b/>
          <w:color w:val="000000"/>
          <w:sz w:val="24"/>
          <w:shd w:val="clear" w:color="auto" w:fill="FFFFFF"/>
        </w:rPr>
        <w:t>管理人对报告期内本基金运作遵规守信情况的说明</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在本报告期内，基金管理人不存在损害基金份额持有人利益的行为，勤勉尽责地为基金份额持有人谋求利益。基金管理人遵守了《证券投资基金法》及其他有关法律法规、《上投摩根天添盈货币市场基金基金合同》的规定。基金经理对个股和投资组合的比例遵循了投资决策委员会的授权限制，基金投资比例符合基金合同和法律法规的要求。</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4.3 </w:t>
      </w:r>
      <w:r w:rsidRPr="00593AD2">
        <w:rPr>
          <w:rFonts w:asciiTheme="minorEastAsia" w:eastAsiaTheme="minorEastAsia" w:hAnsiTheme="minorEastAsia" w:cs="Arial" w:hint="eastAsia"/>
          <w:b/>
          <w:color w:val="000000" w:themeColor="text1"/>
          <w:kern w:val="0"/>
          <w:sz w:val="24"/>
        </w:rPr>
        <w:t>公平交易专项说明</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4.3.1 公平交易制度的执行情况</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对于交易所市场投资活动，本公司执行集中交易制度，确保不同投资组合在买卖同一证券时，按照时间优先、比例分配的原则在各投资组合间公平分配交易量；对于银行</w:t>
      </w:r>
      <w:r>
        <w:rPr>
          <w:rFonts w:asciiTheme="minorEastAsia" w:eastAsiaTheme="minorEastAsia" w:hAnsiTheme="minorEastAsia"/>
          <w:color w:val="000000" w:themeColor="text1"/>
          <w:sz w:val="24"/>
        </w:rPr>
        <w:lastRenderedPageBreak/>
        <w:t>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w:t>
      </w:r>
      <w:r w:rsidR="0007770D" w:rsidRPr="00593AD2">
        <w:rPr>
          <w:rFonts w:asciiTheme="minorEastAsia" w:eastAsiaTheme="minorEastAsia" w:hAnsiTheme="minorEastAsia" w:hint="eastAsia"/>
          <w:color w:val="000000" w:themeColor="text1"/>
          <w:sz w:val="24"/>
        </w:rPr>
        <w:t>2</w:t>
      </w:r>
      <w:r w:rsidRPr="00593AD2">
        <w:rPr>
          <w:rFonts w:asciiTheme="minorEastAsia" w:eastAsiaTheme="minorEastAsia" w:hAnsiTheme="minorEastAsia" w:hint="eastAsia"/>
          <w:color w:val="000000" w:themeColor="text1"/>
          <w:sz w:val="24"/>
        </w:rPr>
        <w:t xml:space="preserve"> 异常交易行为的专项说明</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rsidR="00902E3F"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593AD2" w:rsidRDefault="00323377"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4.4 </w:t>
      </w:r>
      <w:r w:rsidRPr="00593AD2">
        <w:rPr>
          <w:rFonts w:asciiTheme="minorEastAsia" w:eastAsiaTheme="minorEastAsia" w:hAnsiTheme="minorEastAsia" w:cs="Arial" w:hint="eastAsia"/>
          <w:b/>
          <w:color w:val="000000" w:themeColor="text1"/>
          <w:kern w:val="0"/>
          <w:sz w:val="24"/>
        </w:rPr>
        <w:t>报告期内基金的投资策略和业绩表现说明</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4.4.1报告期内基金投资策略和运作分析</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从三季度的经济数据看，宏观经济增速出现下行，但还是处于合理区间。</w:t>
      </w:r>
      <w:r>
        <w:rPr>
          <w:rFonts w:asciiTheme="minorEastAsia" w:eastAsiaTheme="minorEastAsia" w:hAnsiTheme="minorEastAsia"/>
          <w:color w:val="000000" w:themeColor="text1"/>
          <w:sz w:val="24"/>
        </w:rPr>
        <w:t>1-8</w:t>
      </w:r>
      <w:r>
        <w:rPr>
          <w:rFonts w:asciiTheme="minorEastAsia" w:eastAsiaTheme="minorEastAsia" w:hAnsiTheme="minorEastAsia"/>
          <w:color w:val="000000" w:themeColor="text1"/>
          <w:sz w:val="24"/>
        </w:rPr>
        <w:t>月工业增加值增速</w:t>
      </w:r>
      <w:r>
        <w:rPr>
          <w:rFonts w:asciiTheme="minorEastAsia" w:eastAsiaTheme="minorEastAsia" w:hAnsiTheme="minorEastAsia"/>
          <w:color w:val="000000" w:themeColor="text1"/>
          <w:sz w:val="24"/>
        </w:rPr>
        <w:t>5.6%</w:t>
      </w:r>
      <w:r>
        <w:rPr>
          <w:rFonts w:asciiTheme="minorEastAsia" w:eastAsiaTheme="minorEastAsia" w:hAnsiTheme="minorEastAsia"/>
          <w:color w:val="000000" w:themeColor="text1"/>
          <w:sz w:val="24"/>
        </w:rPr>
        <w:t>，比上期下滑</w:t>
      </w:r>
      <w:r>
        <w:rPr>
          <w:rFonts w:asciiTheme="minorEastAsia" w:eastAsiaTheme="minorEastAsia" w:hAnsiTheme="minorEastAsia"/>
          <w:color w:val="000000" w:themeColor="text1"/>
          <w:sz w:val="24"/>
        </w:rPr>
        <w:t>0.2</w:t>
      </w:r>
      <w:r>
        <w:rPr>
          <w:rFonts w:asciiTheme="minorEastAsia" w:eastAsiaTheme="minorEastAsia" w:hAnsiTheme="minorEastAsia"/>
          <w:color w:val="000000" w:themeColor="text1"/>
          <w:sz w:val="24"/>
        </w:rPr>
        <w:t>个百分点</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全国固定资产投资增速</w:t>
      </w:r>
      <w:r>
        <w:rPr>
          <w:rFonts w:asciiTheme="minorEastAsia" w:eastAsiaTheme="minorEastAsia" w:hAnsiTheme="minorEastAsia"/>
          <w:color w:val="000000" w:themeColor="text1"/>
          <w:sz w:val="24"/>
        </w:rPr>
        <w:t>5.5%</w:t>
      </w:r>
      <w:r>
        <w:rPr>
          <w:rFonts w:asciiTheme="minorEastAsia" w:eastAsiaTheme="minorEastAsia" w:hAnsiTheme="minorEastAsia"/>
          <w:color w:val="000000" w:themeColor="text1"/>
          <w:sz w:val="24"/>
        </w:rPr>
        <w:t>，下降</w:t>
      </w:r>
      <w:r>
        <w:rPr>
          <w:rFonts w:asciiTheme="minorEastAsia" w:eastAsiaTheme="minorEastAsia" w:hAnsiTheme="minorEastAsia"/>
          <w:color w:val="000000" w:themeColor="text1"/>
          <w:sz w:val="24"/>
        </w:rPr>
        <w:t>0.2</w:t>
      </w:r>
      <w:r>
        <w:rPr>
          <w:rFonts w:asciiTheme="minorEastAsia" w:eastAsiaTheme="minorEastAsia" w:hAnsiTheme="minorEastAsia"/>
          <w:color w:val="000000" w:themeColor="text1"/>
          <w:sz w:val="24"/>
        </w:rPr>
        <w:t>个百分点；</w:t>
      </w:r>
      <w:r>
        <w:rPr>
          <w:rFonts w:asciiTheme="minorEastAsia" w:eastAsiaTheme="minorEastAsia" w:hAnsiTheme="minorEastAsia"/>
          <w:color w:val="000000" w:themeColor="text1"/>
          <w:sz w:val="24"/>
        </w:rPr>
        <w:t>8</w:t>
      </w:r>
      <w:r>
        <w:rPr>
          <w:rFonts w:asciiTheme="minorEastAsia" w:eastAsiaTheme="minorEastAsia" w:hAnsiTheme="minorEastAsia"/>
          <w:color w:val="000000" w:themeColor="text1"/>
          <w:sz w:val="24"/>
        </w:rPr>
        <w:t>月制造业</w:t>
      </w:r>
      <w:r>
        <w:rPr>
          <w:rFonts w:asciiTheme="minorEastAsia" w:eastAsiaTheme="minorEastAsia" w:hAnsiTheme="minorEastAsia"/>
          <w:color w:val="000000" w:themeColor="text1"/>
          <w:sz w:val="24"/>
        </w:rPr>
        <w:t>PMI49.5</w:t>
      </w:r>
      <w:r>
        <w:rPr>
          <w:rFonts w:asciiTheme="minorEastAsia" w:eastAsiaTheme="minorEastAsia" w:hAnsiTheme="minorEastAsia"/>
          <w:color w:val="000000" w:themeColor="text1"/>
          <w:sz w:val="24"/>
        </w:rPr>
        <w:t>，预期值</w:t>
      </w:r>
      <w:r>
        <w:rPr>
          <w:rFonts w:asciiTheme="minorEastAsia" w:eastAsiaTheme="minorEastAsia" w:hAnsiTheme="minorEastAsia"/>
          <w:color w:val="000000" w:themeColor="text1"/>
          <w:sz w:val="24"/>
        </w:rPr>
        <w:t>49.7</w:t>
      </w:r>
      <w:r>
        <w:rPr>
          <w:rFonts w:asciiTheme="minorEastAsia" w:eastAsiaTheme="minorEastAsia" w:hAnsiTheme="minorEastAsia"/>
          <w:color w:val="000000" w:themeColor="text1"/>
          <w:sz w:val="24"/>
        </w:rPr>
        <w:t>，非制造业</w:t>
      </w:r>
      <w:r>
        <w:rPr>
          <w:rFonts w:asciiTheme="minorEastAsia" w:eastAsiaTheme="minorEastAsia" w:hAnsiTheme="minorEastAsia"/>
          <w:color w:val="000000" w:themeColor="text1"/>
          <w:sz w:val="24"/>
        </w:rPr>
        <w:t>PMI53.8</w:t>
      </w:r>
      <w:r>
        <w:rPr>
          <w:rFonts w:asciiTheme="minorEastAsia" w:eastAsiaTheme="minorEastAsia" w:hAnsiTheme="minorEastAsia"/>
          <w:color w:val="000000" w:themeColor="text1"/>
          <w:sz w:val="24"/>
        </w:rPr>
        <w:t>，预期值</w:t>
      </w:r>
      <w:r>
        <w:rPr>
          <w:rFonts w:asciiTheme="minorEastAsia" w:eastAsiaTheme="minorEastAsia" w:hAnsiTheme="minorEastAsia"/>
          <w:color w:val="000000" w:themeColor="text1"/>
          <w:sz w:val="24"/>
        </w:rPr>
        <w:t>53.7</w:t>
      </w:r>
      <w:r>
        <w:rPr>
          <w:rFonts w:asciiTheme="minorEastAsia" w:eastAsiaTheme="minorEastAsia" w:hAnsiTheme="minorEastAsia"/>
          <w:color w:val="000000" w:themeColor="text1"/>
          <w:sz w:val="24"/>
        </w:rPr>
        <w:t>，显示制造业继续承压；</w:t>
      </w:r>
      <w:r>
        <w:rPr>
          <w:rFonts w:asciiTheme="minorEastAsia" w:eastAsiaTheme="minorEastAsia" w:hAnsiTheme="minorEastAsia"/>
          <w:color w:val="000000" w:themeColor="text1"/>
          <w:sz w:val="24"/>
        </w:rPr>
        <w:t>8</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CPI</w:t>
      </w:r>
      <w:r>
        <w:rPr>
          <w:rFonts w:asciiTheme="minorEastAsia" w:eastAsiaTheme="minorEastAsia" w:hAnsiTheme="minorEastAsia"/>
          <w:color w:val="000000" w:themeColor="text1"/>
          <w:sz w:val="24"/>
        </w:rPr>
        <w:t>同比</w:t>
      </w:r>
      <w:r>
        <w:rPr>
          <w:rFonts w:asciiTheme="minorEastAsia" w:eastAsiaTheme="minorEastAsia" w:hAnsiTheme="minorEastAsia"/>
          <w:color w:val="000000" w:themeColor="text1"/>
          <w:sz w:val="24"/>
        </w:rPr>
        <w:t>2.8%</w:t>
      </w:r>
      <w:r>
        <w:rPr>
          <w:rFonts w:asciiTheme="minorEastAsia" w:eastAsiaTheme="minorEastAsia" w:hAnsiTheme="minorEastAsia"/>
          <w:color w:val="000000" w:themeColor="text1"/>
          <w:sz w:val="24"/>
        </w:rPr>
        <w:t>，持平上月，</w:t>
      </w:r>
      <w:r>
        <w:rPr>
          <w:rFonts w:asciiTheme="minorEastAsia" w:eastAsiaTheme="minorEastAsia" w:hAnsiTheme="minorEastAsia"/>
          <w:color w:val="000000" w:themeColor="text1"/>
          <w:sz w:val="24"/>
        </w:rPr>
        <w:t>PPI</w:t>
      </w:r>
      <w:r>
        <w:rPr>
          <w:rFonts w:asciiTheme="minorEastAsia" w:eastAsiaTheme="minorEastAsia" w:hAnsiTheme="minorEastAsia"/>
          <w:color w:val="000000" w:themeColor="text1"/>
          <w:sz w:val="24"/>
        </w:rPr>
        <w:t>同比下降</w:t>
      </w:r>
      <w:r>
        <w:rPr>
          <w:rFonts w:asciiTheme="minorEastAsia" w:eastAsiaTheme="minorEastAsia" w:hAnsiTheme="minorEastAsia"/>
          <w:color w:val="000000" w:themeColor="text1"/>
          <w:sz w:val="24"/>
        </w:rPr>
        <w:t>0.8%</w:t>
      </w:r>
      <w:r>
        <w:rPr>
          <w:rFonts w:asciiTheme="minorEastAsia" w:eastAsiaTheme="minorEastAsia" w:hAnsiTheme="minorEastAsia"/>
          <w:color w:val="000000" w:themeColor="text1"/>
          <w:sz w:val="24"/>
        </w:rPr>
        <w:t>，延续小幅负增长，整体而言通胀上行压力较大，但仍处于可控位置。三季度</w:t>
      </w:r>
      <w:r>
        <w:rPr>
          <w:rFonts w:asciiTheme="minorEastAsia" w:eastAsiaTheme="minorEastAsia" w:hAnsiTheme="minorEastAsia"/>
          <w:color w:val="000000" w:themeColor="text1"/>
          <w:sz w:val="24"/>
        </w:rPr>
        <w:t>GDP</w:t>
      </w:r>
      <w:r>
        <w:rPr>
          <w:rFonts w:asciiTheme="minorEastAsia" w:eastAsiaTheme="minorEastAsia" w:hAnsiTheme="minorEastAsia"/>
          <w:color w:val="000000" w:themeColor="text1"/>
          <w:sz w:val="24"/>
        </w:rPr>
        <w:t>同比增速回落概率较高，但在政策开始</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加大逆周期调节力度</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的新变化下，预计年内不会滑出年初的</w:t>
      </w:r>
      <w:r>
        <w:rPr>
          <w:rFonts w:asciiTheme="minorEastAsia" w:eastAsiaTheme="minorEastAsia" w:hAnsiTheme="minorEastAsia"/>
          <w:color w:val="000000" w:themeColor="text1"/>
          <w:sz w:val="24"/>
        </w:rPr>
        <w:t>6%-6.5%</w:t>
      </w:r>
      <w:r>
        <w:rPr>
          <w:rFonts w:asciiTheme="minorEastAsia" w:eastAsiaTheme="minorEastAsia" w:hAnsiTheme="minorEastAsia"/>
          <w:color w:val="000000" w:themeColor="text1"/>
          <w:sz w:val="24"/>
        </w:rPr>
        <w:t>目标</w:t>
      </w:r>
      <w:r>
        <w:rPr>
          <w:rFonts w:asciiTheme="minorEastAsia" w:eastAsiaTheme="minorEastAsia" w:hAnsiTheme="minorEastAsia"/>
          <w:color w:val="000000" w:themeColor="text1"/>
          <w:sz w:val="24"/>
        </w:rPr>
        <w:t>区间。</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回顾三季度，尽管经济运行面临内外部风险的挑战，但货币政策仍保持一定定力，不重走大水漫灌的老路，而是通过减税降费以及机制改革来培育经济内生增长动力。三季度央行改革</w:t>
      </w:r>
      <w:r>
        <w:rPr>
          <w:rFonts w:asciiTheme="minorEastAsia" w:eastAsiaTheme="minorEastAsia" w:hAnsiTheme="minorEastAsia"/>
          <w:color w:val="000000" w:themeColor="text1"/>
          <w:sz w:val="24"/>
        </w:rPr>
        <w:t>LPR</w:t>
      </w:r>
      <w:r>
        <w:rPr>
          <w:rFonts w:asciiTheme="minorEastAsia" w:eastAsiaTheme="minorEastAsia" w:hAnsiTheme="minorEastAsia"/>
          <w:color w:val="000000" w:themeColor="text1"/>
          <w:sz w:val="24"/>
        </w:rPr>
        <w:t>机制，</w:t>
      </w:r>
      <w:r>
        <w:rPr>
          <w:rFonts w:asciiTheme="minorEastAsia" w:eastAsiaTheme="minorEastAsia" w:hAnsiTheme="minorEastAsia"/>
          <w:color w:val="000000" w:themeColor="text1"/>
          <w:sz w:val="24"/>
        </w:rPr>
        <w:t>9</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日宣布全面降准</w:t>
      </w:r>
      <w:r>
        <w:rPr>
          <w:rFonts w:asciiTheme="minorEastAsia" w:eastAsiaTheme="minorEastAsia" w:hAnsiTheme="minorEastAsia"/>
          <w:color w:val="000000" w:themeColor="text1"/>
          <w:sz w:val="24"/>
        </w:rPr>
        <w:t>0.5%</w:t>
      </w:r>
      <w:r>
        <w:rPr>
          <w:rFonts w:asciiTheme="minorEastAsia" w:eastAsiaTheme="minorEastAsia" w:hAnsiTheme="minorEastAsia"/>
          <w:color w:val="000000" w:themeColor="text1"/>
          <w:sz w:val="24"/>
        </w:rPr>
        <w:t>与定向降准</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主要目的都在于通过市场化的方式降低贷款实际利率，进一步打通市场利率向实体经济的传导而并非货币政策稳健中性的取向转变。受此影响，三季度总体而言资金面呈现松紧有度的态势，除了缴税缴款以及季末月末等特殊时点之外，</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天回购价格基本围绕利率走廊下限波动。</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年期国开债收益率较上季度小幅上升维持</w:t>
      </w:r>
      <w:r>
        <w:rPr>
          <w:rFonts w:asciiTheme="minorEastAsia" w:eastAsiaTheme="minorEastAsia" w:hAnsiTheme="minorEastAsia"/>
          <w:color w:val="000000" w:themeColor="text1"/>
          <w:sz w:val="24"/>
        </w:rPr>
        <w:t>2.6</w:t>
      </w:r>
      <w:r>
        <w:rPr>
          <w:rFonts w:asciiTheme="minorEastAsia" w:eastAsiaTheme="minorEastAsia" w:hAnsiTheme="minorEastAsia"/>
          <w:color w:val="000000" w:themeColor="text1"/>
          <w:sz w:val="24"/>
        </w:rPr>
        <w:t>3%-2.78%</w:t>
      </w:r>
      <w:r>
        <w:rPr>
          <w:rFonts w:asciiTheme="minorEastAsia" w:eastAsiaTheme="minorEastAsia" w:hAnsiTheme="minorEastAsia"/>
          <w:color w:val="000000" w:themeColor="text1"/>
          <w:sz w:val="24"/>
        </w:rPr>
        <w:t>区间震荡；</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年期国开债收益率在</w:t>
      </w:r>
      <w:r>
        <w:rPr>
          <w:rFonts w:asciiTheme="minorEastAsia" w:eastAsiaTheme="minorEastAsia" w:hAnsiTheme="minorEastAsia"/>
          <w:color w:val="000000" w:themeColor="text1"/>
          <w:sz w:val="24"/>
        </w:rPr>
        <w:t>3.4%-3.6%</w:t>
      </w:r>
      <w:r>
        <w:rPr>
          <w:rFonts w:asciiTheme="minorEastAsia" w:eastAsiaTheme="minorEastAsia" w:hAnsiTheme="minorEastAsia"/>
          <w:color w:val="000000" w:themeColor="text1"/>
          <w:sz w:val="24"/>
        </w:rPr>
        <w:t>区间震荡；</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个月同业存单发行利率基本维持在</w:t>
      </w:r>
      <w:r>
        <w:rPr>
          <w:rFonts w:asciiTheme="minorEastAsia" w:eastAsiaTheme="minorEastAsia" w:hAnsiTheme="minorEastAsia"/>
          <w:color w:val="000000" w:themeColor="text1"/>
          <w:sz w:val="24"/>
        </w:rPr>
        <w:t>2.74%-2.94%</w:t>
      </w:r>
      <w:r>
        <w:rPr>
          <w:rFonts w:asciiTheme="minorEastAsia" w:eastAsiaTheme="minorEastAsia" w:hAnsiTheme="minorEastAsia"/>
          <w:color w:val="000000" w:themeColor="text1"/>
          <w:sz w:val="24"/>
        </w:rPr>
        <w:t>左右。</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本基金三季度继续以流动性和安全性为首要目标，合理控制久期，优化各类资产配置比例，坚决防范信用风险，无论在银行存单还是信用债配置方面都坚持高等级原则。同时控制组合整体风险，力争在提高基金收益水平的同时，维护组合安全性。</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展望四季度，货币政策或将会继续保持定力，维护市场利率处于正常水平，未来财政或将发力，减税降费和专项债发行将是经济阶段性企稳的重要手段。操作上，本基金会继续保持稳健的投资风格，严格防范各类风险，遵守各项监管要求，密切关注现金流动向，确保组合流动性和安全性，谨记货币基金现金管理工具的原则，同时关注海内外市场及监管政策变化，灵活调整资产配置，力争为投资者提供稳健的长期回报。</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4.4.2报告期内基金的业绩表现</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本报告期上投摩根天添盈货币</w:t>
      </w:r>
      <w:r>
        <w:rPr>
          <w:rFonts w:asciiTheme="minorEastAsia" w:eastAsiaTheme="minorEastAsia" w:hAnsiTheme="minorEastAsia"/>
          <w:color w:val="000000" w:themeColor="text1"/>
          <w:sz w:val="24"/>
        </w:rPr>
        <w:t>A</w:t>
      </w:r>
      <w:r>
        <w:rPr>
          <w:rFonts w:asciiTheme="minorEastAsia" w:eastAsiaTheme="minorEastAsia" w:hAnsiTheme="minorEastAsia"/>
          <w:color w:val="000000" w:themeColor="text1"/>
          <w:sz w:val="24"/>
        </w:rPr>
        <w:t>份额净值增长率为</w:t>
      </w:r>
      <w:r>
        <w:rPr>
          <w:rFonts w:asciiTheme="minorEastAsia" w:eastAsiaTheme="minorEastAsia" w:hAnsiTheme="minorEastAsia"/>
          <w:color w:val="000000" w:themeColor="text1"/>
          <w:sz w:val="24"/>
        </w:rPr>
        <w:t>:0.5606%</w:t>
      </w:r>
      <w:r>
        <w:rPr>
          <w:rFonts w:asciiTheme="minorEastAsia" w:eastAsiaTheme="minorEastAsia" w:hAnsiTheme="minorEastAsia"/>
          <w:color w:val="000000" w:themeColor="text1"/>
          <w:sz w:val="24"/>
        </w:rPr>
        <w:t>，同期业绩比较基准收益率为</w:t>
      </w:r>
      <w:r>
        <w:rPr>
          <w:rFonts w:asciiTheme="minorEastAsia" w:eastAsiaTheme="minorEastAsia" w:hAnsiTheme="minorEastAsia"/>
          <w:color w:val="000000" w:themeColor="text1"/>
          <w:sz w:val="24"/>
        </w:rPr>
        <w:t>:0.3403%</w:t>
      </w:r>
      <w:r>
        <w:rPr>
          <w:rFonts w:asciiTheme="minorEastAsia" w:eastAsiaTheme="minorEastAsia" w:hAnsiTheme="minorEastAsia"/>
          <w:color w:val="000000" w:themeColor="text1"/>
          <w:sz w:val="24"/>
        </w:rPr>
        <w:t>。</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上投摩根天添盈货币</w:t>
      </w:r>
      <w:r>
        <w:rPr>
          <w:rFonts w:asciiTheme="minorEastAsia" w:eastAsiaTheme="minorEastAsia" w:hAnsiTheme="minorEastAsia"/>
          <w:color w:val="000000" w:themeColor="text1"/>
          <w:sz w:val="24"/>
        </w:rPr>
        <w:t>E</w:t>
      </w:r>
      <w:r>
        <w:rPr>
          <w:rFonts w:asciiTheme="minorEastAsia" w:eastAsiaTheme="minorEastAsia" w:hAnsiTheme="minorEastAsia"/>
          <w:color w:val="000000" w:themeColor="text1"/>
          <w:sz w:val="24"/>
        </w:rPr>
        <w:t>份额净值增长率为</w:t>
      </w:r>
      <w:r>
        <w:rPr>
          <w:rFonts w:asciiTheme="minorEastAsia" w:eastAsiaTheme="minorEastAsia" w:hAnsiTheme="minorEastAsia"/>
          <w:color w:val="000000" w:themeColor="text1"/>
          <w:sz w:val="24"/>
        </w:rPr>
        <w:t>:0.5987%</w:t>
      </w:r>
      <w:r>
        <w:rPr>
          <w:rFonts w:asciiTheme="minorEastAsia" w:eastAsiaTheme="minorEastAsia" w:hAnsiTheme="minorEastAsia"/>
          <w:color w:val="000000" w:themeColor="text1"/>
          <w:sz w:val="24"/>
        </w:rPr>
        <w:t>，同期业绩比较基准收益率为</w:t>
      </w:r>
      <w:r>
        <w:rPr>
          <w:rFonts w:asciiTheme="minorEastAsia" w:eastAsiaTheme="minorEastAsia" w:hAnsiTheme="minorEastAsia"/>
          <w:color w:val="000000" w:themeColor="text1"/>
          <w:sz w:val="24"/>
        </w:rPr>
        <w:t>:0.3403%</w:t>
      </w:r>
      <w:r>
        <w:rPr>
          <w:rFonts w:asciiTheme="minorEastAsia" w:eastAsiaTheme="minorEastAsia" w:hAnsiTheme="minorEastAsia"/>
          <w:color w:val="000000" w:themeColor="text1"/>
          <w:sz w:val="24"/>
        </w:rPr>
        <w:t>。</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上投摩根天添盈货币B类本报告期内无份额。</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394455" w:rsidRPr="00593AD2" w:rsidRDefault="00455AA7" w:rsidP="00394455">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b/>
          <w:color w:val="000000" w:themeColor="text1"/>
          <w:kern w:val="0"/>
          <w:sz w:val="24"/>
        </w:rPr>
        <w:t>4</w:t>
      </w:r>
      <w:r w:rsidRPr="00593AD2">
        <w:rPr>
          <w:rFonts w:asciiTheme="minorEastAsia" w:eastAsiaTheme="minorEastAsia" w:hAnsiTheme="minorEastAsia" w:hint="eastAsia"/>
          <w:b/>
          <w:color w:val="000000" w:themeColor="text1"/>
          <w:kern w:val="0"/>
          <w:sz w:val="24"/>
        </w:rPr>
        <w:t>.5</w:t>
      </w:r>
      <w:r w:rsidR="00394455" w:rsidRPr="00593AD2">
        <w:rPr>
          <w:rFonts w:asciiTheme="minorEastAsia" w:eastAsiaTheme="minorEastAsia" w:hAnsiTheme="minorEastAsia" w:hint="eastAsia"/>
          <w:b/>
          <w:color w:val="000000" w:themeColor="text1"/>
          <w:kern w:val="0"/>
          <w:sz w:val="24"/>
        </w:rPr>
        <w:t>报告期内基金持有人数或基金资产净值预警说明</w:t>
      </w:r>
    </w:p>
    <w:p w:rsidR="00394455" w:rsidRPr="00593AD2" w:rsidRDefault="00394455" w:rsidP="00394455">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无。</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5  </w:t>
      </w:r>
      <w:r w:rsidRPr="00593AD2">
        <w:rPr>
          <w:rFonts w:asciiTheme="minorEastAsia" w:eastAsiaTheme="minorEastAsia" w:hAnsiTheme="minorEastAsia" w:cs="Arial" w:hint="eastAsia"/>
          <w:color w:val="000000" w:themeColor="text1"/>
          <w:kern w:val="0"/>
          <w:sz w:val="24"/>
          <w:szCs w:val="24"/>
        </w:rPr>
        <w:t>投资组合报告</w:t>
      </w:r>
    </w:p>
    <w:p w:rsidR="00902E3F" w:rsidRPr="00593AD2" w:rsidRDefault="00902E3F" w:rsidP="003A0EC1">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5.1 </w:t>
      </w:r>
      <w:r w:rsidRPr="00593AD2">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序号</w:t>
            </w:r>
          </w:p>
        </w:tc>
        <w:tc>
          <w:tcPr>
            <w:tcW w:w="3357"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3119"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金额(元)</w:t>
            </w:r>
          </w:p>
        </w:tc>
        <w:tc>
          <w:tcPr>
            <w:tcW w:w="1843"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占基金总资产的比例(</w:t>
            </w: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1</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固定收益投资</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4,370,224,234.92</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48.64</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其中：债券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4,370,224,234.92</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48.64</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5D1BAF">
            <w:pPr>
              <w:autoSpaceDE w:val="0"/>
              <w:autoSpaceDN w:val="0"/>
              <w:adjustRightInd w:val="0"/>
              <w:spacing w:before="29" w:line="360" w:lineRule="auto"/>
              <w:ind w:left="17" w:firstLineChars="300" w:firstLine="720"/>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资产支持证券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2</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809,335,350.05</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9.01</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其中：买断式回购的买入返售</w:t>
            </w:r>
            <w:r w:rsidRPr="00593AD2">
              <w:rPr>
                <w:rFonts w:asciiTheme="minorEastAsia" w:eastAsiaTheme="minorEastAsia" w:hAnsiTheme="minorEastAsia" w:cs="宋体" w:hint="eastAsia"/>
                <w:color w:val="000000" w:themeColor="text1"/>
                <w:sz w:val="24"/>
              </w:rPr>
              <w:lastRenderedPageBreak/>
              <w:t>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lastRenderedPageBreak/>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5F17EC"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lastRenderedPageBreak/>
              <w:t>3</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银行存款和结算备付金合计</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3,700,036,953.03</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41.18</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4</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其他资产</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104,696,080.80</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1.17</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5</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合计</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8,984,292,618.80</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100.00</w:t>
            </w:r>
          </w:p>
        </w:tc>
      </w:tr>
    </w:tbl>
    <w:p w:rsidR="004771B9" w:rsidRPr="00593AD2"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5.2 </w:t>
      </w:r>
      <w:r w:rsidRPr="00593AD2">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593AD2" w:rsidRPr="00593AD2"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0.48</w:t>
            </w:r>
          </w:p>
        </w:tc>
      </w:tr>
      <w:tr w:rsidR="00593AD2" w:rsidRPr="00593AD2"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vMerge w:val="restart"/>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vMerge/>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bl>
    <w:p w:rsidR="00DB2873" w:rsidRPr="00593AD2" w:rsidRDefault="00DB2873" w:rsidP="00196812">
      <w:pPr>
        <w:spacing w:line="360" w:lineRule="auto"/>
        <w:rPr>
          <w:rFonts w:asciiTheme="minorEastAsia" w:eastAsiaTheme="minorEastAsia" w:hAnsiTheme="minorEastAsia"/>
          <w:color w:val="000000" w:themeColor="text1"/>
          <w:sz w:val="24"/>
        </w:rPr>
      </w:pPr>
    </w:p>
    <w:p w:rsidR="004771B9" w:rsidRPr="00593AD2" w:rsidRDefault="004771B9"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hint="eastAsia"/>
          <w:b/>
          <w:color w:val="000000" w:themeColor="text1"/>
          <w:kern w:val="0"/>
          <w:sz w:val="24"/>
        </w:rPr>
        <w:t>债券正回购的资金余额超过基金资产净值的</w:t>
      </w:r>
      <w:r w:rsidRPr="00593AD2">
        <w:rPr>
          <w:rFonts w:asciiTheme="minorEastAsia" w:eastAsiaTheme="minorEastAsia" w:hAnsiTheme="minorEastAsia" w:cs="Arial"/>
          <w:b/>
          <w:color w:val="000000" w:themeColor="text1"/>
          <w:kern w:val="0"/>
          <w:sz w:val="24"/>
        </w:rPr>
        <w:t>20</w:t>
      </w:r>
      <w:r w:rsidRPr="00593AD2">
        <w:rPr>
          <w:rFonts w:asciiTheme="minorEastAsia" w:eastAsiaTheme="minorEastAsia" w:hAnsiTheme="minorEastAsia" w:cs="Arial" w:hint="eastAsia"/>
          <w:b/>
          <w:color w:val="000000" w:themeColor="text1"/>
          <w:kern w:val="0"/>
          <w:sz w:val="24"/>
        </w:rPr>
        <w:t>％的说明</w:t>
      </w:r>
    </w:p>
    <w:p w:rsidR="007521F9" w:rsidRPr="00593AD2"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5.3 </w:t>
      </w:r>
      <w:r w:rsidRPr="00593AD2">
        <w:rPr>
          <w:rFonts w:asciiTheme="minorEastAsia" w:eastAsiaTheme="minorEastAsia" w:hAnsiTheme="minorEastAsia" w:cs="Arial" w:hint="eastAsia"/>
          <w:b/>
          <w:color w:val="000000" w:themeColor="text1"/>
          <w:kern w:val="0"/>
          <w:sz w:val="24"/>
        </w:rPr>
        <w:t>基金投资组合平均剩余期限</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109</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117</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108</w:t>
            </w:r>
          </w:p>
        </w:tc>
      </w:tr>
    </w:tbl>
    <w:p w:rsidR="006B4FD5" w:rsidRPr="003025FA" w:rsidRDefault="006B4FD5" w:rsidP="006B4FD5">
      <w:pPr>
        <w:spacing w:line="360" w:lineRule="auto"/>
        <w:rPr>
          <w:rFonts w:asciiTheme="minorEastAsia" w:eastAsiaTheme="minorEastAsia" w:hAnsiTheme="minorEastAsia"/>
          <w:b/>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lastRenderedPageBreak/>
        <w:t>根据基金合同约定，本基金投资组合的平均剩余期限不超过120天。在本报告期内本基金未出现投资组合平均剩余期限超过120天的情况。</w:t>
      </w:r>
    </w:p>
    <w:p w:rsidR="006B4FD5" w:rsidRPr="003025FA" w:rsidRDefault="006B4FD5" w:rsidP="006B4FD5">
      <w:pPr>
        <w:adjustRightInd w:val="0"/>
        <w:spacing w:line="360" w:lineRule="auto"/>
        <w:rPr>
          <w:rFonts w:asciiTheme="minorEastAsia" w:eastAsiaTheme="minorEastAsia" w:hAnsiTheme="minorEastAsia"/>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25.90</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15.13</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8.00</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7.77</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42.69</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99.49</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a"/>
        <w:tblW w:w="9307" w:type="dxa"/>
        <w:tblInd w:w="15" w:type="dxa"/>
        <w:tblLayout w:type="fixed"/>
        <w:tblLook w:val="04A0" w:firstRow="1" w:lastRow="0" w:firstColumn="1" w:lastColumn="0" w:noHBand="0" w:noVBand="1"/>
      </w:tblPr>
      <w:tblGrid>
        <w:gridCol w:w="894"/>
        <w:gridCol w:w="2743"/>
        <w:gridCol w:w="3686"/>
        <w:gridCol w:w="1984"/>
      </w:tblGrid>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lastRenderedPageBreak/>
              <w:t>序号</w:t>
            </w:r>
          </w:p>
        </w:tc>
        <w:tc>
          <w:tcPr>
            <w:tcW w:w="2743"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49,958,534.31</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0.56</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530,773,183.55</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5.91</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530,773,183.55</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5.91</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1,090,381,165.41</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12.15</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B1623D"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6B4FD5" w:rsidRPr="00B1623D"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2,699,111,351.65</w:t>
            </w:r>
          </w:p>
        </w:tc>
        <w:tc>
          <w:tcPr>
            <w:tcW w:w="1984"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30.07</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4,370,224,234.92</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48.69</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a"/>
        <w:tblW w:w="0" w:type="auto"/>
        <w:tblInd w:w="15" w:type="dxa"/>
        <w:tblLook w:val="04A0" w:firstRow="1" w:lastRow="0" w:firstColumn="1" w:lastColumn="0" w:noHBand="0" w:noVBand="1"/>
      </w:tblPr>
      <w:tblGrid>
        <w:gridCol w:w="1106"/>
        <w:gridCol w:w="1445"/>
        <w:gridCol w:w="1880"/>
        <w:gridCol w:w="1656"/>
        <w:gridCol w:w="1896"/>
        <w:gridCol w:w="1304"/>
      </w:tblGrid>
      <w:tr w:rsidR="006B4FD5" w:rsidRPr="003025FA" w:rsidTr="00182D82">
        <w:tc>
          <w:tcPr>
            <w:tcW w:w="1547"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1</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111983611</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宁波银行</w:t>
            </w:r>
            <w:r>
              <w:rPr>
                <w:rFonts w:asciiTheme="minorEastAsia" w:eastAsiaTheme="minorEastAsia" w:hAnsiTheme="minorEastAsia"/>
                <w:color w:val="000000" w:themeColor="text1"/>
                <w:sz w:val="24"/>
              </w:rPr>
              <w:t>CD151</w:t>
            </w:r>
          </w:p>
        </w:tc>
        <w:tc>
          <w:tcPr>
            <w:tcW w:w="0" w:type="auto"/>
            <w:vAlign w:val="center"/>
          </w:tcPr>
          <w:p w:rsidR="00B15891" w:rsidRDefault="00E47896">
            <w:pPr>
              <w:jc w:val="right"/>
            </w:pPr>
            <w:r>
              <w:rPr>
                <w:rFonts w:asciiTheme="minorEastAsia" w:eastAsiaTheme="minorEastAsia" w:hAnsiTheme="minorEastAsia"/>
                <w:color w:val="000000" w:themeColor="text1"/>
                <w:sz w:val="24"/>
              </w:rPr>
              <w:t>3,000,000.00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299,365,714.05</w:t>
            </w:r>
          </w:p>
        </w:tc>
        <w:tc>
          <w:tcPr>
            <w:tcW w:w="0" w:type="auto"/>
            <w:vAlign w:val="center"/>
          </w:tcPr>
          <w:p w:rsidR="00B15891" w:rsidRDefault="00E47896">
            <w:pPr>
              <w:jc w:val="right"/>
            </w:pPr>
            <w:r>
              <w:rPr>
                <w:rFonts w:asciiTheme="minorEastAsia" w:eastAsiaTheme="minorEastAsia" w:hAnsiTheme="minorEastAsia"/>
                <w:color w:val="000000" w:themeColor="text1"/>
                <w:sz w:val="24"/>
              </w:rPr>
              <w:t>3.34</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2</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111918026</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华夏银行</w:t>
            </w:r>
            <w:r>
              <w:rPr>
                <w:rFonts w:asciiTheme="minorEastAsia" w:eastAsiaTheme="minorEastAsia" w:hAnsiTheme="minorEastAsia"/>
                <w:color w:val="000000" w:themeColor="text1"/>
                <w:sz w:val="24"/>
              </w:rPr>
              <w:t>CD026</w:t>
            </w:r>
          </w:p>
        </w:tc>
        <w:tc>
          <w:tcPr>
            <w:tcW w:w="0" w:type="auto"/>
            <w:vAlign w:val="center"/>
          </w:tcPr>
          <w:p w:rsidR="00B15891" w:rsidRDefault="00E47896">
            <w:pPr>
              <w:jc w:val="right"/>
            </w:pPr>
            <w:r>
              <w:rPr>
                <w:rFonts w:asciiTheme="minorEastAsia" w:eastAsiaTheme="minorEastAsia" w:hAnsiTheme="minorEastAsia"/>
                <w:color w:val="000000" w:themeColor="text1"/>
                <w:sz w:val="24"/>
              </w:rPr>
              <w:t>2,400,000.00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239,542,546.32</w:t>
            </w:r>
          </w:p>
        </w:tc>
        <w:tc>
          <w:tcPr>
            <w:tcW w:w="0" w:type="auto"/>
            <w:vAlign w:val="center"/>
          </w:tcPr>
          <w:p w:rsidR="00B15891" w:rsidRDefault="00E47896">
            <w:pPr>
              <w:jc w:val="right"/>
            </w:pPr>
            <w:r>
              <w:rPr>
                <w:rFonts w:asciiTheme="minorEastAsia" w:eastAsiaTheme="minorEastAsia" w:hAnsiTheme="minorEastAsia"/>
                <w:color w:val="000000" w:themeColor="text1"/>
                <w:sz w:val="24"/>
              </w:rPr>
              <w:t>2.67</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3</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111916217</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上海银行</w:t>
            </w:r>
            <w:r>
              <w:rPr>
                <w:rFonts w:asciiTheme="minorEastAsia" w:eastAsiaTheme="minorEastAsia" w:hAnsiTheme="minorEastAsia"/>
                <w:color w:val="000000" w:themeColor="text1"/>
                <w:sz w:val="24"/>
              </w:rPr>
              <w:t>CD217</w:t>
            </w:r>
          </w:p>
        </w:tc>
        <w:tc>
          <w:tcPr>
            <w:tcW w:w="0" w:type="auto"/>
            <w:vAlign w:val="center"/>
          </w:tcPr>
          <w:p w:rsidR="00B15891" w:rsidRDefault="00E47896">
            <w:pPr>
              <w:jc w:val="right"/>
            </w:pPr>
            <w:r>
              <w:rPr>
                <w:rFonts w:asciiTheme="minorEastAsia" w:eastAsiaTheme="minorEastAsia" w:hAnsiTheme="minorEastAsia"/>
                <w:color w:val="000000" w:themeColor="text1"/>
                <w:sz w:val="24"/>
              </w:rPr>
              <w:t>2,000,000.00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199,471,357.22</w:t>
            </w:r>
          </w:p>
        </w:tc>
        <w:tc>
          <w:tcPr>
            <w:tcW w:w="0" w:type="auto"/>
            <w:vAlign w:val="center"/>
          </w:tcPr>
          <w:p w:rsidR="00B15891" w:rsidRDefault="00E47896">
            <w:pPr>
              <w:jc w:val="right"/>
            </w:pPr>
            <w:r>
              <w:rPr>
                <w:rFonts w:asciiTheme="minorEastAsia" w:eastAsiaTheme="minorEastAsia" w:hAnsiTheme="minorEastAsia"/>
                <w:color w:val="000000" w:themeColor="text1"/>
                <w:sz w:val="24"/>
              </w:rPr>
              <w:t>2.22</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4</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111907114</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招商银行</w:t>
            </w:r>
            <w:r>
              <w:rPr>
                <w:rFonts w:asciiTheme="minorEastAsia" w:eastAsiaTheme="minorEastAsia" w:hAnsiTheme="minorEastAsia"/>
                <w:color w:val="000000" w:themeColor="text1"/>
                <w:sz w:val="24"/>
              </w:rPr>
              <w:t>CD114</w:t>
            </w:r>
          </w:p>
        </w:tc>
        <w:tc>
          <w:tcPr>
            <w:tcW w:w="0" w:type="auto"/>
            <w:vAlign w:val="center"/>
          </w:tcPr>
          <w:p w:rsidR="00B15891" w:rsidRDefault="00E47896">
            <w:pPr>
              <w:jc w:val="right"/>
            </w:pPr>
            <w:r>
              <w:rPr>
                <w:rFonts w:asciiTheme="minorEastAsia" w:eastAsiaTheme="minorEastAsia" w:hAnsiTheme="minorEastAsia"/>
                <w:color w:val="000000" w:themeColor="text1"/>
                <w:sz w:val="24"/>
              </w:rPr>
              <w:t>2,000,000.00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197,055,218.32</w:t>
            </w:r>
          </w:p>
        </w:tc>
        <w:tc>
          <w:tcPr>
            <w:tcW w:w="0" w:type="auto"/>
            <w:vAlign w:val="center"/>
          </w:tcPr>
          <w:p w:rsidR="00B15891" w:rsidRDefault="00E47896">
            <w:pPr>
              <w:jc w:val="right"/>
            </w:pPr>
            <w:r>
              <w:rPr>
                <w:rFonts w:asciiTheme="minorEastAsia" w:eastAsiaTheme="minorEastAsia" w:hAnsiTheme="minorEastAsia"/>
                <w:color w:val="000000" w:themeColor="text1"/>
                <w:sz w:val="24"/>
              </w:rPr>
              <w:t>2.20</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5</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111987485</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上海农商银行</w:t>
            </w:r>
            <w:r>
              <w:rPr>
                <w:rFonts w:asciiTheme="minorEastAsia" w:eastAsiaTheme="minorEastAsia" w:hAnsiTheme="minorEastAsia"/>
                <w:color w:val="000000" w:themeColor="text1"/>
                <w:sz w:val="24"/>
              </w:rPr>
              <w:t>CD082</w:t>
            </w:r>
          </w:p>
        </w:tc>
        <w:tc>
          <w:tcPr>
            <w:tcW w:w="0" w:type="auto"/>
            <w:vAlign w:val="center"/>
          </w:tcPr>
          <w:p w:rsidR="00B15891" w:rsidRDefault="00E47896">
            <w:pPr>
              <w:jc w:val="right"/>
            </w:pPr>
            <w:r>
              <w:rPr>
                <w:rFonts w:asciiTheme="minorEastAsia" w:eastAsiaTheme="minorEastAsia" w:hAnsiTheme="minorEastAsia"/>
                <w:color w:val="000000" w:themeColor="text1"/>
                <w:sz w:val="24"/>
              </w:rPr>
              <w:t>1,500,000.00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149,893,216.33</w:t>
            </w:r>
          </w:p>
        </w:tc>
        <w:tc>
          <w:tcPr>
            <w:tcW w:w="0" w:type="auto"/>
            <w:vAlign w:val="center"/>
          </w:tcPr>
          <w:p w:rsidR="00B15891" w:rsidRDefault="00E47896">
            <w:pPr>
              <w:jc w:val="right"/>
            </w:pPr>
            <w:r>
              <w:rPr>
                <w:rFonts w:asciiTheme="minorEastAsia" w:eastAsiaTheme="minorEastAsia" w:hAnsiTheme="minorEastAsia"/>
                <w:color w:val="000000" w:themeColor="text1"/>
                <w:sz w:val="24"/>
              </w:rPr>
              <w:t>1.67</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6</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111812200</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18</w:t>
            </w:r>
            <w:r>
              <w:rPr>
                <w:rFonts w:asciiTheme="minorEastAsia" w:eastAsiaTheme="minorEastAsia" w:hAnsiTheme="minorEastAsia"/>
                <w:color w:val="000000" w:themeColor="text1"/>
                <w:sz w:val="24"/>
              </w:rPr>
              <w:t>北京银行</w:t>
            </w:r>
            <w:r>
              <w:rPr>
                <w:rFonts w:asciiTheme="minorEastAsia" w:eastAsiaTheme="minorEastAsia" w:hAnsiTheme="minorEastAsia"/>
                <w:color w:val="000000" w:themeColor="text1"/>
                <w:sz w:val="24"/>
              </w:rPr>
              <w:t>CD200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1,500,000.00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149,875,559.82</w:t>
            </w:r>
          </w:p>
        </w:tc>
        <w:tc>
          <w:tcPr>
            <w:tcW w:w="0" w:type="auto"/>
            <w:vAlign w:val="center"/>
          </w:tcPr>
          <w:p w:rsidR="00B15891" w:rsidRDefault="00E47896">
            <w:pPr>
              <w:jc w:val="right"/>
            </w:pPr>
            <w:r>
              <w:rPr>
                <w:rFonts w:asciiTheme="minorEastAsia" w:eastAsiaTheme="minorEastAsia" w:hAnsiTheme="minorEastAsia"/>
                <w:color w:val="000000" w:themeColor="text1"/>
                <w:sz w:val="24"/>
              </w:rPr>
              <w:t>1.67</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lastRenderedPageBreak/>
              <w:t>7</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111904023</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中国银行</w:t>
            </w:r>
            <w:r>
              <w:rPr>
                <w:rFonts w:asciiTheme="minorEastAsia" w:eastAsiaTheme="minorEastAsia" w:hAnsiTheme="minorEastAsia"/>
                <w:color w:val="000000" w:themeColor="text1"/>
                <w:sz w:val="24"/>
              </w:rPr>
              <w:t>CD023</w:t>
            </w:r>
          </w:p>
        </w:tc>
        <w:tc>
          <w:tcPr>
            <w:tcW w:w="0" w:type="auto"/>
            <w:vAlign w:val="center"/>
          </w:tcPr>
          <w:p w:rsidR="00B15891" w:rsidRDefault="00E47896">
            <w:pPr>
              <w:jc w:val="right"/>
            </w:pPr>
            <w:r>
              <w:rPr>
                <w:rFonts w:asciiTheme="minorEastAsia" w:eastAsiaTheme="minorEastAsia" w:hAnsiTheme="minorEastAsia"/>
                <w:color w:val="000000" w:themeColor="text1"/>
                <w:sz w:val="24"/>
              </w:rPr>
              <w:t>1,500,000.00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147,429,309.28</w:t>
            </w:r>
          </w:p>
        </w:tc>
        <w:tc>
          <w:tcPr>
            <w:tcW w:w="0" w:type="auto"/>
            <w:vAlign w:val="center"/>
          </w:tcPr>
          <w:p w:rsidR="00B15891" w:rsidRDefault="00E47896">
            <w:pPr>
              <w:jc w:val="right"/>
            </w:pPr>
            <w:r>
              <w:rPr>
                <w:rFonts w:asciiTheme="minorEastAsia" w:eastAsiaTheme="minorEastAsia" w:hAnsiTheme="minorEastAsia"/>
                <w:color w:val="000000" w:themeColor="text1"/>
                <w:sz w:val="24"/>
              </w:rPr>
              <w:t>1.64</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8</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190402</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02</w:t>
            </w:r>
          </w:p>
        </w:tc>
        <w:tc>
          <w:tcPr>
            <w:tcW w:w="0" w:type="auto"/>
            <w:vAlign w:val="center"/>
          </w:tcPr>
          <w:p w:rsidR="00B15891" w:rsidRDefault="00E47896">
            <w:pPr>
              <w:jc w:val="right"/>
            </w:pPr>
            <w:r>
              <w:rPr>
                <w:rFonts w:asciiTheme="minorEastAsia" w:eastAsiaTheme="minorEastAsia" w:hAnsiTheme="minorEastAsia"/>
                <w:color w:val="000000" w:themeColor="text1"/>
                <w:sz w:val="24"/>
              </w:rPr>
              <w:t>1,200,000.00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119,767,888.11</w:t>
            </w:r>
          </w:p>
        </w:tc>
        <w:tc>
          <w:tcPr>
            <w:tcW w:w="0" w:type="auto"/>
            <w:vAlign w:val="center"/>
          </w:tcPr>
          <w:p w:rsidR="00B15891" w:rsidRDefault="00E47896">
            <w:pPr>
              <w:jc w:val="right"/>
            </w:pPr>
            <w:r>
              <w:rPr>
                <w:rFonts w:asciiTheme="minorEastAsia" w:eastAsiaTheme="minorEastAsia" w:hAnsiTheme="minorEastAsia"/>
                <w:color w:val="000000" w:themeColor="text1"/>
                <w:sz w:val="24"/>
              </w:rPr>
              <w:t>1.33</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9</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180410</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18</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10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1,100,000.00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110,007,544.43</w:t>
            </w:r>
          </w:p>
        </w:tc>
        <w:tc>
          <w:tcPr>
            <w:tcW w:w="0" w:type="auto"/>
            <w:vAlign w:val="center"/>
          </w:tcPr>
          <w:p w:rsidR="00B15891" w:rsidRDefault="00E47896">
            <w:pPr>
              <w:jc w:val="right"/>
            </w:pPr>
            <w:r>
              <w:rPr>
                <w:rFonts w:asciiTheme="minorEastAsia" w:eastAsiaTheme="minorEastAsia" w:hAnsiTheme="minorEastAsia"/>
                <w:color w:val="000000" w:themeColor="text1"/>
                <w:sz w:val="24"/>
              </w:rPr>
              <w:t>1.23</w:t>
            </w:r>
          </w:p>
        </w:tc>
      </w:tr>
      <w:tr w:rsidR="00B15891">
        <w:tc>
          <w:tcPr>
            <w:tcW w:w="0" w:type="auto"/>
            <w:vAlign w:val="center"/>
          </w:tcPr>
          <w:p w:rsidR="00B15891" w:rsidRDefault="00E47896">
            <w:pPr>
              <w:jc w:val="center"/>
            </w:pPr>
            <w:r>
              <w:rPr>
                <w:rFonts w:asciiTheme="minorEastAsia" w:eastAsiaTheme="minorEastAsia" w:hAnsiTheme="minorEastAsia"/>
                <w:color w:val="000000" w:themeColor="text1"/>
                <w:sz w:val="24"/>
              </w:rPr>
              <w:t>10</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111916238</w:t>
            </w:r>
          </w:p>
        </w:tc>
        <w:tc>
          <w:tcPr>
            <w:tcW w:w="0" w:type="auto"/>
            <w:vAlign w:val="center"/>
          </w:tcPr>
          <w:p w:rsidR="00B15891" w:rsidRDefault="00E47896">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上海银行</w:t>
            </w:r>
            <w:r>
              <w:rPr>
                <w:rFonts w:asciiTheme="minorEastAsia" w:eastAsiaTheme="minorEastAsia" w:hAnsiTheme="minorEastAsia"/>
                <w:color w:val="000000" w:themeColor="text1"/>
                <w:sz w:val="24"/>
              </w:rPr>
              <w:t>CD238</w:t>
            </w:r>
          </w:p>
        </w:tc>
        <w:tc>
          <w:tcPr>
            <w:tcW w:w="0" w:type="auto"/>
            <w:vAlign w:val="center"/>
          </w:tcPr>
          <w:p w:rsidR="00B15891" w:rsidRDefault="00E47896">
            <w:pPr>
              <w:jc w:val="right"/>
            </w:pPr>
            <w:r>
              <w:rPr>
                <w:rFonts w:asciiTheme="minorEastAsia" w:eastAsiaTheme="minorEastAsia" w:hAnsiTheme="minorEastAsia"/>
                <w:color w:val="000000" w:themeColor="text1"/>
                <w:sz w:val="24"/>
              </w:rPr>
              <w:t>1,000,000.00</w:t>
            </w:r>
          </w:p>
        </w:tc>
        <w:tc>
          <w:tcPr>
            <w:tcW w:w="0" w:type="auto"/>
            <w:vAlign w:val="center"/>
          </w:tcPr>
          <w:p w:rsidR="00B15891" w:rsidRDefault="00E47896">
            <w:pPr>
              <w:jc w:val="right"/>
            </w:pPr>
            <w:r>
              <w:rPr>
                <w:rFonts w:asciiTheme="minorEastAsia" w:eastAsiaTheme="minorEastAsia" w:hAnsiTheme="minorEastAsia"/>
                <w:color w:val="000000" w:themeColor="text1"/>
                <w:sz w:val="24"/>
              </w:rPr>
              <w:t>99,661,166.78</w:t>
            </w:r>
          </w:p>
        </w:tc>
        <w:tc>
          <w:tcPr>
            <w:tcW w:w="0" w:type="auto"/>
            <w:vAlign w:val="center"/>
          </w:tcPr>
          <w:p w:rsidR="00B15891" w:rsidRDefault="00E47896">
            <w:pPr>
              <w:jc w:val="right"/>
            </w:pPr>
            <w:r>
              <w:rPr>
                <w:rFonts w:asciiTheme="minorEastAsia" w:eastAsiaTheme="minorEastAsia" w:hAnsiTheme="minorEastAsia"/>
                <w:color w:val="000000" w:themeColor="text1"/>
                <w:sz w:val="24"/>
              </w:rPr>
              <w:t>1.11</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0.0687%</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0.0312%</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0.0431%</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6B4FD5"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6B4FD5" w:rsidRPr="003025FA" w:rsidRDefault="006B4FD5" w:rsidP="006B4FD5">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6B4FD5" w:rsidRPr="00C57AF1" w:rsidRDefault="006B4FD5" w:rsidP="006B4FD5">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976A1A" w:rsidRPr="00593AD2" w:rsidRDefault="006B4FD5" w:rsidP="006B4FD5">
      <w:pPr>
        <w:widowControl/>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976A1A" w:rsidRPr="00593AD2" w:rsidRDefault="00976A1A" w:rsidP="00976A1A">
      <w:pPr>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3其他各项资产构成</w:t>
      </w:r>
    </w:p>
    <w:tbl>
      <w:tblPr>
        <w:tblStyle w:val="aa"/>
        <w:tblW w:w="0" w:type="auto"/>
        <w:tblInd w:w="17" w:type="dxa"/>
        <w:tblLayout w:type="fixed"/>
        <w:tblLook w:val="04A0" w:firstRow="1" w:lastRow="0" w:firstColumn="1" w:lastColumn="0" w:noHBand="0" w:noVBand="1"/>
      </w:tblPr>
      <w:tblGrid>
        <w:gridCol w:w="942"/>
        <w:gridCol w:w="3535"/>
        <w:gridCol w:w="4808"/>
      </w:tblGrid>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lastRenderedPageBreak/>
              <w:t>序号</w:t>
            </w:r>
          </w:p>
        </w:tc>
        <w:tc>
          <w:tcPr>
            <w:tcW w:w="3535"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名称</w:t>
            </w:r>
          </w:p>
        </w:tc>
        <w:tc>
          <w:tcPr>
            <w:tcW w:w="4808"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金额(元)</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1</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存出保证金</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应收证券清算款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50,032,273.99</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应收利息</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53,473,586.53</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应收申购款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1,190,220.28</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5</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其他应收款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待摊费用</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7</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8</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合计</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104,696,080.80</w:t>
            </w:r>
          </w:p>
        </w:tc>
      </w:tr>
    </w:tbl>
    <w:p w:rsidR="00976A1A" w:rsidRPr="00593AD2" w:rsidRDefault="00976A1A" w:rsidP="00976A1A">
      <w:pPr>
        <w:autoSpaceDE w:val="0"/>
        <w:autoSpaceDN w:val="0"/>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4</w:t>
      </w:r>
      <w:r w:rsidRPr="00593AD2">
        <w:rPr>
          <w:rFonts w:asciiTheme="minorEastAsia" w:eastAsiaTheme="minorEastAsia" w:hAnsiTheme="minorEastAsia" w:hint="eastAsia"/>
          <w:b/>
          <w:bCs/>
          <w:color w:val="000000" w:themeColor="text1"/>
          <w:sz w:val="24"/>
        </w:rPr>
        <w:t>投资组合报告附注的其他文字描述部分</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因四舍五入原因，投资组合报告中市值占净值比例的分项之和与合计可能存在尾差。</w:t>
      </w:r>
    </w:p>
    <w:p w:rsidR="00976A1A" w:rsidRPr="00593AD2" w:rsidRDefault="00976A1A" w:rsidP="00976A1A">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基金份额持有人如欲了解本基金投资组合的其他相关信息，可致电本基金管理人获取。</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6  </w:t>
      </w:r>
      <w:r w:rsidRPr="00593AD2">
        <w:rPr>
          <w:rFonts w:asciiTheme="minorEastAsia" w:eastAsiaTheme="minorEastAsia" w:hAnsiTheme="minorEastAsia" w:cs="Arial" w:hint="eastAsia"/>
          <w:color w:val="000000" w:themeColor="text1"/>
          <w:kern w:val="0"/>
          <w:sz w:val="24"/>
          <w:szCs w:val="24"/>
        </w:rPr>
        <w:t>开放式基金份额变动</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593AD2" w:rsidRPr="00593AD2" w:rsidTr="00102307">
        <w:trPr>
          <w:jc w:val="center"/>
        </w:trPr>
        <w:tc>
          <w:tcPr>
            <w:tcW w:w="3279"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hint="eastAsia"/>
                <w:color w:val="000000" w:themeColor="text1"/>
                <w:kern w:val="0"/>
                <w:sz w:val="24"/>
              </w:rPr>
              <w:t>项目</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上投摩根天添盈货币A类</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上投摩根天添盈货币B类</w:t>
            </w:r>
          </w:p>
        </w:tc>
        <w:tc>
          <w:tcPr>
            <w:tcW w:w="2269" w:type="dxa"/>
          </w:tcPr>
          <w:p w:rsidR="00102307" w:rsidRPr="00593AD2" w:rsidRDefault="00102307" w:rsidP="003451F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F56FBC">
        <w:trPr>
          <w:jc w:val="center"/>
        </w:trPr>
        <w:tc>
          <w:tcPr>
            <w:tcW w:w="3279" w:type="dxa"/>
            <w:vAlign w:val="center"/>
          </w:tcPr>
          <w:p w:rsidR="003A1E1E" w:rsidRPr="00593AD2" w:rsidRDefault="003A1E1E" w:rsidP="00587524">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本报告期期初基金份额总额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8,620,415,380.62</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116,362,476.32</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w:t>
            </w:r>
            <w:r w:rsidRPr="00593AD2">
              <w:rPr>
                <w:rFonts w:ascii="宋体" w:hAnsi="宋体" w:hint="eastAsia"/>
                <w:color w:val="000000" w:themeColor="text1"/>
                <w:sz w:val="24"/>
              </w:rPr>
              <w:t>基金总申购份额</w:t>
            </w:r>
          </w:p>
        </w:tc>
        <w:tc>
          <w:tcPr>
            <w:tcW w:w="2268" w:type="dxa"/>
            <w:vAlign w:val="center"/>
          </w:tcPr>
          <w:p w:rsidR="003A1E1E" w:rsidRPr="00593AD2" w:rsidRDefault="00704607"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492,464,185.99</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78,566,503.23</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w:t>
            </w:r>
            <w:r w:rsidRPr="00593AD2">
              <w:rPr>
                <w:rFonts w:ascii="宋体" w:hAnsi="宋体" w:hint="eastAsia"/>
                <w:color w:val="000000" w:themeColor="text1"/>
                <w:sz w:val="24"/>
              </w:rPr>
              <w:t>基金总赎回份额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263,244,953.51</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68,749,858.10</w:t>
            </w:r>
          </w:p>
        </w:tc>
      </w:tr>
      <w:tr w:rsidR="005C0C60" w:rsidRPr="00593AD2" w:rsidTr="005C0C60">
        <w:trPr>
          <w:jc w:val="center"/>
        </w:trPr>
        <w:tc>
          <w:tcPr>
            <w:tcW w:w="3279" w:type="dxa"/>
            <w:vAlign w:val="center"/>
          </w:tcPr>
          <w:p w:rsidR="005C0C60" w:rsidRPr="005C0C60" w:rsidRDefault="005C0C60" w:rsidP="005C0C60">
            <w:pPr>
              <w:autoSpaceDE w:val="0"/>
              <w:autoSpaceDN w:val="0"/>
              <w:adjustRightInd w:val="0"/>
              <w:spacing w:before="29" w:line="360" w:lineRule="auto"/>
              <w:ind w:left="17"/>
              <w:rPr>
                <w:rFonts w:eastAsiaTheme="minorEastAsia"/>
                <w:color w:val="000000" w:themeColor="text1"/>
                <w:kern w:val="0"/>
                <w:sz w:val="24"/>
              </w:rPr>
            </w:pPr>
            <w:r w:rsidRPr="005C0C60">
              <w:rPr>
                <w:rFonts w:asciiTheme="minorEastAsia" w:eastAsiaTheme="minorEastAsia" w:hAnsiTheme="minorEastAsia"/>
                <w:color w:val="000000" w:themeColor="text1"/>
                <w:kern w:val="0"/>
                <w:sz w:val="24"/>
              </w:rPr>
              <w:t>报告期</w:t>
            </w:r>
            <w:r w:rsidRPr="005C0C60">
              <w:rPr>
                <w:rFonts w:eastAsiaTheme="minorEastAsia"/>
                <w:color w:val="000000" w:themeColor="text1"/>
                <w:kern w:val="0"/>
                <w:sz w:val="24"/>
              </w:rPr>
              <w:t>基金拆分变动份额</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9"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r>
      <w:tr w:rsidR="00593AD2" w:rsidRPr="00593AD2" w:rsidTr="00A40052">
        <w:trPr>
          <w:jc w:val="center"/>
        </w:trPr>
        <w:tc>
          <w:tcPr>
            <w:tcW w:w="3279" w:type="dxa"/>
          </w:tcPr>
          <w:p w:rsidR="003A1E1E" w:rsidRPr="00593AD2" w:rsidRDefault="003A1E1E" w:rsidP="00587524">
            <w:pPr>
              <w:adjustRightInd w:val="0"/>
              <w:snapToGrid w:val="0"/>
              <w:spacing w:line="340" w:lineRule="exact"/>
              <w:rPr>
                <w:rFonts w:ascii="宋体" w:hAnsi="宋体"/>
                <w:color w:val="000000" w:themeColor="text1"/>
                <w:sz w:val="24"/>
              </w:rPr>
            </w:pPr>
            <w:r w:rsidRPr="00593AD2">
              <w:rPr>
                <w:rFonts w:ascii="宋体" w:hAnsi="宋体" w:hint="eastAsia"/>
                <w:color w:val="000000" w:themeColor="text1"/>
                <w:sz w:val="24"/>
              </w:rPr>
              <w:t>报告期期末基金份额总额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8,849,634,613.10</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126,179,121.45</w:t>
            </w:r>
          </w:p>
        </w:tc>
      </w:tr>
    </w:tbl>
    <w:p w:rsidR="00D66016" w:rsidRPr="00593AD2" w:rsidRDefault="00D66016"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 xml:space="preserve">§7  </w:t>
      </w:r>
      <w:r w:rsidR="00877329" w:rsidRPr="00593AD2">
        <w:rPr>
          <w:rFonts w:asciiTheme="minorEastAsia" w:eastAsiaTheme="minorEastAsia" w:hAnsiTheme="minorEastAsia" w:cs="Arial" w:hint="eastAsia"/>
          <w:color w:val="000000" w:themeColor="text1"/>
          <w:kern w:val="0"/>
          <w:sz w:val="24"/>
          <w:szCs w:val="24"/>
        </w:rPr>
        <w:t>基金管理人运用固有资金投资本基金交易明细</w:t>
      </w:r>
    </w:p>
    <w:p w:rsidR="000A466F" w:rsidRPr="00593AD2" w:rsidRDefault="000A466F" w:rsidP="000A466F">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无。</w:t>
      </w:r>
    </w:p>
    <w:p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00AF3D19" w:rsidRPr="00593AD2">
        <w:rPr>
          <w:rFonts w:asciiTheme="minorEastAsia" w:eastAsiaTheme="minorEastAsia" w:hAnsiTheme="minorEastAsia" w:cs="Arial" w:hint="eastAsia"/>
          <w:color w:val="000000" w:themeColor="text1"/>
          <w:kern w:val="0"/>
          <w:sz w:val="24"/>
          <w:szCs w:val="24"/>
        </w:rPr>
        <w:t>8</w:t>
      </w:r>
      <w:r w:rsidRPr="00593AD2">
        <w:rPr>
          <w:rFonts w:asciiTheme="minorEastAsia" w:eastAsiaTheme="minorEastAsia" w:hAnsiTheme="minorEastAsia" w:cs="Arial" w:hint="eastAsia"/>
          <w:color w:val="000000" w:themeColor="text1"/>
          <w:kern w:val="0"/>
          <w:sz w:val="24"/>
          <w:szCs w:val="24"/>
        </w:rPr>
        <w:t xml:space="preserve">  影响投资者决策的其他重要信息</w:t>
      </w:r>
    </w:p>
    <w:p w:rsidR="0004699A" w:rsidRPr="00090DA4" w:rsidRDefault="0004699A" w:rsidP="0004699A">
      <w:pPr>
        <w:autoSpaceDE w:val="0"/>
        <w:autoSpaceDN w:val="0"/>
        <w:adjustRightInd w:val="0"/>
        <w:spacing w:line="360" w:lineRule="auto"/>
        <w:jc w:val="left"/>
        <w:rPr>
          <w:rFonts w:ascii="宋体" w:hAnsi="宋体"/>
          <w:b/>
          <w:bCs/>
          <w:color w:val="000000"/>
          <w:kern w:val="0"/>
          <w:sz w:val="24"/>
        </w:rPr>
      </w:pPr>
      <w:r w:rsidRPr="00090DA4">
        <w:rPr>
          <w:rFonts w:ascii="宋体" w:hAnsi="宋体" w:hint="eastAsia"/>
          <w:b/>
          <w:bCs/>
          <w:color w:val="000000"/>
          <w:kern w:val="0"/>
          <w:sz w:val="24"/>
        </w:rPr>
        <w:t>8.1 影响投资者决策的其他重要信息</w:t>
      </w:r>
    </w:p>
    <w:p w:rsidR="0004699A" w:rsidRPr="00090DA4" w:rsidRDefault="0004699A" w:rsidP="0004699A">
      <w:pPr>
        <w:spacing w:line="360" w:lineRule="auto"/>
        <w:ind w:firstLineChars="200" w:firstLine="480"/>
        <w:rPr>
          <w:rFonts w:ascii="宋体" w:hAnsi="宋体"/>
          <w:color w:val="000000"/>
          <w:sz w:val="24"/>
        </w:rPr>
      </w:pPr>
      <w:r w:rsidRPr="00090DA4">
        <w:rPr>
          <w:rFonts w:ascii="宋体" w:hAnsi="宋体"/>
          <w:color w:val="000000"/>
          <w:sz w:val="24"/>
        </w:rPr>
        <w:t>无</w:t>
      </w:r>
    </w:p>
    <w:p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00DA5831" w:rsidRPr="00593AD2">
        <w:rPr>
          <w:rFonts w:asciiTheme="minorEastAsia" w:eastAsiaTheme="minorEastAsia" w:hAnsiTheme="minorEastAsia" w:cs="Arial" w:hint="eastAsia"/>
          <w:color w:val="000000" w:themeColor="text1"/>
          <w:kern w:val="0"/>
          <w:sz w:val="24"/>
          <w:szCs w:val="24"/>
        </w:rPr>
        <w:t>9</w:t>
      </w:r>
      <w:r w:rsidRPr="00593AD2">
        <w:rPr>
          <w:rFonts w:asciiTheme="minorEastAsia" w:eastAsiaTheme="minorEastAsia" w:hAnsiTheme="minorEastAsia" w:cs="Arial"/>
          <w:color w:val="000000" w:themeColor="text1"/>
          <w:kern w:val="0"/>
          <w:sz w:val="24"/>
          <w:szCs w:val="24"/>
        </w:rPr>
        <w:t>备查文件目录</w:t>
      </w: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1</w:t>
      </w:r>
      <w:r w:rsidR="00AB373C" w:rsidRPr="00593AD2">
        <w:rPr>
          <w:rFonts w:asciiTheme="minorEastAsia" w:eastAsiaTheme="minorEastAsia" w:hAnsiTheme="minorEastAsia" w:hint="eastAsia"/>
          <w:b/>
          <w:bCs/>
          <w:color w:val="000000" w:themeColor="text1"/>
          <w:kern w:val="0"/>
          <w:sz w:val="24"/>
        </w:rPr>
        <w:t>备查文件目录</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1. </w:t>
      </w:r>
      <w:r>
        <w:rPr>
          <w:rFonts w:asciiTheme="minorEastAsia" w:eastAsiaTheme="minorEastAsia" w:hAnsiTheme="minorEastAsia" w:hint="eastAsia"/>
          <w:color w:val="000000" w:themeColor="text1"/>
          <w:sz w:val="24"/>
        </w:rPr>
        <w:t>中国证监会批准上投摩根天添盈货币市场基金设立的文件；</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Pr>
          <w:rFonts w:asciiTheme="minorEastAsia" w:eastAsiaTheme="minorEastAsia" w:hAnsiTheme="minorEastAsia" w:hint="eastAsia"/>
          <w:color w:val="000000" w:themeColor="text1"/>
          <w:sz w:val="24"/>
        </w:rPr>
        <w:t>《上投摩根天添盈货币市场基金基金合同》；</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 </w:t>
      </w:r>
      <w:r>
        <w:rPr>
          <w:rFonts w:asciiTheme="minorEastAsia" w:eastAsiaTheme="minorEastAsia" w:hAnsiTheme="minorEastAsia" w:hint="eastAsia"/>
          <w:color w:val="000000" w:themeColor="text1"/>
          <w:sz w:val="24"/>
        </w:rPr>
        <w:t>《上投摩根天添盈货币市场基金基金托管协议》；</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4. </w:t>
      </w:r>
      <w:r>
        <w:rPr>
          <w:rFonts w:asciiTheme="minorEastAsia" w:eastAsiaTheme="minorEastAsia" w:hAnsiTheme="minorEastAsia" w:hint="eastAsia"/>
          <w:color w:val="000000" w:themeColor="text1"/>
          <w:sz w:val="24"/>
        </w:rPr>
        <w:t>《上投摩根基金管理有限公司开放式基金业务规则》；</w:t>
      </w:r>
    </w:p>
    <w:p w:rsidR="00B15891" w:rsidRDefault="00E4789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5.  </w:t>
      </w:r>
      <w:r>
        <w:rPr>
          <w:rFonts w:asciiTheme="minorEastAsia" w:eastAsiaTheme="minorEastAsia" w:hAnsiTheme="minorEastAsia" w:hint="eastAsia"/>
          <w:color w:val="000000" w:themeColor="text1"/>
          <w:sz w:val="24"/>
        </w:rPr>
        <w:t>基金管理人业务资格批件、营业执照；</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   基金托管人业务资格批件、营业执照。</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2</w:t>
      </w:r>
      <w:r w:rsidR="00AB373C" w:rsidRPr="00593AD2">
        <w:rPr>
          <w:rFonts w:asciiTheme="minorEastAsia" w:eastAsiaTheme="minorEastAsia" w:hAnsiTheme="minorEastAsia" w:hint="eastAsia"/>
          <w:b/>
          <w:bCs/>
          <w:color w:val="000000" w:themeColor="text1"/>
          <w:kern w:val="0"/>
          <w:sz w:val="24"/>
        </w:rPr>
        <w:t>存放地点</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基金管理人或基金托管人处。</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3</w:t>
      </w:r>
      <w:r w:rsidR="00AB373C" w:rsidRPr="00593AD2">
        <w:rPr>
          <w:rFonts w:asciiTheme="minorEastAsia" w:eastAsiaTheme="minorEastAsia" w:hAnsiTheme="minorEastAsia" w:hint="eastAsia"/>
          <w:b/>
          <w:bCs/>
          <w:color w:val="000000" w:themeColor="text1"/>
          <w:kern w:val="0"/>
          <w:sz w:val="24"/>
        </w:rPr>
        <w:t>查阅方式</w:t>
      </w:r>
    </w:p>
    <w:p w:rsidR="009D74F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投资者可在营业时间免费查阅，也可按工本费购买复印件。</w:t>
      </w: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593AD2"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593AD2" w:rsidRDefault="002611C3"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上投摩根基金管理有限公司</w:t>
      </w:r>
    </w:p>
    <w:p w:rsidR="003B6DC6" w:rsidRPr="00593AD2" w:rsidRDefault="00D87D00"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二〇一九年十月二十五日</w:t>
      </w:r>
    </w:p>
    <w:sectPr w:rsidR="003B6DC6" w:rsidRPr="00593AD2"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038" w:rsidRDefault="00F95038">
      <w:r>
        <w:separator/>
      </w:r>
    </w:p>
  </w:endnote>
  <w:endnote w:type="continuationSeparator" w:id="0">
    <w:p w:rsidR="00F95038" w:rsidRDefault="00F9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5D" w:rsidRPr="001D0DB0" w:rsidRDefault="00025C5D" w:rsidP="001D0DB0">
    <w:pPr>
      <w:pStyle w:val="a5"/>
      <w:jc w:val="center"/>
    </w:pPr>
    <w:r>
      <w:rPr>
        <w:rFonts w:hint="eastAsia"/>
        <w:kern w:val="0"/>
        <w:szCs w:val="21"/>
      </w:rPr>
      <w:t>第</w:t>
    </w:r>
    <w:r w:rsidR="00DE59DF">
      <w:rPr>
        <w:kern w:val="0"/>
        <w:szCs w:val="21"/>
      </w:rPr>
      <w:fldChar w:fldCharType="begin"/>
    </w:r>
    <w:r>
      <w:rPr>
        <w:kern w:val="0"/>
        <w:szCs w:val="21"/>
      </w:rPr>
      <w:instrText xml:space="preserve"> PAGE </w:instrText>
    </w:r>
    <w:r w:rsidR="00DE59DF">
      <w:rPr>
        <w:kern w:val="0"/>
        <w:szCs w:val="21"/>
      </w:rPr>
      <w:fldChar w:fldCharType="separate"/>
    </w:r>
    <w:r w:rsidR="00E47896">
      <w:rPr>
        <w:noProof/>
        <w:kern w:val="0"/>
        <w:szCs w:val="21"/>
      </w:rPr>
      <w:t>1</w:t>
    </w:r>
    <w:r w:rsidR="00DE59DF">
      <w:rPr>
        <w:kern w:val="0"/>
        <w:szCs w:val="21"/>
      </w:rPr>
      <w:fldChar w:fldCharType="end"/>
    </w:r>
    <w:r>
      <w:rPr>
        <w:rFonts w:hint="eastAsia"/>
        <w:kern w:val="0"/>
        <w:szCs w:val="21"/>
      </w:rPr>
      <w:t>页共</w:t>
    </w:r>
    <w:r w:rsidR="00DE59DF">
      <w:rPr>
        <w:kern w:val="0"/>
        <w:szCs w:val="21"/>
      </w:rPr>
      <w:fldChar w:fldCharType="begin"/>
    </w:r>
    <w:r>
      <w:rPr>
        <w:kern w:val="0"/>
        <w:szCs w:val="21"/>
      </w:rPr>
      <w:instrText xml:space="preserve"> NUMPAGES </w:instrText>
    </w:r>
    <w:r w:rsidR="00DE59DF">
      <w:rPr>
        <w:kern w:val="0"/>
        <w:szCs w:val="21"/>
      </w:rPr>
      <w:fldChar w:fldCharType="separate"/>
    </w:r>
    <w:r w:rsidR="00E47896">
      <w:rPr>
        <w:noProof/>
        <w:kern w:val="0"/>
        <w:szCs w:val="21"/>
      </w:rPr>
      <w:t>16</w:t>
    </w:r>
    <w:r w:rsidR="00DE59D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038" w:rsidRDefault="00F95038">
      <w:r>
        <w:separator/>
      </w:r>
    </w:p>
  </w:footnote>
  <w:footnote w:type="continuationSeparator" w:id="0">
    <w:p w:rsidR="00F95038" w:rsidRDefault="00F9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5D" w:rsidRDefault="00025C5D" w:rsidP="008379E2">
    <w:pPr>
      <w:pStyle w:val="a4"/>
      <w:pBdr>
        <w:bottom w:val="single" w:sz="6" w:space="0" w:color="auto"/>
      </w:pBdr>
      <w:jc w:val="right"/>
    </w:pPr>
    <w:r>
      <w:rPr>
        <w:sz w:val="21"/>
        <w:szCs w:val="21"/>
      </w:rPr>
      <w:t>上投摩根天添盈货币市场基金</w:t>
    </w:r>
    <w:r>
      <w:rPr>
        <w:sz w:val="21"/>
        <w:szCs w:val="21"/>
      </w:rPr>
      <w:t>2019</w:t>
    </w:r>
    <w:r>
      <w:rPr>
        <w:sz w:val="21"/>
        <w:szCs w:val="21"/>
      </w:rPr>
      <w:t>年第</w:t>
    </w:r>
    <w:r>
      <w:rPr>
        <w:sz w:val="21"/>
        <w:szCs w:val="21"/>
      </w:rPr>
      <w:t>3</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nsid w:val="76E15721"/>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5C5D"/>
    <w:rsid w:val="00035596"/>
    <w:rsid w:val="000417E0"/>
    <w:rsid w:val="00044724"/>
    <w:rsid w:val="0004699A"/>
    <w:rsid w:val="00052CA4"/>
    <w:rsid w:val="00054470"/>
    <w:rsid w:val="0005518A"/>
    <w:rsid w:val="000570EB"/>
    <w:rsid w:val="00057D26"/>
    <w:rsid w:val="00063BA4"/>
    <w:rsid w:val="0006697D"/>
    <w:rsid w:val="00070092"/>
    <w:rsid w:val="0007109E"/>
    <w:rsid w:val="00072602"/>
    <w:rsid w:val="00075BBB"/>
    <w:rsid w:val="00075CA2"/>
    <w:rsid w:val="0007770D"/>
    <w:rsid w:val="000A225E"/>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777"/>
    <w:rsid w:val="00114C97"/>
    <w:rsid w:val="001302DB"/>
    <w:rsid w:val="00136502"/>
    <w:rsid w:val="001539FE"/>
    <w:rsid w:val="00157B55"/>
    <w:rsid w:val="00162222"/>
    <w:rsid w:val="001635C7"/>
    <w:rsid w:val="001669F2"/>
    <w:rsid w:val="0016721A"/>
    <w:rsid w:val="0018401C"/>
    <w:rsid w:val="00185622"/>
    <w:rsid w:val="00186667"/>
    <w:rsid w:val="00191B28"/>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1F5907"/>
    <w:rsid w:val="0020640F"/>
    <w:rsid w:val="0021251E"/>
    <w:rsid w:val="00220437"/>
    <w:rsid w:val="00232095"/>
    <w:rsid w:val="00233014"/>
    <w:rsid w:val="0024424F"/>
    <w:rsid w:val="002507FE"/>
    <w:rsid w:val="002525C7"/>
    <w:rsid w:val="002611C3"/>
    <w:rsid w:val="002622E8"/>
    <w:rsid w:val="00267283"/>
    <w:rsid w:val="00274FAC"/>
    <w:rsid w:val="002A4B7F"/>
    <w:rsid w:val="002B45A4"/>
    <w:rsid w:val="002D3ADF"/>
    <w:rsid w:val="002E040C"/>
    <w:rsid w:val="002E0F4A"/>
    <w:rsid w:val="002F0E9D"/>
    <w:rsid w:val="002F1496"/>
    <w:rsid w:val="002F6539"/>
    <w:rsid w:val="00307062"/>
    <w:rsid w:val="00311ADA"/>
    <w:rsid w:val="00311AEB"/>
    <w:rsid w:val="00322B07"/>
    <w:rsid w:val="0032323A"/>
    <w:rsid w:val="00323377"/>
    <w:rsid w:val="00327FB0"/>
    <w:rsid w:val="0033599F"/>
    <w:rsid w:val="00340292"/>
    <w:rsid w:val="00340456"/>
    <w:rsid w:val="00340C3A"/>
    <w:rsid w:val="00343648"/>
    <w:rsid w:val="00343AF0"/>
    <w:rsid w:val="00346359"/>
    <w:rsid w:val="00346B82"/>
    <w:rsid w:val="0035022C"/>
    <w:rsid w:val="0035215C"/>
    <w:rsid w:val="00362E2A"/>
    <w:rsid w:val="00371E26"/>
    <w:rsid w:val="00373AAB"/>
    <w:rsid w:val="00383631"/>
    <w:rsid w:val="00384942"/>
    <w:rsid w:val="0039077A"/>
    <w:rsid w:val="00394455"/>
    <w:rsid w:val="00394BC1"/>
    <w:rsid w:val="00395D2C"/>
    <w:rsid w:val="003A0EC1"/>
    <w:rsid w:val="003A1E1E"/>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55AA7"/>
    <w:rsid w:val="00460000"/>
    <w:rsid w:val="00461A70"/>
    <w:rsid w:val="004702DF"/>
    <w:rsid w:val="00470F55"/>
    <w:rsid w:val="00471444"/>
    <w:rsid w:val="00473E10"/>
    <w:rsid w:val="00473EC9"/>
    <w:rsid w:val="00474896"/>
    <w:rsid w:val="004771B9"/>
    <w:rsid w:val="004950A3"/>
    <w:rsid w:val="00496B2E"/>
    <w:rsid w:val="004A0C6B"/>
    <w:rsid w:val="004A2432"/>
    <w:rsid w:val="004A357E"/>
    <w:rsid w:val="004A46A0"/>
    <w:rsid w:val="004A5B68"/>
    <w:rsid w:val="004B1C09"/>
    <w:rsid w:val="004C5B7C"/>
    <w:rsid w:val="004D22E1"/>
    <w:rsid w:val="004D51CC"/>
    <w:rsid w:val="004D72C7"/>
    <w:rsid w:val="004E041A"/>
    <w:rsid w:val="004E3452"/>
    <w:rsid w:val="004E4E63"/>
    <w:rsid w:val="00500487"/>
    <w:rsid w:val="00506EF6"/>
    <w:rsid w:val="005109AB"/>
    <w:rsid w:val="005141F5"/>
    <w:rsid w:val="0051505A"/>
    <w:rsid w:val="00515166"/>
    <w:rsid w:val="0051578D"/>
    <w:rsid w:val="005212AE"/>
    <w:rsid w:val="00532457"/>
    <w:rsid w:val="00532749"/>
    <w:rsid w:val="00533490"/>
    <w:rsid w:val="0054464B"/>
    <w:rsid w:val="00546747"/>
    <w:rsid w:val="0054785C"/>
    <w:rsid w:val="00555883"/>
    <w:rsid w:val="00560F94"/>
    <w:rsid w:val="005633AD"/>
    <w:rsid w:val="00564C24"/>
    <w:rsid w:val="00570F8C"/>
    <w:rsid w:val="00575970"/>
    <w:rsid w:val="00582960"/>
    <w:rsid w:val="00592D0A"/>
    <w:rsid w:val="00593AD2"/>
    <w:rsid w:val="00594DCA"/>
    <w:rsid w:val="00595285"/>
    <w:rsid w:val="005A60B7"/>
    <w:rsid w:val="005B527B"/>
    <w:rsid w:val="005C0C60"/>
    <w:rsid w:val="005D1BAF"/>
    <w:rsid w:val="005D596C"/>
    <w:rsid w:val="005D6807"/>
    <w:rsid w:val="005E05CC"/>
    <w:rsid w:val="005E2087"/>
    <w:rsid w:val="005E4C7D"/>
    <w:rsid w:val="005E6FA5"/>
    <w:rsid w:val="005F17EC"/>
    <w:rsid w:val="005F41D2"/>
    <w:rsid w:val="005F668B"/>
    <w:rsid w:val="005F6B28"/>
    <w:rsid w:val="00613327"/>
    <w:rsid w:val="006214E4"/>
    <w:rsid w:val="006254A5"/>
    <w:rsid w:val="006317E8"/>
    <w:rsid w:val="00631E43"/>
    <w:rsid w:val="0063302E"/>
    <w:rsid w:val="00633177"/>
    <w:rsid w:val="006331F2"/>
    <w:rsid w:val="00636261"/>
    <w:rsid w:val="00636B17"/>
    <w:rsid w:val="0064191E"/>
    <w:rsid w:val="00664834"/>
    <w:rsid w:val="00672BEF"/>
    <w:rsid w:val="00673BA5"/>
    <w:rsid w:val="006911A1"/>
    <w:rsid w:val="006A0876"/>
    <w:rsid w:val="006A1E40"/>
    <w:rsid w:val="006A2D00"/>
    <w:rsid w:val="006B4C67"/>
    <w:rsid w:val="006B4FD5"/>
    <w:rsid w:val="006B56E1"/>
    <w:rsid w:val="006D27DD"/>
    <w:rsid w:val="006D4647"/>
    <w:rsid w:val="006D4C22"/>
    <w:rsid w:val="006E4EB5"/>
    <w:rsid w:val="006F1C55"/>
    <w:rsid w:val="006F3CEE"/>
    <w:rsid w:val="006F58CA"/>
    <w:rsid w:val="006F622C"/>
    <w:rsid w:val="00704607"/>
    <w:rsid w:val="00707CB2"/>
    <w:rsid w:val="00710487"/>
    <w:rsid w:val="00714B3D"/>
    <w:rsid w:val="00714FD1"/>
    <w:rsid w:val="007277D1"/>
    <w:rsid w:val="00727EA0"/>
    <w:rsid w:val="0073105A"/>
    <w:rsid w:val="00734B8E"/>
    <w:rsid w:val="00737060"/>
    <w:rsid w:val="00741288"/>
    <w:rsid w:val="0074455F"/>
    <w:rsid w:val="00746FAF"/>
    <w:rsid w:val="007521F9"/>
    <w:rsid w:val="00756489"/>
    <w:rsid w:val="00756EA2"/>
    <w:rsid w:val="00757F37"/>
    <w:rsid w:val="007600BC"/>
    <w:rsid w:val="00762326"/>
    <w:rsid w:val="00762E87"/>
    <w:rsid w:val="00764CF7"/>
    <w:rsid w:val="007723FD"/>
    <w:rsid w:val="00772687"/>
    <w:rsid w:val="00774E1E"/>
    <w:rsid w:val="00780252"/>
    <w:rsid w:val="007806BE"/>
    <w:rsid w:val="00782061"/>
    <w:rsid w:val="00783AD8"/>
    <w:rsid w:val="00785897"/>
    <w:rsid w:val="00785C32"/>
    <w:rsid w:val="007A3F82"/>
    <w:rsid w:val="007B082A"/>
    <w:rsid w:val="007B1C3E"/>
    <w:rsid w:val="007C42E5"/>
    <w:rsid w:val="007E0C02"/>
    <w:rsid w:val="007E5ADE"/>
    <w:rsid w:val="007F1DE3"/>
    <w:rsid w:val="007F7BD7"/>
    <w:rsid w:val="0080026E"/>
    <w:rsid w:val="008056FA"/>
    <w:rsid w:val="00810ECA"/>
    <w:rsid w:val="008115B6"/>
    <w:rsid w:val="00813897"/>
    <w:rsid w:val="00814461"/>
    <w:rsid w:val="00824D84"/>
    <w:rsid w:val="00825EA5"/>
    <w:rsid w:val="00833555"/>
    <w:rsid w:val="008347B3"/>
    <w:rsid w:val="00834D9F"/>
    <w:rsid w:val="00835BDD"/>
    <w:rsid w:val="008379E2"/>
    <w:rsid w:val="00852119"/>
    <w:rsid w:val="0085498E"/>
    <w:rsid w:val="0086245E"/>
    <w:rsid w:val="00877329"/>
    <w:rsid w:val="00880EE6"/>
    <w:rsid w:val="00882323"/>
    <w:rsid w:val="00893021"/>
    <w:rsid w:val="008B23BD"/>
    <w:rsid w:val="008C579A"/>
    <w:rsid w:val="008D0A39"/>
    <w:rsid w:val="008D55F2"/>
    <w:rsid w:val="008E4638"/>
    <w:rsid w:val="008E71D2"/>
    <w:rsid w:val="008F44F3"/>
    <w:rsid w:val="009004F7"/>
    <w:rsid w:val="00902E3F"/>
    <w:rsid w:val="00903E98"/>
    <w:rsid w:val="00903F06"/>
    <w:rsid w:val="00906C9B"/>
    <w:rsid w:val="00910FB5"/>
    <w:rsid w:val="00911C0E"/>
    <w:rsid w:val="009153D7"/>
    <w:rsid w:val="009223B5"/>
    <w:rsid w:val="00924D28"/>
    <w:rsid w:val="00927F83"/>
    <w:rsid w:val="0094213C"/>
    <w:rsid w:val="0094236C"/>
    <w:rsid w:val="00943AFD"/>
    <w:rsid w:val="0097021E"/>
    <w:rsid w:val="00971C19"/>
    <w:rsid w:val="00971D35"/>
    <w:rsid w:val="00973773"/>
    <w:rsid w:val="00976A1A"/>
    <w:rsid w:val="00984794"/>
    <w:rsid w:val="0099296A"/>
    <w:rsid w:val="009965A5"/>
    <w:rsid w:val="009A56D7"/>
    <w:rsid w:val="009A755D"/>
    <w:rsid w:val="009B15FD"/>
    <w:rsid w:val="009B2693"/>
    <w:rsid w:val="009B3C3F"/>
    <w:rsid w:val="009B73A7"/>
    <w:rsid w:val="009B7B0C"/>
    <w:rsid w:val="009C1A42"/>
    <w:rsid w:val="009D19C1"/>
    <w:rsid w:val="009D60EB"/>
    <w:rsid w:val="009D74FC"/>
    <w:rsid w:val="009E07F4"/>
    <w:rsid w:val="009E2527"/>
    <w:rsid w:val="009E2BAA"/>
    <w:rsid w:val="009E3E0B"/>
    <w:rsid w:val="009F1592"/>
    <w:rsid w:val="009F480F"/>
    <w:rsid w:val="00A01505"/>
    <w:rsid w:val="00A01DDC"/>
    <w:rsid w:val="00A1530B"/>
    <w:rsid w:val="00A16747"/>
    <w:rsid w:val="00A16D78"/>
    <w:rsid w:val="00A24DC0"/>
    <w:rsid w:val="00A42A96"/>
    <w:rsid w:val="00A455A0"/>
    <w:rsid w:val="00A457E5"/>
    <w:rsid w:val="00A50D92"/>
    <w:rsid w:val="00A608C4"/>
    <w:rsid w:val="00A62DD4"/>
    <w:rsid w:val="00A65A66"/>
    <w:rsid w:val="00A7219D"/>
    <w:rsid w:val="00A805BC"/>
    <w:rsid w:val="00A8086F"/>
    <w:rsid w:val="00A80F9F"/>
    <w:rsid w:val="00A81075"/>
    <w:rsid w:val="00A87550"/>
    <w:rsid w:val="00A95FA9"/>
    <w:rsid w:val="00AA5B03"/>
    <w:rsid w:val="00AA68D4"/>
    <w:rsid w:val="00AB24CA"/>
    <w:rsid w:val="00AB373C"/>
    <w:rsid w:val="00AB5159"/>
    <w:rsid w:val="00AC2B47"/>
    <w:rsid w:val="00AC3D9E"/>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15891"/>
    <w:rsid w:val="00B213AC"/>
    <w:rsid w:val="00B25119"/>
    <w:rsid w:val="00B27004"/>
    <w:rsid w:val="00B33F45"/>
    <w:rsid w:val="00B33FA5"/>
    <w:rsid w:val="00B415B8"/>
    <w:rsid w:val="00B420AC"/>
    <w:rsid w:val="00B4354A"/>
    <w:rsid w:val="00B54CC5"/>
    <w:rsid w:val="00B60E27"/>
    <w:rsid w:val="00B64D62"/>
    <w:rsid w:val="00B6626F"/>
    <w:rsid w:val="00B83944"/>
    <w:rsid w:val="00B94B49"/>
    <w:rsid w:val="00BA7AF1"/>
    <w:rsid w:val="00BB03CC"/>
    <w:rsid w:val="00BB252C"/>
    <w:rsid w:val="00BB5126"/>
    <w:rsid w:val="00BB735C"/>
    <w:rsid w:val="00BB7518"/>
    <w:rsid w:val="00BC0205"/>
    <w:rsid w:val="00BC14F5"/>
    <w:rsid w:val="00BC2146"/>
    <w:rsid w:val="00BD6918"/>
    <w:rsid w:val="00BE1FC8"/>
    <w:rsid w:val="00BE439F"/>
    <w:rsid w:val="00BE5584"/>
    <w:rsid w:val="00BF1111"/>
    <w:rsid w:val="00BF3886"/>
    <w:rsid w:val="00C009AF"/>
    <w:rsid w:val="00C2005E"/>
    <w:rsid w:val="00C205E4"/>
    <w:rsid w:val="00C262B2"/>
    <w:rsid w:val="00C2782D"/>
    <w:rsid w:val="00C3040F"/>
    <w:rsid w:val="00C31708"/>
    <w:rsid w:val="00C36C15"/>
    <w:rsid w:val="00C4213A"/>
    <w:rsid w:val="00C4371A"/>
    <w:rsid w:val="00C4627A"/>
    <w:rsid w:val="00C637D1"/>
    <w:rsid w:val="00C640B8"/>
    <w:rsid w:val="00C7033B"/>
    <w:rsid w:val="00C75870"/>
    <w:rsid w:val="00C83157"/>
    <w:rsid w:val="00C916DD"/>
    <w:rsid w:val="00C927D5"/>
    <w:rsid w:val="00CA0730"/>
    <w:rsid w:val="00CA1C04"/>
    <w:rsid w:val="00CA3808"/>
    <w:rsid w:val="00CA592F"/>
    <w:rsid w:val="00CA65DD"/>
    <w:rsid w:val="00CB0E8A"/>
    <w:rsid w:val="00CC05B9"/>
    <w:rsid w:val="00CC3F83"/>
    <w:rsid w:val="00CC57FC"/>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2EB"/>
    <w:rsid w:val="00D30BD3"/>
    <w:rsid w:val="00D33791"/>
    <w:rsid w:val="00D33BA8"/>
    <w:rsid w:val="00D364EB"/>
    <w:rsid w:val="00D40363"/>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2873"/>
    <w:rsid w:val="00DC2192"/>
    <w:rsid w:val="00DC4482"/>
    <w:rsid w:val="00DD5028"/>
    <w:rsid w:val="00DE59DF"/>
    <w:rsid w:val="00DF1198"/>
    <w:rsid w:val="00E009CD"/>
    <w:rsid w:val="00E12082"/>
    <w:rsid w:val="00E13C0E"/>
    <w:rsid w:val="00E17226"/>
    <w:rsid w:val="00E17870"/>
    <w:rsid w:val="00E21589"/>
    <w:rsid w:val="00E24D9E"/>
    <w:rsid w:val="00E257C8"/>
    <w:rsid w:val="00E26581"/>
    <w:rsid w:val="00E2722E"/>
    <w:rsid w:val="00E3447D"/>
    <w:rsid w:val="00E431CE"/>
    <w:rsid w:val="00E445F8"/>
    <w:rsid w:val="00E47896"/>
    <w:rsid w:val="00E503E4"/>
    <w:rsid w:val="00E55E02"/>
    <w:rsid w:val="00E571C4"/>
    <w:rsid w:val="00E63B3D"/>
    <w:rsid w:val="00E64479"/>
    <w:rsid w:val="00E65A8C"/>
    <w:rsid w:val="00E67D99"/>
    <w:rsid w:val="00E75556"/>
    <w:rsid w:val="00E75EFA"/>
    <w:rsid w:val="00E76F1F"/>
    <w:rsid w:val="00E80BE2"/>
    <w:rsid w:val="00E8309D"/>
    <w:rsid w:val="00E90A9C"/>
    <w:rsid w:val="00E9326F"/>
    <w:rsid w:val="00E93AA5"/>
    <w:rsid w:val="00E95356"/>
    <w:rsid w:val="00E966E5"/>
    <w:rsid w:val="00EA3D96"/>
    <w:rsid w:val="00EA6B69"/>
    <w:rsid w:val="00EA6B7B"/>
    <w:rsid w:val="00EB25E4"/>
    <w:rsid w:val="00EB3D8B"/>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406E3"/>
    <w:rsid w:val="00F40C82"/>
    <w:rsid w:val="00F5114E"/>
    <w:rsid w:val="00F53B1A"/>
    <w:rsid w:val="00F54568"/>
    <w:rsid w:val="00F56343"/>
    <w:rsid w:val="00F57249"/>
    <w:rsid w:val="00F62DE3"/>
    <w:rsid w:val="00F77131"/>
    <w:rsid w:val="00F85D7E"/>
    <w:rsid w:val="00F95038"/>
    <w:rsid w:val="00FA4C13"/>
    <w:rsid w:val="00FB0D19"/>
    <w:rsid w:val="00FB345F"/>
    <w:rsid w:val="00FB4DA5"/>
    <w:rsid w:val="00FB56E0"/>
    <w:rsid w:val="00FC57A1"/>
    <w:rsid w:val="00FC6D26"/>
    <w:rsid w:val="00FD3820"/>
    <w:rsid w:val="00FE6E6D"/>
    <w:rsid w:val="00FF0DAE"/>
    <w:rsid w:val="00FF3092"/>
    <w:rsid w:val="00FF4B06"/>
    <w:rsid w:val="00FF7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5:docId w15:val="{7F373491-B839-4D28-97D2-09309017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94"/>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uiPriority w:val="99"/>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paragraph" w:styleId="ad">
    <w:name w:val="footnote text"/>
    <w:basedOn w:val="a"/>
    <w:link w:val="Char4"/>
    <w:rsid w:val="006B56E1"/>
    <w:pPr>
      <w:snapToGrid w:val="0"/>
      <w:jc w:val="left"/>
    </w:pPr>
    <w:rPr>
      <w:sz w:val="18"/>
      <w:szCs w:val="18"/>
    </w:rPr>
  </w:style>
  <w:style w:type="character" w:customStyle="1" w:styleId="Char4">
    <w:name w:val="脚注文本 Char"/>
    <w:basedOn w:val="a1"/>
    <w:link w:val="ad"/>
    <w:rsid w:val="006B56E1"/>
    <w:rPr>
      <w:kern w:val="2"/>
      <w:sz w:val="18"/>
      <w:szCs w:val="18"/>
    </w:rPr>
  </w:style>
  <w:style w:type="character" w:styleId="ae">
    <w:name w:val="footnote reference"/>
    <w:rsid w:val="006B56E1"/>
    <w:rPr>
      <w:vertAlign w:val="superscript"/>
    </w:rPr>
  </w:style>
  <w:style w:type="character" w:styleId="af">
    <w:name w:val="Strong"/>
    <w:basedOn w:val="a1"/>
    <w:uiPriority w:val="22"/>
    <w:qFormat/>
    <w:rsid w:val="009B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1197</Words>
  <Characters>6824</Characters>
  <Application>Microsoft Office Word</Application>
  <DocSecurity>0</DocSecurity>
  <Lines>56</Lines>
  <Paragraphs>16</Paragraphs>
  <ScaleCrop>false</ScaleCrop>
  <Company>jysld</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 Zhou</cp:lastModifiedBy>
  <cp:revision>5</cp:revision>
  <cp:lastPrinted>2009-01-22T10:11:00Z</cp:lastPrinted>
  <dcterms:created xsi:type="dcterms:W3CDTF">2017-07-25T14:30:00Z</dcterms:created>
  <dcterms:modified xsi:type="dcterms:W3CDTF">2019-10-23T07:55:00Z</dcterms:modified>
</cp:coreProperties>
</file>