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上投摩根纯债丰利债券型证券投资基金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中国银行股份有限公司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上投摩根纯债丰利债券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000839</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2014年11月18日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1,233,662,116.98</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在严格控制风险的前提下，通过积极主动地投资管理，力争实现长期稳定的投资回报。</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采用自上而下的方法，对宏观经济形势和货币政策进行分析，并结合债券市场供需状况、市场流动性水平等重要市场指标，对不同债券板块之间的相对投资价值进行考量，确定债券类属配置策略，并根据市场变化及时进行调整，从而选择既能匹配目标久期、同时又能获得较高持有期收益的类属债券配置比例。本基金将以内部信用评级为主、外部信用评级为辅，研究债券发行主体的基本面，以确定债券的违约风险和合理的信用利差水平，判断债券的投资价值。本基金将重点分析债券发行人所处行业的发展前景、市场竞争地位、财务质量（包括资产负债水平、资产变现能力、偿债能力、运营效率以及现金流质量）等要素，综合评价其信用等级，谨慎选择债券发行人基本面良好、债券条款优惠的信用类债券进行投资。</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中证综合债券指数</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本基金为债券型基金，属于证券投资基金中的较低风险品种，其预期风险与预期收益高于货币市场基金，低于混合型基金和股票型基金。</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中国银行股份有限公司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上投摩根纯债丰利债券A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上投摩根纯债丰利债券C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000839</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000840</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1,232,276,062.68</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1,386,054.30</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上投摩根纯债丰利债券A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上投摩根纯债丰利债券C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-3,195,935.25</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-2,954.81</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-13,253,160.03</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-17,041.85</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-0.0092</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-0.0090</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1,245,103,300.17</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1,399,480.10</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1.0104</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1.0097</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上投摩根纯债丰利债券A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-0.64%</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0.00%</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0.11%</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2.19%</w:t>
            </w:r>
          </w:p>
        </w:tc>
        <w:tc>
          <w:tcPr>
            <w:vAlign w:val="center"/>
          </w:tcPr>
          <w:p>
            <w:pPr>
              <w:jc w:val="right"/>
            </w:pPr>
            <w:r>
              <w:rPr>
                <w:rFonts w:eastAsiaTheme="minorEastAsia"/>
                <w:color w:themeColor="text1" w:val="000000"/>
                <w:szCs w:val="21"/>
              </w:rPr>
              <w:t>0.10%</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-0.77%</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8.93%</w:t>
            </w:r>
          </w:p>
        </w:tc>
        <w:tc>
          <w:tcPr>
            <w:vAlign w:val="center"/>
          </w:tcPr>
          <w:p>
            <w:pPr>
              <w:jc w:val="right"/>
            </w:pPr>
            <w:r>
              <w:rPr>
                <w:rFonts w:eastAsiaTheme="minorEastAsia"/>
                <w:color w:themeColor="text1" w:val="000000"/>
                <w:szCs w:val="21"/>
              </w:rPr>
              <w:t>0.10%</w:t>
            </w:r>
          </w:p>
        </w:tc>
        <w:tc>
          <w:tcPr>
            <w:vAlign w:val="center"/>
          </w:tcPr>
          <w:p>
            <w:pPr>
              <w:jc w:val="right"/>
            </w:pPr>
            <w:r>
              <w:rPr>
                <w:rFonts w:eastAsiaTheme="minorEastAsia"/>
                <w:color w:themeColor="text1" w:val="000000"/>
                <w:szCs w:val="21"/>
              </w:rPr>
              <w:t>14.59%</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-5.66%</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12.38%</w:t>
            </w:r>
          </w:p>
        </w:tc>
        <w:tc>
          <w:tcPr>
            <w:vAlign w:val="center"/>
          </w:tcPr>
          <w:p>
            <w:pPr>
              <w:jc w:val="right"/>
            </w:pPr>
            <w:r>
              <w:rPr>
                <w:rFonts w:eastAsiaTheme="minorEastAsia"/>
                <w:color w:themeColor="text1" w:val="000000"/>
                <w:szCs w:val="21"/>
              </w:rPr>
              <w:t>0.10%</w:t>
            </w:r>
          </w:p>
        </w:tc>
        <w:tc>
          <w:tcPr>
            <w:vAlign w:val="center"/>
          </w:tcPr>
          <w:p>
            <w:pPr>
              <w:jc w:val="right"/>
            </w:pPr>
            <w:r>
              <w:rPr>
                <w:rFonts w:eastAsiaTheme="minorEastAsia"/>
                <w:color w:themeColor="text1" w:val="000000"/>
                <w:szCs w:val="21"/>
              </w:rPr>
              <w:t>20.65%</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-8.27%</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17.91%</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26.73%</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-8.82%</w:t>
            </w:r>
          </w:p>
        </w:tc>
        <w:tc>
          <w:tcPr>
            <w:vAlign w:val="center"/>
          </w:tcPr>
          <w:p>
            <w:pPr>
              <w:jc w:val="right"/>
            </w:pPr>
            <w:r>
              <w:rPr>
                <w:rFonts w:eastAsiaTheme="minorEastAsia"/>
                <w:color w:themeColor="text1" w:val="000000"/>
                <w:szCs w:val="21"/>
              </w:rPr>
              <w:t>0.02%</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上投摩根纯债丰利债券C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-0.71%</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0.00%</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-1.10%</w:t>
            </w:r>
          </w:p>
        </w:tc>
        <w:tc>
          <w:tcPr>
            <w:vAlign w:val="center"/>
          </w:tcPr>
          <w:p>
            <w:pPr>
              <w:jc w:val="right"/>
            </w:pPr>
            <w:r>
              <w:rPr>
                <w:rFonts w:eastAsiaTheme="minorEastAsia"/>
                <w:color w:themeColor="text1" w:val="000000"/>
                <w:szCs w:val="21"/>
              </w:rPr>
              <w:t>0.11%</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2.12%</w:t>
            </w:r>
          </w:p>
        </w:tc>
        <w:tc>
          <w:tcPr>
            <w:vAlign w:val="center"/>
          </w:tcPr>
          <w:p>
            <w:pPr>
              <w:jc w:val="right"/>
            </w:pPr>
            <w:r>
              <w:rPr>
                <w:rFonts w:eastAsiaTheme="minorEastAsia"/>
                <w:color w:themeColor="text1" w:val="000000"/>
                <w:szCs w:val="21"/>
              </w:rPr>
              <w:t>0.10%</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-0.84%</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8.66%</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14.59%</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-5.93%</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11.45%</w:t>
            </w:r>
          </w:p>
        </w:tc>
        <w:tc>
          <w:tcPr>
            <w:vAlign w:val="center"/>
          </w:tcPr>
          <w:p>
            <w:pPr>
              <w:jc w:val="right"/>
            </w:pPr>
            <w:r>
              <w:rPr>
                <w:rFonts w:eastAsiaTheme="minorEastAsia"/>
                <w:color w:themeColor="text1" w:val="000000"/>
                <w:szCs w:val="21"/>
              </w:rPr>
              <w:t>0.10%</w:t>
            </w:r>
          </w:p>
        </w:tc>
        <w:tc>
          <w:tcPr>
            <w:vAlign w:val="center"/>
          </w:tcPr>
          <w:p>
            <w:pPr>
              <w:jc w:val="right"/>
            </w:pPr>
            <w:r>
              <w:rPr>
                <w:rFonts w:eastAsiaTheme="minorEastAsia"/>
                <w:color w:themeColor="text1" w:val="000000"/>
                <w:szCs w:val="21"/>
              </w:rPr>
              <w:t>20.65%</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-9.20%</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16.59%</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26.73%</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-10.14%</w:t>
            </w:r>
          </w:p>
        </w:tc>
        <w:tc>
          <w:tcPr>
            <w:vAlign w:val="center"/>
          </w:tcPr>
          <w:p>
            <w:pPr>
              <w:jc w:val="right"/>
            </w:pPr>
            <w:r>
              <w:rPr>
                <w:rFonts w:eastAsiaTheme="minorEastAsia"/>
                <w:color w:themeColor="text1" w:val="000000"/>
                <w:szCs w:val="21"/>
              </w:rPr>
              <w:t>0.02%</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上投摩根纯债丰利债券型证券投资基金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2014年11月18日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上投摩根纯债丰利债券A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注：本基金合同生效日为2014年11月18日，图示时间段为2014年11月18日至2020年9月30日。</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本基金建仓期自2014年11月18日至2015年5月18日，建仓期结束时资产配置比例符合本基金基金合同规定。</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本基金自2015年10月10日起，将基金业绩比较基准由“中信标普全债指数”变更为“中证综合债券指数收益率”。</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上投摩根纯债丰利债券C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注：本基金合同生效日为2014年11月18日，图示时间段为2014年11月18日至2020年9月30日。</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本基金建仓期自2014年11月18日至2015年5月18日，建仓期结束时资产配置比例符合本基金基金合同规定。</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本基金自2015年10月10日起，将基金业绩比较基准由“中信标普全债指数”变更为“中证综合债券指数收益率”。</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聂曙光</w:t>
            </w:r>
          </w:p>
        </w:tc>
        <w:tc>
          <w:tcPr>
            <w:vAlign w:val="center"/>
          </w:tcPr>
          <w:p>
            <w:pPr>
              <w:jc w:val="center"/>
            </w:pPr>
            <w:r>
              <w:rPr>
                <w:rFonts w:eastAsiaTheme="minorEastAsia"/>
                <w:color w:themeColor="text1" w:val="000000"/>
                <w:szCs w:val="21"/>
              </w:rPr>
              <w:t>本基金基金经理、债券投资部总监</w:t>
            </w:r>
          </w:p>
        </w:tc>
        <w:tc>
          <w:tcPr>
            <w:vAlign w:val="center"/>
          </w:tcPr>
          <w:p>
            <w:pPr>
              <w:jc w:val="center"/>
            </w:pPr>
            <w:r>
              <w:rPr>
                <w:rFonts w:eastAsiaTheme="minorEastAsia"/>
                <w:color w:themeColor="text1" w:val="000000"/>
                <w:szCs w:val="21"/>
              </w:rPr>
              <w:t>2014-11-18</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15年</w:t>
            </w:r>
          </w:p>
        </w:tc>
        <w:tc>
          <w:tcPr>
            <w:vAlign w:val="center"/>
          </w:tcPr>
          <w:p>
            <w:pPr>
              <w:jc w:val="both"/>
            </w:pPr>
            <w:r>
              <w:rPr>
                <w:rFonts w:eastAsiaTheme="minorEastAsia"/>
                <w:color w:themeColor="text1" w:val="000000"/>
                <w:szCs w:val="21"/>
              </w:rPr>
              <w:t>聂曙光先生，自2004年8月至2006年3月在南京银行任债券分析师；2006年3月至2009年9月在兴业银行任债券投资经理；2009年9月至2014年5月在中欧基金管理有限公司先后担任研究员、基金经理助理、基金经理、固定收益部总监、固定收益事业部临时负责人等职务，自2014年5月起加入上投摩根基金管理有限公司，先后担任基金经理、债券投资部总监兼资深基金经理，自2014年8月起担任上投摩根纯债债券型证券投资基金基金经理，自2014年10月起担任上投摩根红利回报混合型证券投资基金基金经理，自2014年11月起担任上投摩根纯债丰利债券型证券投资基金基金经理，自2015年1月起同时担任上投摩根稳进回报混合型证券投资基金基金经理，自2015年4月至2018年11月同时担任上投摩根天颐年丰混合型证券投资基金基金经理，自2016年6月至2020年1月同时担任上投摩根优信增利债券型证券投资基金基金经理，自2016年8月至2020年7月同时担任上投摩根安鑫回报混合型证券投资基金基金经理，2016年8月至2018年9月担任上投摩根岁岁丰定期开放债券型证券投资基金基金经理，自2017年1月至2018年12月同时担任上投摩根安瑞回报混合型证券投资基金基金经理，自2017年4月起同时担任上投摩根安通回报混合型证券投资基金基金经理，自2018年9月至2020年5月同时担任上投摩根安裕回报混合型证券投资基金基金经理，自2019年8月起同时担任上投摩根岁岁益定期开放债券型证券投资基金和上投摩根丰瑞债券型证券投资基金基金经理，自2020年8月起同时担任上投摩根瑞盛87个月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2.聂曙光先生为本基金首任基金经理，其任职日期指本基金基金合同生效之日。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纯债丰利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	</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第三季度，经济数据持续修复。最新数据上，9月公布的8月社融数据高于市场预期，新增社融3.58万亿。结构上，政府债券以外的其他分项均较去年同期增多。新增信贷中，企业中长期贷款占比持续提升。金融对实体经济的融资支持处于偏高水平。8月的工业生产再度加速并好于预期，工业企业盈利持续修复；消费增速符合预期；投资增速继续回升，尤其制造业投资改善幅度较大。9月制造业PMI相对上月上升0.5个百分点，连续7个月运行在景气区间。需求改善有所加快，价格环比继续回升。总体而言，经济数据继续全面修复，供需同步回升。</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财政政策方面，7月30日政治局会议提出，财政政策要更加积极有为、注重实效。要保障重大项目建设资金，注重质量和效益。货币政策要更加灵活适度、精准导向。加快形成以国内大循环为主体、国内国际双循环相互促进的新发展格局。完善宏观调控跨周期设计和调节，实现稳增长和防风险长期均衡。要提高产业链供应链稳定性和竞争力，更加注重补短板和锻长板。两会宣布的财政政策（3.6%赤字率、3.75万亿专项债、1万亿抗疫特别国债）在按计划落地中。</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货币政策方面，7月1日央行下调再贷款、再贴现利率25BP；7月LPR报价利率维持不变。在央行关于上半年金融数据解读的发布会中，提到“灵活适度”的货币政策更加强调“适度”，在“量”上节奏不过快，“价”上不过低，以防套利。维持“货币政策正常化”的大方向不变。8月央行继续加大流动性投放（OMO、超量MLF），同时公开措辞上（坚持货币政策三个不变）继续稳定市场预期。9月中下旬召开的央行三季度货币政策例会也再次强调“稳健的货币政策要更加灵活适度、精准导向，综合运用并创新多种货币政策工具，保持流动性合理充裕”保持不变，同时再次表示将“引导贷款利率继续下行”。在上述操作下，第三季度流动性维持紧平衡，8月资金价格较7月明显上行，9月较8月持平。临近季末时资金价格明显上升，结构性不平衡凸显。</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债券市场方面，第三季度债券收益率持续上行，收益率曲线明显熊平。7-9月份，10年期国债分别较前一月份上行14bp、5bp和13bp至3.15%，10年期国开债分别较前一月份上行38bp、11bp和14bp至3.72%。债券收益率水平回到40-50%历史分位数，中美国债利差继续扩大至约240bp，绝对和相对吸引力均有所提升。</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展望第四季度，预计复苏仍将持续， 10月国内债券供给压力较大，11-12月供给压力可能有所下降，短期仍可能给债券收益率带来压力。恢复货币政策正常化有可能带来边际上的收紧，流动性预计维持紧平衡状态，资金价格则维持波动，但大幅上行的可能性较低。股票市场在陆续出台的改革政策的刺激下可能迎来上涨，从而给债券收益率带来一定压力。综上，第四季度债券收益率可能仍然面临较多利空因素，虽然较弱的经济内生动力导致5月份以来的收益率大幅上行再次出现的可能性较低，但在诸多利空因素的共同作用下，收益率仍可能震荡上行，趋势性机会还尚未出现。</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第四季度计划保持组合现有杠杆水平和久期。</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本报告期上投摩根纯债丰利债券A份额净值增长率为:-0.64%，同期业绩比较基准收益率为:-0.57%,</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上投摩根纯债丰利债券C份额净值增长率为:-0.71%，同期业绩比较基准收益率为:-0.57%。</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1,123,894,438.00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90.09</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1,123,894,438.00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90.09</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96,200,000.00</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7.71</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11,455,518.46</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0.92</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16,016,626.05</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1.28</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1,247,566,582.51</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996,988,438.00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79.98</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996,988,438.00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79.98</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126,906,000.00</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10.18</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1,123,894,438.00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90.16</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180313</w:t>
            </w:r>
          </w:p>
        </w:tc>
        <w:tc>
          <w:tcPr>
            <w:vAlign w:val="center"/>
          </w:tcPr>
          <w:p>
            <w:pPr>
              <w:jc w:val="center"/>
            </w:pPr>
            <w:r>
              <w:rPr>
                <w:rFonts w:eastAsiaTheme="minorEastAsia"/>
                <w:color w:themeColor="text1" w:val="000000"/>
                <w:szCs w:val="21"/>
              </w:rPr>
              <w:t>18进出13</w:t>
            </w:r>
          </w:p>
        </w:tc>
        <w:tc>
          <w:tcPr>
            <w:vAlign w:val="center"/>
          </w:tcPr>
          <w:p>
            <w:pPr>
              <w:jc w:val="right"/>
            </w:pPr>
            <w:r>
              <w:rPr>
                <w:rFonts w:eastAsiaTheme="minorEastAsia"/>
                <w:color w:themeColor="text1" w:val="000000"/>
                <w:szCs w:val="21"/>
              </w:rPr>
              <w:t>1,600,000</w:t>
            </w:r>
          </w:p>
        </w:tc>
        <w:tc>
          <w:tcPr>
            <w:vAlign w:val="center"/>
          </w:tcPr>
          <w:p>
            <w:pPr>
              <w:jc w:val="right"/>
            </w:pPr>
            <w:r>
              <w:rPr>
                <w:rFonts w:eastAsiaTheme="minorEastAsia"/>
                <w:color w:themeColor="text1" w:val="000000"/>
                <w:szCs w:val="21"/>
              </w:rPr>
              <w:t>161,296,000.00</w:t>
            </w:r>
          </w:p>
        </w:tc>
        <w:tc>
          <w:tcPr>
            <w:vAlign w:val="center"/>
          </w:tcPr>
          <w:p>
            <w:pPr>
              <w:jc w:val="right"/>
            </w:pPr>
            <w:r>
              <w:rPr>
                <w:rFonts w:eastAsiaTheme="minorEastAsia"/>
                <w:color w:themeColor="text1" w:val="000000"/>
                <w:szCs w:val="21"/>
              </w:rPr>
              <w:t>12.94</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200211</w:t>
            </w:r>
          </w:p>
        </w:tc>
        <w:tc>
          <w:tcPr>
            <w:vAlign w:val="center"/>
          </w:tcPr>
          <w:p>
            <w:pPr>
              <w:jc w:val="center"/>
            </w:pPr>
            <w:r>
              <w:rPr>
                <w:rFonts w:eastAsiaTheme="minorEastAsia"/>
                <w:color w:themeColor="text1" w:val="000000"/>
                <w:szCs w:val="21"/>
              </w:rPr>
              <w:t>20国开11</w:t>
            </w:r>
          </w:p>
        </w:tc>
        <w:tc>
          <w:tcPr>
            <w:vAlign w:val="center"/>
          </w:tcPr>
          <w:p>
            <w:pPr>
              <w:jc w:val="right"/>
            </w:pPr>
            <w:r>
              <w:rPr>
                <w:rFonts w:eastAsiaTheme="minorEastAsia"/>
                <w:color w:themeColor="text1" w:val="000000"/>
                <w:szCs w:val="21"/>
              </w:rPr>
              <w:t>1,600,000</w:t>
            </w:r>
          </w:p>
        </w:tc>
        <w:tc>
          <w:tcPr>
            <w:vAlign w:val="center"/>
          </w:tcPr>
          <w:p>
            <w:pPr>
              <w:jc w:val="right"/>
            </w:pPr>
            <w:r>
              <w:rPr>
                <w:rFonts w:eastAsiaTheme="minorEastAsia"/>
                <w:color w:themeColor="text1" w:val="000000"/>
                <w:szCs w:val="21"/>
              </w:rPr>
              <w:t>158,512,000.00</w:t>
            </w:r>
          </w:p>
        </w:tc>
        <w:tc>
          <w:tcPr>
            <w:vAlign w:val="center"/>
          </w:tcPr>
          <w:p>
            <w:pPr>
              <w:jc w:val="right"/>
            </w:pPr>
            <w:r>
              <w:rPr>
                <w:rFonts w:eastAsiaTheme="minorEastAsia"/>
                <w:color w:themeColor="text1" w:val="000000"/>
                <w:szCs w:val="21"/>
              </w:rPr>
              <w:t>12.72</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180204</w:t>
            </w:r>
          </w:p>
        </w:tc>
        <w:tc>
          <w:tcPr>
            <w:vAlign w:val="center"/>
          </w:tcPr>
          <w:p>
            <w:pPr>
              <w:jc w:val="center"/>
            </w:pPr>
            <w:r>
              <w:rPr>
                <w:rFonts w:eastAsiaTheme="minorEastAsia"/>
                <w:color w:themeColor="text1" w:val="000000"/>
                <w:szCs w:val="21"/>
              </w:rPr>
              <w:t>18国开04</w:t>
            </w:r>
          </w:p>
        </w:tc>
        <w:tc>
          <w:tcPr>
            <w:vAlign w:val="center"/>
          </w:tcPr>
          <w:p>
            <w:pPr>
              <w:jc w:val="right"/>
            </w:pPr>
            <w:r>
              <w:rPr>
                <w:rFonts w:eastAsiaTheme="minorEastAsia"/>
                <w:color w:themeColor="text1" w:val="000000"/>
                <w:szCs w:val="21"/>
              </w:rPr>
              <w:t>1,400,000</w:t>
            </w:r>
          </w:p>
        </w:tc>
        <w:tc>
          <w:tcPr>
            <w:vAlign w:val="center"/>
          </w:tcPr>
          <w:p>
            <w:pPr>
              <w:jc w:val="right"/>
            </w:pPr>
            <w:r>
              <w:rPr>
                <w:rFonts w:eastAsiaTheme="minorEastAsia"/>
                <w:color w:themeColor="text1" w:val="000000"/>
                <w:szCs w:val="21"/>
              </w:rPr>
              <w:t>144,634,000.00</w:t>
            </w:r>
          </w:p>
        </w:tc>
        <w:tc>
          <w:tcPr>
            <w:vAlign w:val="center"/>
          </w:tcPr>
          <w:p>
            <w:pPr>
              <w:jc w:val="right"/>
            </w:pPr>
            <w:r>
              <w:rPr>
                <w:rFonts w:eastAsiaTheme="minorEastAsia"/>
                <w:color w:themeColor="text1" w:val="000000"/>
                <w:szCs w:val="21"/>
              </w:rPr>
              <w:t>11.60</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112012032</w:t>
            </w:r>
          </w:p>
        </w:tc>
        <w:tc>
          <w:tcPr>
            <w:vAlign w:val="center"/>
          </w:tcPr>
          <w:p>
            <w:pPr>
              <w:jc w:val="center"/>
            </w:pPr>
            <w:r>
              <w:rPr>
                <w:rFonts w:eastAsiaTheme="minorEastAsia"/>
                <w:color w:themeColor="text1" w:val="000000"/>
                <w:szCs w:val="21"/>
              </w:rPr>
              <w:t>20北京银行CD032</w:t>
            </w:r>
          </w:p>
        </w:tc>
        <w:tc>
          <w:tcPr>
            <w:vAlign w:val="center"/>
          </w:tcPr>
          <w:p>
            <w:pPr>
              <w:jc w:val="right"/>
            </w:pPr>
            <w:r>
              <w:rPr>
                <w:rFonts w:eastAsiaTheme="minorEastAsia"/>
                <w:color w:themeColor="text1" w:val="000000"/>
                <w:szCs w:val="21"/>
              </w:rPr>
              <w:t>1,300,000</w:t>
            </w:r>
          </w:p>
        </w:tc>
        <w:tc>
          <w:tcPr>
            <w:vAlign w:val="center"/>
          </w:tcPr>
          <w:p>
            <w:pPr>
              <w:jc w:val="right"/>
            </w:pPr>
            <w:r>
              <w:rPr>
                <w:rFonts w:eastAsiaTheme="minorEastAsia"/>
                <w:color w:themeColor="text1" w:val="000000"/>
                <w:szCs w:val="21"/>
              </w:rPr>
              <w:t>126,906,000.00</w:t>
            </w:r>
          </w:p>
        </w:tc>
        <w:tc>
          <w:tcPr>
            <w:vAlign w:val="center"/>
          </w:tcPr>
          <w:p>
            <w:pPr>
              <w:jc w:val="right"/>
            </w:pPr>
            <w:r>
              <w:rPr>
                <w:rFonts w:eastAsiaTheme="minorEastAsia"/>
                <w:color w:themeColor="text1" w:val="000000"/>
                <w:szCs w:val="21"/>
              </w:rPr>
              <w:t>10.18</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140210</w:t>
            </w:r>
          </w:p>
        </w:tc>
        <w:tc>
          <w:tcPr>
            <w:vAlign w:val="center"/>
          </w:tcPr>
          <w:p>
            <w:pPr>
              <w:jc w:val="center"/>
            </w:pPr>
            <w:r>
              <w:rPr>
                <w:rFonts w:eastAsiaTheme="minorEastAsia"/>
                <w:color w:themeColor="text1" w:val="000000"/>
                <w:szCs w:val="21"/>
              </w:rPr>
              <w:t>14国开10</w:t>
            </w:r>
          </w:p>
        </w:tc>
        <w:tc>
          <w:tcPr>
            <w:vAlign w:val="center"/>
          </w:tcPr>
          <w:p>
            <w:pPr>
              <w:jc w:val="right"/>
            </w:pPr>
            <w:r>
              <w:rPr>
                <w:rFonts w:eastAsiaTheme="minorEastAsia"/>
                <w:color w:themeColor="text1" w:val="000000"/>
                <w:szCs w:val="21"/>
              </w:rPr>
              <w:t>1,000,000</w:t>
            </w:r>
          </w:p>
        </w:tc>
        <w:tc>
          <w:tcPr>
            <w:vAlign w:val="center"/>
          </w:tcPr>
          <w:p>
            <w:pPr>
              <w:jc w:val="right"/>
            </w:pPr>
            <w:r>
              <w:rPr>
                <w:rFonts w:eastAsiaTheme="minorEastAsia"/>
                <w:color w:themeColor="text1" w:val="000000"/>
                <w:szCs w:val="21"/>
              </w:rPr>
              <w:t>101,390,000.00</w:t>
            </w:r>
          </w:p>
        </w:tc>
        <w:tc>
          <w:tcPr>
            <w:vAlign w:val="center"/>
          </w:tcPr>
          <w:p>
            <w:pPr>
              <w:jc w:val="right"/>
            </w:pPr>
            <w:r>
              <w:rPr>
                <w:rFonts w:eastAsiaTheme="minorEastAsia"/>
                <w:color w:themeColor="text1" w:val="000000"/>
                <w:szCs w:val="21"/>
              </w:rPr>
              <w:t>8.13</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16,007,183.56</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9,442.49</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16,016,626.05</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因四舍五入原因，投资组合报告中分项之和与合计可能存在尾差。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上投摩根纯债丰利债券A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上投摩根纯债丰利债券C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1,921,754,737.48</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4,984,938.91</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5,059,264.50</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86,951.21</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694,537,939.30</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3,685,835.82</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1,232,276,062.68</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1,386,054.30</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1、中国证监会批准上投摩根纯债丰利债券型证券投资基金募集的文件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2、《上投摩根纯债丰利债券型证券投资基金基金合同》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3、《上投摩根纯债丰利债券型证券投资基金托管协议》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4、法律意见书</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5、基金管理人业务资格批件、营业执照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6、基金托管人业务资格批件、营业执照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7、《上投摩根基金管理有限公司开放式基金业务规则》</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8、中国证监会要求的其他文件</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上投摩根纯债丰利债券型证券投资基金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