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上投摩根天添宝货币市场基金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2022年第3季度报告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2022年9月30日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上投摩根基金管理有限公司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二〇二二年十月二十六日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DE7591" w:rsidRDefault="00125FB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Cs w:val="21"/>
        </w:rPr>
        <w:t xml:space="preserve"> </w:t>
      </w:r>
    </w:p>
    <w:p w:rsidR="00DE7591" w:rsidRDefault="00125FB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基金托管人中国建设银行股份有限公司根据本基金合同规定，于</w:t>
      </w:r>
      <w:r>
        <w:rPr>
          <w:rFonts w:asciiTheme="minorEastAsia" w:eastAsiaTheme="minorEastAsia" w:hAnsiTheme="minorEastAsia"/>
          <w:color w:val="000000" w:themeColor="text1"/>
          <w:szCs w:val="21"/>
        </w:rPr>
        <w:t>2022</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25</w:t>
      </w:r>
      <w:r>
        <w:rPr>
          <w:rFonts w:asciiTheme="minorEastAsia" w:eastAsiaTheme="minorEastAsia" w:hAnsiTheme="minorEastAsia"/>
          <w:color w:val="000000" w:themeColor="text1"/>
          <w:szCs w:val="2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Cs w:val="21"/>
        </w:rPr>
        <w:t xml:space="preserve"> </w:t>
      </w:r>
    </w:p>
    <w:p w:rsidR="00DE7591" w:rsidRDefault="00125FB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基金管理人承诺以诚实信用、勤勉尽责的原则管理和运用基金资产，但不保证基金一定盈利。</w:t>
      </w:r>
      <w:r>
        <w:rPr>
          <w:rFonts w:asciiTheme="minorEastAsia" w:eastAsiaTheme="minorEastAsia" w:hAnsiTheme="minorEastAsia"/>
          <w:color w:val="000000" w:themeColor="text1"/>
          <w:szCs w:val="21"/>
        </w:rPr>
        <w:t xml:space="preserve"> </w:t>
      </w:r>
    </w:p>
    <w:p w:rsidR="00DE7591" w:rsidRDefault="00125FB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szCs w:val="21"/>
        </w:rPr>
        <w:t xml:space="preserve"> </w:t>
      </w:r>
    </w:p>
    <w:p w:rsidR="00DE7591" w:rsidRDefault="00125FB7">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本报告期自2022年7月1日起至9月30日止。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上投摩根天添宝货币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000712</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2014年11月25日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307,228,626.52</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在有效控制投资风险和保持较高流动性的基础上，力争获得高于业绩比较基准的稳定回报。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DE7591" w:rsidRDefault="00125FB7">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w:t>
            </w:r>
            <w:r>
              <w:rPr>
                <w:rFonts w:asciiTheme="minorEastAsia" w:eastAsiaTheme="minorEastAsia" w:hAnsiTheme="minorEastAsia"/>
                <w:color w:val="000000" w:themeColor="text1"/>
                <w:kern w:val="0"/>
                <w:szCs w:val="21"/>
              </w:rPr>
              <w:lastRenderedPageBreak/>
              <w:t>场结构变化和短期资金供给等因素的综合分析，形成对未来货币市场利</w:t>
            </w:r>
            <w:r>
              <w:rPr>
                <w:rFonts w:asciiTheme="minorEastAsia" w:eastAsiaTheme="minorEastAsia" w:hAnsiTheme="minorEastAsia"/>
                <w:color w:val="000000" w:themeColor="text1"/>
                <w:kern w:val="0"/>
                <w:szCs w:val="21"/>
              </w:rPr>
              <w:t>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其他投资策略：包括息差策略、套利策略、现金流管理策略。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lastRenderedPageBreak/>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风险收益特征</w:t>
            </w:r>
          </w:p>
        </w:tc>
        <w:tc>
          <w:tcPr>
            <w:tcW w:w="5479" w:type="dxa"/>
            <w:gridSpan w:val="2"/>
            <w:vAlign w:val="center"/>
          </w:tcPr>
          <w:p w:rsidR="00DE7591" w:rsidRDefault="00125FB7">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本基金为货币市场基金，是证券投资基金中的低风险品种。本基金的风险和预期收益低于股票型基金、混合型基金和债券型基金。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上投摩根基金管理有限公司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000712</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000713</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28,935,164.40</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278,293,462.12</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2022年7月1日-2022年9月30日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111,337.80</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1,515,080.09</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111,337.80</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1,515,080.09</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28,935,164.40</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278,293,462.12</w:t>
            </w:r>
          </w:p>
        </w:tc>
      </w:tr>
    </w:tbl>
    <w:p w:rsidR="00DE7591" w:rsidRDefault="00125FB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上投摩根天添宝货币A: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过去三个月</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0.3554%</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0.0012%</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0.3403%</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0.0151%</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0.0012%</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过去六个月</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0.7800%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0.0014%</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0.6768%</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0.1032%</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0.0014%</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过去一年</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1.7901%</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0.0016%</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1.3500%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0.4401%</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0.0016%</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过去三年</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5.9852%</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0.0014%</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4.0537%</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1.9315%</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0.0014%</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过去五年</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12.0745%</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0.0022%</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6.7537%</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5.3208%</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0.0022%</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20.4837%</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0.0033%</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10.6040%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9.8797%</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0.0033%</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上投摩根天添宝货币B：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过去三个月</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0.4161%</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0.0012%</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0.3403%</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0.0758%</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0.0012%</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过去六个月</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0.9015%</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0.0014%</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0.6768%</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0.2247%</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0.0014%</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过去一年</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2.0345%</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0.0016%</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1.3500%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0.6845%</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0.0016%</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过去三年</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6.7512%</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0.0014%</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4.0537%</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2.6975%</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0.0014%</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t>过去五年</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13.4284%</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0.0022%</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6.7537%</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6.6747%</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0.0022%</w:t>
            </w:r>
          </w:p>
        </w:tc>
      </w:tr>
      <w:tr w:rsidR="00DE7591">
        <w:tc>
          <w:tcPr>
            <w:tcW w:w="1328" w:type="dxa"/>
            <w:vAlign w:val="center"/>
          </w:tcPr>
          <w:p w:rsidR="00DE7591" w:rsidRDefault="00125FB7">
            <w:pPr>
              <w:jc w:val="left"/>
            </w:pPr>
            <w:r>
              <w:rPr>
                <w:rFonts w:asciiTheme="minorEastAsia" w:eastAsiaTheme="minorEastAsia" w:hAnsiTheme="minorEastAsia"/>
                <w:color w:val="000000" w:themeColor="text1"/>
                <w:szCs w:val="21"/>
              </w:rPr>
              <w:lastRenderedPageBreak/>
              <w:t>自基金合同生效起至今</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22.7782%</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0.0033%</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10.6040%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0.0000%</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12.1742%</w:t>
            </w:r>
          </w:p>
        </w:tc>
        <w:tc>
          <w:tcPr>
            <w:tcW w:w="1329" w:type="dxa"/>
            <w:vAlign w:val="center"/>
          </w:tcPr>
          <w:p w:rsidR="00DE7591" w:rsidRDefault="00125FB7">
            <w:pPr>
              <w:jc w:val="center"/>
            </w:pPr>
            <w:r>
              <w:rPr>
                <w:rFonts w:asciiTheme="minorEastAsia" w:eastAsiaTheme="minorEastAsia" w:hAnsiTheme="minorEastAsia"/>
                <w:color w:val="000000" w:themeColor="text1"/>
                <w:szCs w:val="21"/>
              </w:rPr>
              <w:t>0.0033%</w:t>
            </w:r>
          </w:p>
        </w:tc>
      </w:tr>
    </w:tbl>
    <w:p w:rsidR="0064191E" w:rsidRPr="00221340" w:rsidRDefault="0064191E"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注：本基金收益分配按日结转份额。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上投摩根天添宝货币市场基金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2014年11月25日</w:t>
      </w:r>
      <w:r w:rsidRPr="00221340">
        <w:rPr>
          <w:rFonts w:asciiTheme="minorEastAsia" w:eastAsiaTheme="minorEastAsia" w:hAnsiTheme="minorEastAsia" w:hint="eastAsia"/>
          <w:color w:val="000000" w:themeColor="text1"/>
          <w:kern w:val="0"/>
          <w:szCs w:val="21"/>
        </w:rPr>
        <w:t>至2022年9月30日)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上投摩根天添宝货币A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上投摩根天添宝货币B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lastRenderedPageBreak/>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DE7591" w:rsidRDefault="00125FB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注：本基金合同生效日为</w:t>
      </w:r>
      <w:r>
        <w:rPr>
          <w:rFonts w:asciiTheme="minorEastAsia" w:eastAsiaTheme="minorEastAsia" w:hAnsiTheme="minorEastAsia" w:hint="eastAsia"/>
          <w:color w:val="000000" w:themeColor="text1"/>
          <w:szCs w:val="21"/>
        </w:rPr>
        <w:t>2014</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11</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25</w:t>
      </w:r>
      <w:r>
        <w:rPr>
          <w:rFonts w:asciiTheme="minorEastAsia" w:eastAsiaTheme="minorEastAsia" w:hAnsiTheme="minorEastAsia" w:hint="eastAsia"/>
          <w:color w:val="000000" w:themeColor="text1"/>
          <w:szCs w:val="21"/>
        </w:rPr>
        <w:t>日，图示的时间段为合同生效日至本报告期末。</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本基金建仓期为本基金合同生效日起 6 个月，建仓期结束时资产配置比例符合本基金基金合同规定。</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DE7591">
        <w:tc>
          <w:tcPr>
            <w:tcW w:w="952" w:type="dxa"/>
            <w:vAlign w:val="center"/>
          </w:tcPr>
          <w:p w:rsidR="00DE7591" w:rsidRDefault="00125FB7">
            <w:pPr>
              <w:jc w:val="center"/>
            </w:pPr>
            <w:r>
              <w:rPr>
                <w:rFonts w:asciiTheme="minorEastAsia" w:eastAsiaTheme="minorEastAsia" w:hAnsiTheme="minorEastAsia"/>
                <w:color w:val="000000" w:themeColor="text1"/>
                <w:szCs w:val="21"/>
              </w:rPr>
              <w:t>鞠婷</w:t>
            </w:r>
          </w:p>
        </w:tc>
        <w:tc>
          <w:tcPr>
            <w:tcW w:w="1600" w:type="dxa"/>
            <w:vAlign w:val="center"/>
          </w:tcPr>
          <w:p w:rsidR="00DE7591" w:rsidRDefault="00125FB7">
            <w:pPr>
              <w:jc w:val="center"/>
            </w:pPr>
            <w:r>
              <w:rPr>
                <w:rFonts w:asciiTheme="minorEastAsia" w:eastAsiaTheme="minorEastAsia" w:hAnsiTheme="minorEastAsia"/>
                <w:color w:val="000000" w:themeColor="text1"/>
                <w:szCs w:val="21"/>
              </w:rPr>
              <w:t>本基金基金经理</w:t>
            </w:r>
          </w:p>
        </w:tc>
        <w:tc>
          <w:tcPr>
            <w:tcW w:w="1488" w:type="dxa"/>
            <w:vAlign w:val="center"/>
          </w:tcPr>
          <w:p w:rsidR="00DE7591" w:rsidRDefault="00125FB7">
            <w:pPr>
              <w:jc w:val="center"/>
            </w:pPr>
            <w:r>
              <w:rPr>
                <w:rFonts w:asciiTheme="minorEastAsia" w:eastAsiaTheme="minorEastAsia" w:hAnsiTheme="minorEastAsia"/>
                <w:color w:val="000000" w:themeColor="text1"/>
                <w:szCs w:val="21"/>
              </w:rPr>
              <w:t>2016-05-27</w:t>
            </w:r>
          </w:p>
        </w:tc>
        <w:tc>
          <w:tcPr>
            <w:tcW w:w="1489" w:type="dxa"/>
            <w:vAlign w:val="center"/>
          </w:tcPr>
          <w:p w:rsidR="00DE7591" w:rsidRDefault="00125FB7">
            <w:pPr>
              <w:jc w:val="center"/>
            </w:pPr>
            <w:r>
              <w:rPr>
                <w:rFonts w:asciiTheme="minorEastAsia" w:eastAsiaTheme="minorEastAsia" w:hAnsiTheme="minorEastAsia"/>
                <w:color w:val="000000" w:themeColor="text1"/>
                <w:szCs w:val="21"/>
              </w:rPr>
              <w:t>-</w:t>
            </w:r>
          </w:p>
        </w:tc>
        <w:tc>
          <w:tcPr>
            <w:tcW w:w="992" w:type="dxa"/>
            <w:vAlign w:val="center"/>
          </w:tcPr>
          <w:p w:rsidR="00DE7591" w:rsidRDefault="00125FB7">
            <w:pPr>
              <w:jc w:val="center"/>
            </w:pPr>
            <w:r>
              <w:rPr>
                <w:rFonts w:asciiTheme="minorEastAsia" w:eastAsiaTheme="minorEastAsia" w:hAnsiTheme="minorEastAsia"/>
                <w:color w:val="000000" w:themeColor="text1"/>
                <w:szCs w:val="21"/>
              </w:rPr>
              <w:t>17</w:t>
            </w:r>
            <w:r>
              <w:rPr>
                <w:rFonts w:asciiTheme="minorEastAsia" w:eastAsiaTheme="minorEastAsia" w:hAnsiTheme="minorEastAsia"/>
                <w:color w:val="000000" w:themeColor="text1"/>
                <w:szCs w:val="21"/>
              </w:rPr>
              <w:t>年</w:t>
            </w:r>
          </w:p>
        </w:tc>
        <w:tc>
          <w:tcPr>
            <w:tcW w:w="2410" w:type="dxa"/>
            <w:vAlign w:val="center"/>
          </w:tcPr>
          <w:p w:rsidR="00DE7591" w:rsidRDefault="00125FB7">
            <w:r>
              <w:rPr>
                <w:rFonts w:asciiTheme="minorEastAsia" w:eastAsiaTheme="minorEastAsia" w:hAnsiTheme="minorEastAsia"/>
                <w:color w:val="000000" w:themeColor="text1"/>
                <w:szCs w:val="21"/>
              </w:rPr>
              <w:t>鞠婷女士，</w:t>
            </w:r>
            <w:r>
              <w:rPr>
                <w:rFonts w:asciiTheme="minorEastAsia" w:eastAsiaTheme="minorEastAsia" w:hAnsiTheme="minorEastAsia"/>
                <w:color w:val="000000" w:themeColor="text1"/>
                <w:szCs w:val="21"/>
              </w:rPr>
              <w:t>1997</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2001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月在中国建设银行第一支行担任助理经济师，</w:t>
            </w:r>
            <w:r>
              <w:rPr>
                <w:rFonts w:asciiTheme="minorEastAsia" w:eastAsiaTheme="minorEastAsia" w:hAnsiTheme="minorEastAsia"/>
                <w:color w:val="000000" w:themeColor="text1"/>
                <w:szCs w:val="21"/>
              </w:rPr>
              <w:t>2006</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月在瑞穗银行总行担任总经理助理。自</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月起加入上投摩根基金管理有限公司，先后担任我公司货币市场投资部基金经理助理、基金经理、高级基金经理、货币市场投资部副总监兼资深基金经理，</w:t>
            </w:r>
            <w:r>
              <w:rPr>
                <w:rFonts w:asciiTheme="minorEastAsia" w:eastAsiaTheme="minorEastAsia" w:hAnsiTheme="minorEastAsia"/>
                <w:color w:val="000000" w:themeColor="text1"/>
                <w:szCs w:val="21"/>
              </w:rPr>
              <w:t>2015</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月担任上</w:t>
            </w:r>
            <w:r>
              <w:rPr>
                <w:rFonts w:asciiTheme="minorEastAsia" w:eastAsiaTheme="minorEastAsia" w:hAnsiTheme="minorEastAsia"/>
                <w:color w:val="000000" w:themeColor="text1"/>
                <w:szCs w:val="21"/>
              </w:rPr>
              <w:lastRenderedPageBreak/>
              <w:t>投摩根现金管理货币市场基金基金经理，自</w:t>
            </w:r>
            <w:r>
              <w:rPr>
                <w:rFonts w:asciiTheme="minorEastAsia" w:eastAsiaTheme="minorEastAsia" w:hAnsiTheme="minorEastAsia"/>
                <w:color w:val="000000" w:themeColor="text1"/>
                <w:szCs w:val="21"/>
              </w:rPr>
              <w:t>2016</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月起担任上投摩根天添盈货币市场基金和上投摩根天添宝货币市场基金基金经理，自</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月起同时担任上投摩根货币市场基金基金经理。</w:t>
            </w:r>
          </w:p>
        </w:tc>
      </w:tr>
      <w:tr w:rsidR="00DE7591">
        <w:tc>
          <w:tcPr>
            <w:tcW w:w="952" w:type="dxa"/>
            <w:vAlign w:val="center"/>
          </w:tcPr>
          <w:p w:rsidR="00DE7591" w:rsidRDefault="00125FB7">
            <w:pPr>
              <w:jc w:val="center"/>
            </w:pPr>
            <w:r>
              <w:rPr>
                <w:rFonts w:asciiTheme="minorEastAsia" w:eastAsiaTheme="minorEastAsia" w:hAnsiTheme="minorEastAsia"/>
                <w:color w:val="000000" w:themeColor="text1"/>
                <w:szCs w:val="21"/>
              </w:rPr>
              <w:lastRenderedPageBreak/>
              <w:t>孟晨波</w:t>
            </w:r>
          </w:p>
        </w:tc>
        <w:tc>
          <w:tcPr>
            <w:tcW w:w="1600" w:type="dxa"/>
            <w:vAlign w:val="center"/>
          </w:tcPr>
          <w:p w:rsidR="00DE7591" w:rsidRDefault="00125FB7">
            <w:pPr>
              <w:jc w:val="center"/>
            </w:pPr>
            <w:r>
              <w:rPr>
                <w:rFonts w:asciiTheme="minorEastAsia" w:eastAsiaTheme="minorEastAsia" w:hAnsiTheme="minorEastAsia"/>
                <w:color w:val="000000" w:themeColor="text1"/>
                <w:szCs w:val="21"/>
              </w:rPr>
              <w:t>本基金基金经理、货币市场投资部总监、总经理助理</w:t>
            </w:r>
          </w:p>
        </w:tc>
        <w:tc>
          <w:tcPr>
            <w:tcW w:w="1488" w:type="dxa"/>
            <w:vAlign w:val="center"/>
          </w:tcPr>
          <w:p w:rsidR="00DE7591" w:rsidRDefault="00125FB7">
            <w:pPr>
              <w:jc w:val="center"/>
            </w:pPr>
            <w:r>
              <w:rPr>
                <w:rFonts w:asciiTheme="minorEastAsia" w:eastAsiaTheme="minorEastAsia" w:hAnsiTheme="minorEastAsia"/>
                <w:color w:val="000000" w:themeColor="text1"/>
                <w:szCs w:val="21"/>
              </w:rPr>
              <w:t>2014-11-25</w:t>
            </w:r>
          </w:p>
        </w:tc>
        <w:tc>
          <w:tcPr>
            <w:tcW w:w="1489" w:type="dxa"/>
            <w:vAlign w:val="center"/>
          </w:tcPr>
          <w:p w:rsidR="00DE7591" w:rsidRDefault="00125FB7">
            <w:pPr>
              <w:jc w:val="center"/>
            </w:pPr>
            <w:r>
              <w:rPr>
                <w:rFonts w:asciiTheme="minorEastAsia" w:eastAsiaTheme="minorEastAsia" w:hAnsiTheme="minorEastAsia"/>
                <w:color w:val="000000" w:themeColor="text1"/>
                <w:szCs w:val="21"/>
              </w:rPr>
              <w:t>-</w:t>
            </w:r>
          </w:p>
        </w:tc>
        <w:tc>
          <w:tcPr>
            <w:tcW w:w="992" w:type="dxa"/>
            <w:vAlign w:val="center"/>
          </w:tcPr>
          <w:p w:rsidR="00DE7591" w:rsidRDefault="00125FB7">
            <w:pPr>
              <w:jc w:val="center"/>
            </w:pPr>
            <w:r>
              <w:rPr>
                <w:rFonts w:asciiTheme="minorEastAsia" w:eastAsiaTheme="minorEastAsia" w:hAnsiTheme="minorEastAsia"/>
                <w:color w:val="000000" w:themeColor="text1"/>
                <w:szCs w:val="21"/>
              </w:rPr>
              <w:t>17</w:t>
            </w:r>
            <w:r>
              <w:rPr>
                <w:rFonts w:asciiTheme="minorEastAsia" w:eastAsiaTheme="minorEastAsia" w:hAnsiTheme="minorEastAsia"/>
                <w:color w:val="000000" w:themeColor="text1"/>
                <w:szCs w:val="21"/>
              </w:rPr>
              <w:t>年（金融领域从业经验</w:t>
            </w:r>
            <w:r>
              <w:rPr>
                <w:rFonts w:asciiTheme="minorEastAsia" w:eastAsiaTheme="minorEastAsia" w:hAnsiTheme="minorEastAsia"/>
                <w:color w:val="000000" w:themeColor="text1"/>
                <w:szCs w:val="21"/>
              </w:rPr>
              <w:t>27</w:t>
            </w:r>
            <w:r>
              <w:rPr>
                <w:rFonts w:asciiTheme="minorEastAsia" w:eastAsiaTheme="minorEastAsia" w:hAnsiTheme="minorEastAsia"/>
                <w:color w:val="000000" w:themeColor="text1"/>
                <w:szCs w:val="21"/>
              </w:rPr>
              <w:t>年）</w:t>
            </w:r>
          </w:p>
        </w:tc>
        <w:tc>
          <w:tcPr>
            <w:tcW w:w="2410" w:type="dxa"/>
            <w:vAlign w:val="center"/>
          </w:tcPr>
          <w:p w:rsidR="00DE7591" w:rsidRDefault="00125FB7">
            <w:r>
              <w:rPr>
                <w:rFonts w:asciiTheme="minorEastAsia" w:eastAsiaTheme="minorEastAsia" w:hAnsiTheme="minorEastAsia"/>
                <w:color w:val="000000" w:themeColor="text1"/>
                <w:szCs w:val="21"/>
              </w:rPr>
              <w:t>孟晨波女士，经济学学士，历任荷兰银行上海分行资金部高级交易员，星展银行上海分行资金部经理，比利时富通银行上海分行资金部联席董事，花旗银行（中国）有限公司金融市场部副总监。</w:t>
            </w:r>
            <w:r>
              <w:rPr>
                <w:rFonts w:asciiTheme="minorEastAsia" w:eastAsiaTheme="minorEastAsia" w:hAnsiTheme="minorEastAsia"/>
                <w:color w:val="000000" w:themeColor="text1"/>
                <w:szCs w:val="21"/>
              </w:rPr>
              <w:t>2009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月起加入上投摩根基金管理有限公司，先后担任固定收益部总监，总经理助理</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货币市场投资部总监兼资深基金经理，自</w:t>
            </w:r>
            <w:r>
              <w:rPr>
                <w:rFonts w:asciiTheme="minorEastAsia" w:eastAsiaTheme="minorEastAsia" w:hAnsiTheme="minorEastAsia"/>
                <w:color w:val="000000" w:themeColor="text1"/>
                <w:szCs w:val="21"/>
              </w:rPr>
              <w:t>2009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月起任上投摩根货币市场基金基金经理，</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月担任上投摩根现金管理货币市场</w:t>
            </w:r>
            <w:r>
              <w:rPr>
                <w:rFonts w:asciiTheme="minorEastAsia" w:eastAsiaTheme="minorEastAsia" w:hAnsiTheme="minorEastAsia"/>
                <w:color w:val="000000" w:themeColor="text1"/>
                <w:szCs w:val="21"/>
              </w:rPr>
              <w:t>基金基金经理，自</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月起担任上投摩根天添宝货币市场基金基金经理，</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11</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2017</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月同时担任上投摩根天添盈货币市场基金基金经理。</w:t>
            </w:r>
          </w:p>
        </w:tc>
      </w:tr>
    </w:tbl>
    <w:p w:rsidR="00DE7591" w:rsidRDefault="00125FB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任职日期和离任日期均指根据公司决定确定的聘任日期和解聘日期。</w:t>
      </w:r>
    </w:p>
    <w:p w:rsidR="00DE7591" w:rsidRDefault="00125FB7">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孟晨波女士为本基金首任基金经理，其任职日期指本基金基金合同生效之日。</w:t>
      </w:r>
      <w:r>
        <w:rPr>
          <w:rFonts w:asciiTheme="minorEastAsia" w:eastAsiaTheme="minorEastAsia" w:hAnsiTheme="minorEastAsia"/>
          <w:color w:val="000000" w:themeColor="text1"/>
          <w:szCs w:val="21"/>
        </w:rPr>
        <w:t xml:space="preserve"> </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3.证券从业的含义遵从行业协会《证券业从业人员资格管理办法》的相关规定。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天添宝货币市场基金基金合同》的规定。基金经理对个股和投资组合的比例遵循了投资决策委员会的授权限制，</w:t>
      </w:r>
      <w:r w:rsidRPr="00221340">
        <w:rPr>
          <w:rFonts w:asciiTheme="minorEastAsia" w:eastAsiaTheme="minorEastAsia" w:hAnsiTheme="minorEastAsia"/>
          <w:color w:val="000000" w:themeColor="text1"/>
          <w:szCs w:val="21"/>
        </w:rPr>
        <w:lastRenderedPageBreak/>
        <w:t>基金投资比例符合基金合同和法律法规的要求。</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w:t>
      </w:r>
      <w:r>
        <w:rPr>
          <w:rFonts w:asciiTheme="minorEastAsia" w:eastAsiaTheme="minorEastAsia" w:hAnsiTheme="minorEastAsia"/>
          <w:color w:val="000000" w:themeColor="text1"/>
          <w:szCs w:val="21"/>
        </w:rPr>
        <w:t>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w:t>
      </w:r>
      <w:r>
        <w:rPr>
          <w:rFonts w:asciiTheme="minorEastAsia" w:eastAsiaTheme="minorEastAsia" w:hAnsiTheme="minorEastAsia"/>
          <w:color w:val="000000" w:themeColor="text1"/>
          <w:szCs w:val="21"/>
        </w:rPr>
        <w:t>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2022</w:t>
      </w:r>
      <w:r>
        <w:rPr>
          <w:rFonts w:asciiTheme="minorEastAsia" w:eastAsiaTheme="minorEastAsia" w:hAnsiTheme="minorEastAsia"/>
          <w:color w:val="000000" w:themeColor="text1"/>
          <w:szCs w:val="21"/>
        </w:rPr>
        <w:t>年三季度，稳增长政策持续发力，中国经济延续恢复态势。</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月全国规模以上工业增加值同比增长</w:t>
      </w:r>
      <w:r>
        <w:rPr>
          <w:rFonts w:asciiTheme="minorEastAsia" w:eastAsiaTheme="minorEastAsia" w:hAnsiTheme="minorEastAsia"/>
          <w:color w:val="000000" w:themeColor="text1"/>
          <w:szCs w:val="21"/>
        </w:rPr>
        <w:t>4.2%</w:t>
      </w:r>
      <w:r>
        <w:rPr>
          <w:rFonts w:asciiTheme="minorEastAsia" w:eastAsiaTheme="minorEastAsia" w:hAnsiTheme="minorEastAsia"/>
          <w:color w:val="000000" w:themeColor="text1"/>
          <w:szCs w:val="21"/>
        </w:rPr>
        <w:t>，制造业持续复苏；</w:t>
      </w:r>
      <w:r>
        <w:rPr>
          <w:rFonts w:asciiTheme="minorEastAsia" w:eastAsiaTheme="minorEastAsia" w:hAnsiTheme="minorEastAsia"/>
          <w:color w:val="000000" w:themeColor="text1"/>
          <w:szCs w:val="21"/>
        </w:rPr>
        <w:t>1-8</w:t>
      </w:r>
      <w:r>
        <w:rPr>
          <w:rFonts w:asciiTheme="minorEastAsia" w:eastAsiaTheme="minorEastAsia" w:hAnsiTheme="minorEastAsia"/>
          <w:color w:val="000000" w:themeColor="text1"/>
          <w:szCs w:val="21"/>
        </w:rPr>
        <w:t>月份，全国固定资产投资同比增加</w:t>
      </w:r>
      <w:r>
        <w:rPr>
          <w:rFonts w:asciiTheme="minorEastAsia" w:eastAsiaTheme="minorEastAsia" w:hAnsiTheme="minorEastAsia"/>
          <w:color w:val="000000" w:themeColor="text1"/>
          <w:szCs w:val="21"/>
        </w:rPr>
        <w:t>5.8%</w:t>
      </w:r>
      <w:r>
        <w:rPr>
          <w:rFonts w:asciiTheme="minorEastAsia" w:eastAsiaTheme="minorEastAsia" w:hAnsiTheme="minorEastAsia"/>
          <w:color w:val="000000" w:themeColor="text1"/>
          <w:szCs w:val="21"/>
        </w:rPr>
        <w:t>，小幅高于市场预期；</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月社会消费品零售超预期，消费板块景气度继续改善；</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月官方制造业</w:t>
      </w:r>
      <w:r>
        <w:rPr>
          <w:rFonts w:asciiTheme="minorEastAsia" w:eastAsiaTheme="minorEastAsia" w:hAnsiTheme="minorEastAsia"/>
          <w:color w:val="000000" w:themeColor="text1"/>
          <w:szCs w:val="21"/>
        </w:rPr>
        <w:t>PMI</w:t>
      </w:r>
      <w:r>
        <w:rPr>
          <w:rFonts w:asciiTheme="minorEastAsia" w:eastAsiaTheme="minorEastAsia" w:hAnsiTheme="minorEastAsia"/>
          <w:color w:val="000000" w:themeColor="text1"/>
          <w:szCs w:val="21"/>
        </w:rPr>
        <w:t>为</w:t>
      </w:r>
      <w:r>
        <w:rPr>
          <w:rFonts w:asciiTheme="minorEastAsia" w:eastAsiaTheme="minorEastAsia" w:hAnsiTheme="minorEastAsia"/>
          <w:color w:val="000000" w:themeColor="text1"/>
          <w:szCs w:val="21"/>
        </w:rPr>
        <w:t>50.1</w:t>
      </w:r>
      <w:r>
        <w:rPr>
          <w:rFonts w:asciiTheme="minorEastAsia" w:eastAsiaTheme="minorEastAsia" w:hAnsiTheme="minorEastAsia"/>
          <w:color w:val="000000" w:themeColor="text1"/>
          <w:szCs w:val="21"/>
        </w:rPr>
        <w:t>，升至扩张区间；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CPI</w:t>
      </w:r>
      <w:r>
        <w:rPr>
          <w:rFonts w:asciiTheme="minorEastAsia" w:eastAsiaTheme="minorEastAsia" w:hAnsiTheme="minorEastAsia"/>
          <w:color w:val="000000" w:themeColor="text1"/>
          <w:szCs w:val="21"/>
        </w:rPr>
        <w:t>和</w:t>
      </w:r>
      <w:r>
        <w:rPr>
          <w:rFonts w:asciiTheme="minorEastAsia" w:eastAsiaTheme="minorEastAsia" w:hAnsiTheme="minorEastAsia"/>
          <w:color w:val="000000" w:themeColor="text1"/>
          <w:szCs w:val="21"/>
        </w:rPr>
        <w:t>PPI</w:t>
      </w:r>
      <w:r>
        <w:rPr>
          <w:rFonts w:asciiTheme="minorEastAsia" w:eastAsiaTheme="minorEastAsia" w:hAnsiTheme="minorEastAsia"/>
          <w:color w:val="000000" w:themeColor="text1"/>
          <w:szCs w:val="21"/>
        </w:rPr>
        <w:t>双双超预期回落，市场对于通胀的担忧减弱。</w:t>
      </w:r>
      <w:r>
        <w:rPr>
          <w:rFonts w:asciiTheme="minorEastAsia" w:eastAsiaTheme="minorEastAsia" w:hAnsiTheme="minorEastAsia"/>
          <w:color w:val="000000" w:themeColor="text1"/>
          <w:szCs w:val="21"/>
        </w:rPr>
        <w:t xml:space="preserve"> </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三季度在稳经济、</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保交楼</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的压力下，货币政策继续延续宽松，维持市场较低融资成本。具体来看，央行在</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15</w:t>
      </w:r>
      <w:r>
        <w:rPr>
          <w:rFonts w:asciiTheme="minorEastAsia" w:eastAsiaTheme="minorEastAsia" w:hAnsiTheme="minorEastAsia"/>
          <w:color w:val="000000" w:themeColor="text1"/>
          <w:szCs w:val="21"/>
        </w:rPr>
        <w:t>日同时下调</w:t>
      </w:r>
      <w:r>
        <w:rPr>
          <w:rFonts w:asciiTheme="minorEastAsia" w:eastAsiaTheme="minorEastAsia" w:hAnsiTheme="minorEastAsia"/>
          <w:color w:val="000000" w:themeColor="text1"/>
          <w:szCs w:val="21"/>
        </w:rPr>
        <w:t>MLF</w:t>
      </w:r>
      <w:r>
        <w:rPr>
          <w:rFonts w:asciiTheme="minorEastAsia" w:eastAsiaTheme="minorEastAsia" w:hAnsiTheme="minorEastAsia"/>
          <w:color w:val="000000" w:themeColor="text1"/>
          <w:szCs w:val="21"/>
        </w:rPr>
        <w:t>和</w:t>
      </w:r>
      <w:r>
        <w:rPr>
          <w:rFonts w:asciiTheme="minorEastAsia" w:eastAsiaTheme="minorEastAsia" w:hAnsiTheme="minorEastAsia"/>
          <w:color w:val="000000" w:themeColor="text1"/>
          <w:szCs w:val="21"/>
        </w:rPr>
        <w:t>OMO</w:t>
      </w:r>
      <w:r>
        <w:rPr>
          <w:rFonts w:asciiTheme="minorEastAsia" w:eastAsiaTheme="minorEastAsia" w:hAnsiTheme="minorEastAsia"/>
          <w:color w:val="000000" w:themeColor="text1"/>
          <w:szCs w:val="21"/>
        </w:rPr>
        <w:t>利率各</w:t>
      </w:r>
      <w:r>
        <w:rPr>
          <w:rFonts w:asciiTheme="minorEastAsia" w:eastAsiaTheme="minorEastAsia" w:hAnsiTheme="minorEastAsia"/>
          <w:color w:val="000000" w:themeColor="text1"/>
          <w:szCs w:val="21"/>
        </w:rPr>
        <w:t>10bp</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20</w:t>
      </w:r>
      <w:r>
        <w:rPr>
          <w:rFonts w:asciiTheme="minorEastAsia" w:eastAsiaTheme="minorEastAsia" w:hAnsiTheme="minorEastAsia"/>
          <w:color w:val="000000" w:themeColor="text1"/>
          <w:szCs w:val="21"/>
        </w:rPr>
        <w:t>日</w:t>
      </w:r>
      <w:r>
        <w:rPr>
          <w:rFonts w:asciiTheme="minorEastAsia" w:eastAsiaTheme="minorEastAsia" w:hAnsiTheme="minorEastAsia"/>
          <w:color w:val="000000" w:themeColor="text1"/>
          <w:szCs w:val="21"/>
        </w:rPr>
        <w:t>LPR</w:t>
      </w:r>
      <w:r>
        <w:rPr>
          <w:rFonts w:asciiTheme="minorEastAsia" w:eastAsiaTheme="minorEastAsia" w:hAnsiTheme="minorEastAsia"/>
          <w:color w:val="000000" w:themeColor="text1"/>
          <w:szCs w:val="21"/>
        </w:rPr>
        <w:t>顺势下调</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年期和</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年期分别下调</w:t>
      </w:r>
      <w:r>
        <w:rPr>
          <w:rFonts w:asciiTheme="minorEastAsia" w:eastAsiaTheme="minorEastAsia" w:hAnsiTheme="minorEastAsia"/>
          <w:color w:val="000000" w:themeColor="text1"/>
          <w:szCs w:val="21"/>
        </w:rPr>
        <w:t>5bp</w:t>
      </w:r>
      <w:r>
        <w:rPr>
          <w:rFonts w:asciiTheme="minorEastAsia" w:eastAsiaTheme="minorEastAsia" w:hAnsiTheme="minorEastAsia"/>
          <w:color w:val="000000" w:themeColor="text1"/>
          <w:szCs w:val="21"/>
        </w:rPr>
        <w:t>和</w:t>
      </w:r>
      <w:r>
        <w:rPr>
          <w:rFonts w:asciiTheme="minorEastAsia" w:eastAsiaTheme="minorEastAsia" w:hAnsiTheme="minorEastAsia"/>
          <w:color w:val="000000" w:themeColor="text1"/>
          <w:szCs w:val="21"/>
        </w:rPr>
        <w:t>15bp</w:t>
      </w:r>
      <w:r>
        <w:rPr>
          <w:rFonts w:asciiTheme="minorEastAsia" w:eastAsiaTheme="minorEastAsia" w:hAnsiTheme="minorEastAsia"/>
          <w:color w:val="000000" w:themeColor="text1"/>
          <w:szCs w:val="21"/>
        </w:rPr>
        <w:t>，以此提振融资需求，稳住经济大盘。受此影响，</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年期银行存单收益率震荡下行，最低降至</w:t>
      </w:r>
      <w:r>
        <w:rPr>
          <w:rFonts w:asciiTheme="minorEastAsia" w:eastAsiaTheme="minorEastAsia" w:hAnsiTheme="minorEastAsia"/>
          <w:color w:val="000000" w:themeColor="text1"/>
          <w:szCs w:val="21"/>
        </w:rPr>
        <w:t>1.87%</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年期国开债收益率在</w:t>
      </w:r>
      <w:r>
        <w:rPr>
          <w:rFonts w:asciiTheme="minorEastAsia" w:eastAsiaTheme="minorEastAsia" w:hAnsiTheme="minorEastAsia"/>
          <w:color w:val="000000" w:themeColor="text1"/>
          <w:szCs w:val="21"/>
        </w:rPr>
        <w:t>2.07%</w:t>
      </w:r>
      <w:r>
        <w:rPr>
          <w:rFonts w:asciiTheme="minorEastAsia" w:eastAsiaTheme="minorEastAsia" w:hAnsiTheme="minorEastAsia"/>
          <w:color w:val="000000" w:themeColor="text1"/>
          <w:szCs w:val="21"/>
        </w:rPr>
        <w:t>至</w:t>
      </w:r>
      <w:r>
        <w:rPr>
          <w:rFonts w:asciiTheme="minorEastAsia" w:eastAsiaTheme="minorEastAsia" w:hAnsiTheme="minorEastAsia"/>
          <w:color w:val="000000" w:themeColor="text1"/>
          <w:szCs w:val="21"/>
        </w:rPr>
        <w:t>1.69%</w:t>
      </w:r>
      <w:r>
        <w:rPr>
          <w:rFonts w:asciiTheme="minorEastAsia" w:eastAsiaTheme="minorEastAsia" w:hAnsiTheme="minorEastAsia"/>
          <w:color w:val="000000" w:themeColor="text1"/>
          <w:szCs w:val="21"/>
        </w:rPr>
        <w:t>之间震荡。</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本基金在三季度继续以流动性和安全性为首要目标，在市场收益率震荡下行过程中维持一定久期，同时在季末关键时点做好流动性前瞻性管理，密切关注客户现金流动向，提高流动性较好资产配置比例，在特殊时期预备充足流动性满足客户的赎回要求，同时力求平衡基金收益率和安全性，把控组合整体风险。</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四季度，中国经济发展面临的内外部环境仍然复杂严峻。海外的高通胀或将影响中国出口，国内疫情仍持续存在，尽管经济将保持复苏态势但基础并不稳固。预计未来货币政策仍将保持宽松态势，维持实体经济融资成本低位运行。本基金在未来仍会谨记货币基金现金管理工具的原则，时刻关注国内外市场各种动向，坚决防范各类信用风险，灵活调整资产配置，遵守各项监管要求，同时，始终把基金安全性、流动性以及投资人利益放在首位，力争为投资人提供稳健的长期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本报告期上投摩根天添宝货币</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份额净值增长率为</w:t>
      </w:r>
      <w:r>
        <w:rPr>
          <w:rFonts w:asciiTheme="minorEastAsia" w:eastAsiaTheme="minorEastAsia" w:hAnsiTheme="minorEastAsia"/>
          <w:color w:val="000000" w:themeColor="text1"/>
          <w:szCs w:val="21"/>
        </w:rPr>
        <w:t>:0.3554%</w:t>
      </w:r>
      <w:r>
        <w:rPr>
          <w:rFonts w:asciiTheme="minorEastAsia" w:eastAsiaTheme="minorEastAsia" w:hAnsiTheme="minorEastAsia"/>
          <w:color w:val="000000" w:themeColor="text1"/>
          <w:szCs w:val="21"/>
        </w:rPr>
        <w:t>，同期业绩比较基准收益率为</w:t>
      </w:r>
      <w:r>
        <w:rPr>
          <w:rFonts w:asciiTheme="minorEastAsia" w:eastAsiaTheme="minorEastAsia" w:hAnsiTheme="minorEastAsia"/>
          <w:color w:val="000000" w:themeColor="text1"/>
          <w:szCs w:val="21"/>
        </w:rPr>
        <w:t>:0.3403</w:t>
      </w:r>
      <w:r>
        <w:rPr>
          <w:rFonts w:asciiTheme="minorEastAsia" w:eastAsiaTheme="minorEastAsia" w:hAnsiTheme="minorEastAsia"/>
          <w:color w:val="000000" w:themeColor="text1"/>
          <w:szCs w:val="21"/>
        </w:rPr>
        <w:t>%,</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上投摩根天添宝货币B份额净值增长率为:0.4161%，同期业绩比较基准收益率为:0.3403%。</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181,759,590.25</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58.91</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181,759,590.25</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58.91</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69,087,846.87</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22.39</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57,698,814.61</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18.70</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4,015.15</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0.00</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308,550,266.88</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0.54</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42</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56</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35</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w:t>
            </w:r>
            <w:r w:rsidRPr="003025FA">
              <w:rPr>
                <w:rFonts w:asciiTheme="minorEastAsia" w:eastAsiaTheme="minorEastAsia" w:hAnsiTheme="minorEastAsia" w:cs="Arial" w:hint="eastAsia"/>
                <w:color w:val="000000" w:themeColor="text1"/>
                <w:kern w:val="0"/>
                <w:sz w:val="24"/>
              </w:rPr>
              <w:lastRenderedPageBreak/>
              <w:t>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w:t>
            </w:r>
            <w:r w:rsidRPr="003025FA">
              <w:rPr>
                <w:rFonts w:asciiTheme="minorEastAsia" w:eastAsiaTheme="minorEastAsia" w:hAnsiTheme="minorEastAsia" w:cs="Arial" w:hint="eastAsia"/>
                <w:color w:val="000000" w:themeColor="text1"/>
                <w:kern w:val="0"/>
                <w:sz w:val="24"/>
              </w:rPr>
              <w:lastRenderedPageBreak/>
              <w:t>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各期限负债占基金资产净值</w:t>
            </w:r>
            <w:r w:rsidRPr="003025FA">
              <w:rPr>
                <w:rFonts w:asciiTheme="minorEastAsia" w:eastAsiaTheme="minorEastAsia" w:hAnsiTheme="minorEastAsia" w:cs="Arial" w:hint="eastAsia"/>
                <w:color w:val="000000" w:themeColor="text1"/>
                <w:kern w:val="0"/>
                <w:sz w:val="24"/>
              </w:rPr>
              <w:lastRenderedPageBreak/>
              <w:t>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lastRenderedPageBreak/>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45.23</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0.35</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34.19</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9.74</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3.25</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7.17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99.58</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0.35</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19,977,111.96</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6.50</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41,362,370.26</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13.46</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41,362,370.26</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13.46</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60,538,983.09</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19.70</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59,881,124.94</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19.49</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181,759,590.25</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59.16</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249"/>
        <w:gridCol w:w="1478"/>
        <w:gridCol w:w="1890"/>
        <w:gridCol w:w="1511"/>
        <w:gridCol w:w="1776"/>
        <w:gridCol w:w="1383"/>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1</w:t>
            </w:r>
          </w:p>
        </w:tc>
        <w:tc>
          <w:tcPr>
            <w:tcW w:w="0" w:type="auto"/>
            <w:vAlign w:val="center"/>
          </w:tcPr>
          <w:p w:rsidR="00DE7591" w:rsidRDefault="00125FB7">
            <w:pPr>
              <w:jc w:val="center"/>
            </w:pPr>
            <w:r>
              <w:rPr>
                <w:rFonts w:asciiTheme="minorEastAsia" w:eastAsiaTheme="minorEastAsia" w:hAnsiTheme="minorEastAsia"/>
                <w:color w:val="000000" w:themeColor="text1"/>
                <w:sz w:val="24"/>
              </w:rPr>
              <w:t>170212</w:t>
            </w:r>
          </w:p>
        </w:tc>
        <w:tc>
          <w:tcPr>
            <w:tcW w:w="0" w:type="auto"/>
            <w:vAlign w:val="center"/>
          </w:tcPr>
          <w:p w:rsidR="00DE7591" w:rsidRDefault="00125FB7">
            <w:pPr>
              <w:jc w:val="center"/>
            </w:pPr>
            <w:r>
              <w:rPr>
                <w:rFonts w:asciiTheme="minorEastAsia" w:eastAsiaTheme="minorEastAsia" w:hAnsiTheme="minorEastAsia"/>
                <w:color w:val="000000" w:themeColor="text1"/>
                <w:sz w:val="24"/>
              </w:rPr>
              <w:t>17</w:t>
            </w:r>
            <w:r>
              <w:rPr>
                <w:rFonts w:asciiTheme="minorEastAsia" w:eastAsiaTheme="minorEastAsia" w:hAnsiTheme="minorEastAsia"/>
                <w:color w:val="000000" w:themeColor="text1"/>
                <w:sz w:val="24"/>
              </w:rPr>
              <w:t>国开</w:t>
            </w:r>
            <w:r>
              <w:rPr>
                <w:rFonts w:asciiTheme="minorEastAsia" w:eastAsiaTheme="minorEastAsia" w:hAnsiTheme="minorEastAsia"/>
                <w:color w:val="000000" w:themeColor="text1"/>
                <w:sz w:val="24"/>
              </w:rPr>
              <w:t>12</w:t>
            </w:r>
          </w:p>
        </w:tc>
        <w:tc>
          <w:tcPr>
            <w:tcW w:w="0" w:type="auto"/>
            <w:vAlign w:val="center"/>
          </w:tcPr>
          <w:p w:rsidR="00DE7591" w:rsidRDefault="00125FB7">
            <w:pPr>
              <w:jc w:val="right"/>
            </w:pPr>
            <w:r>
              <w:rPr>
                <w:rFonts w:asciiTheme="minorEastAsia" w:eastAsiaTheme="minorEastAsia" w:hAnsiTheme="minorEastAsia"/>
                <w:color w:val="000000" w:themeColor="text1"/>
                <w:sz w:val="24"/>
              </w:rPr>
              <w:t>200,000.00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20,846,714.43</w:t>
            </w:r>
          </w:p>
        </w:tc>
        <w:tc>
          <w:tcPr>
            <w:tcW w:w="0" w:type="auto"/>
            <w:vAlign w:val="center"/>
          </w:tcPr>
          <w:p w:rsidR="00DE7591" w:rsidRDefault="00125FB7">
            <w:pPr>
              <w:jc w:val="right"/>
            </w:pPr>
            <w:r>
              <w:rPr>
                <w:rFonts w:asciiTheme="minorEastAsia" w:eastAsiaTheme="minorEastAsia" w:hAnsiTheme="minorEastAsia"/>
                <w:color w:val="000000" w:themeColor="text1"/>
                <w:sz w:val="24"/>
              </w:rPr>
              <w:t>6.79</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2</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229938</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贴现国债</w:t>
            </w:r>
            <w:r>
              <w:rPr>
                <w:rFonts w:asciiTheme="minorEastAsia" w:eastAsiaTheme="minorEastAsia" w:hAnsiTheme="minorEastAsia"/>
                <w:color w:val="000000" w:themeColor="text1"/>
                <w:sz w:val="24"/>
              </w:rPr>
              <w:t>38</w:t>
            </w:r>
          </w:p>
        </w:tc>
        <w:tc>
          <w:tcPr>
            <w:tcW w:w="0" w:type="auto"/>
            <w:vAlign w:val="center"/>
          </w:tcPr>
          <w:p w:rsidR="00DE7591" w:rsidRDefault="00125FB7">
            <w:pPr>
              <w:jc w:val="right"/>
            </w:pPr>
            <w:r>
              <w:rPr>
                <w:rFonts w:asciiTheme="minorEastAsia" w:eastAsiaTheme="minorEastAsia" w:hAnsiTheme="minorEastAsia"/>
                <w:color w:val="000000" w:themeColor="text1"/>
                <w:sz w:val="24"/>
              </w:rPr>
              <w:t>200,000.00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19,977,111.96</w:t>
            </w:r>
          </w:p>
        </w:tc>
        <w:tc>
          <w:tcPr>
            <w:tcW w:w="0" w:type="auto"/>
            <w:vAlign w:val="center"/>
          </w:tcPr>
          <w:p w:rsidR="00DE7591" w:rsidRDefault="00125FB7">
            <w:pPr>
              <w:jc w:val="right"/>
            </w:pPr>
            <w:r>
              <w:rPr>
                <w:rFonts w:asciiTheme="minorEastAsia" w:eastAsiaTheme="minorEastAsia" w:hAnsiTheme="minorEastAsia"/>
                <w:color w:val="000000" w:themeColor="text1"/>
                <w:sz w:val="24"/>
              </w:rPr>
              <w:t>6.50</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3</w:t>
            </w:r>
          </w:p>
        </w:tc>
        <w:tc>
          <w:tcPr>
            <w:tcW w:w="0" w:type="auto"/>
            <w:vAlign w:val="center"/>
          </w:tcPr>
          <w:p w:rsidR="00DE7591" w:rsidRDefault="00125FB7">
            <w:pPr>
              <w:jc w:val="center"/>
            </w:pPr>
            <w:r>
              <w:rPr>
                <w:rFonts w:asciiTheme="minorEastAsia" w:eastAsiaTheme="minorEastAsia" w:hAnsiTheme="minorEastAsia"/>
                <w:color w:val="000000" w:themeColor="text1"/>
                <w:sz w:val="24"/>
              </w:rPr>
              <w:t>190308</w:t>
            </w:r>
          </w:p>
        </w:tc>
        <w:tc>
          <w:tcPr>
            <w:tcW w:w="0" w:type="auto"/>
            <w:vAlign w:val="center"/>
          </w:tcPr>
          <w:p w:rsidR="00DE7591" w:rsidRDefault="00125FB7">
            <w:pPr>
              <w:jc w:val="center"/>
            </w:pPr>
            <w:r>
              <w:rPr>
                <w:rFonts w:asciiTheme="minorEastAsia" w:eastAsiaTheme="minorEastAsia" w:hAnsiTheme="minorEastAsia"/>
                <w:color w:val="000000" w:themeColor="text1"/>
                <w:sz w:val="24"/>
              </w:rPr>
              <w:t>19</w:t>
            </w:r>
            <w:r>
              <w:rPr>
                <w:rFonts w:asciiTheme="minorEastAsia" w:eastAsiaTheme="minorEastAsia" w:hAnsiTheme="minorEastAsia"/>
                <w:color w:val="000000" w:themeColor="text1"/>
                <w:sz w:val="24"/>
              </w:rPr>
              <w:t>进出</w:t>
            </w:r>
            <w:r>
              <w:rPr>
                <w:rFonts w:asciiTheme="minorEastAsia" w:eastAsiaTheme="minorEastAsia" w:hAnsiTheme="minorEastAsia"/>
                <w:color w:val="000000" w:themeColor="text1"/>
                <w:sz w:val="24"/>
              </w:rPr>
              <w:t>08</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10,306,541.25</w:t>
            </w:r>
          </w:p>
        </w:tc>
        <w:tc>
          <w:tcPr>
            <w:tcW w:w="0" w:type="auto"/>
            <w:vAlign w:val="center"/>
          </w:tcPr>
          <w:p w:rsidR="00DE7591" w:rsidRDefault="00125FB7">
            <w:pPr>
              <w:jc w:val="right"/>
            </w:pPr>
            <w:r>
              <w:rPr>
                <w:rFonts w:asciiTheme="minorEastAsia" w:eastAsiaTheme="minorEastAsia" w:hAnsiTheme="minorEastAsia"/>
                <w:color w:val="000000" w:themeColor="text1"/>
                <w:sz w:val="24"/>
              </w:rPr>
              <w:t>3.35</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4</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210411</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21</w:t>
            </w:r>
            <w:r>
              <w:rPr>
                <w:rFonts w:asciiTheme="minorEastAsia" w:eastAsiaTheme="minorEastAsia" w:hAnsiTheme="minorEastAsia"/>
                <w:color w:val="000000" w:themeColor="text1"/>
                <w:sz w:val="24"/>
              </w:rPr>
              <w:t>农发</w:t>
            </w:r>
            <w:r>
              <w:rPr>
                <w:rFonts w:asciiTheme="minorEastAsia" w:eastAsiaTheme="minorEastAsia" w:hAnsiTheme="minorEastAsia"/>
                <w:color w:val="000000" w:themeColor="text1"/>
                <w:sz w:val="24"/>
              </w:rPr>
              <w:t>11</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10,209,114.58</w:t>
            </w:r>
          </w:p>
        </w:tc>
        <w:tc>
          <w:tcPr>
            <w:tcW w:w="0" w:type="auto"/>
            <w:vAlign w:val="center"/>
          </w:tcPr>
          <w:p w:rsidR="00DE7591" w:rsidRDefault="00125FB7">
            <w:pPr>
              <w:jc w:val="right"/>
            </w:pPr>
            <w:r>
              <w:rPr>
                <w:rFonts w:asciiTheme="minorEastAsia" w:eastAsiaTheme="minorEastAsia" w:hAnsiTheme="minorEastAsia"/>
                <w:color w:val="000000" w:themeColor="text1"/>
                <w:sz w:val="24"/>
              </w:rPr>
              <w:t>3.32</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5</w:t>
            </w:r>
          </w:p>
        </w:tc>
        <w:tc>
          <w:tcPr>
            <w:tcW w:w="0" w:type="auto"/>
            <w:vAlign w:val="center"/>
          </w:tcPr>
          <w:p w:rsidR="00DE7591" w:rsidRDefault="00125FB7">
            <w:pPr>
              <w:jc w:val="center"/>
            </w:pPr>
            <w:r>
              <w:rPr>
                <w:rFonts w:asciiTheme="minorEastAsia" w:eastAsiaTheme="minorEastAsia" w:hAnsiTheme="minorEastAsia"/>
                <w:color w:val="000000" w:themeColor="text1"/>
                <w:sz w:val="24"/>
              </w:rPr>
              <w:t>012280976</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津城建</w:t>
            </w:r>
            <w:r>
              <w:rPr>
                <w:rFonts w:asciiTheme="minorEastAsia" w:eastAsiaTheme="minorEastAsia" w:hAnsiTheme="minorEastAsia"/>
                <w:color w:val="000000" w:themeColor="text1"/>
                <w:sz w:val="24"/>
              </w:rPr>
              <w:t>SCP022</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10,194,312.58</w:t>
            </w:r>
          </w:p>
        </w:tc>
        <w:tc>
          <w:tcPr>
            <w:tcW w:w="0" w:type="auto"/>
            <w:vAlign w:val="center"/>
          </w:tcPr>
          <w:p w:rsidR="00DE7591" w:rsidRDefault="00125FB7">
            <w:pPr>
              <w:jc w:val="right"/>
            </w:pPr>
            <w:r>
              <w:rPr>
                <w:rFonts w:asciiTheme="minorEastAsia" w:eastAsiaTheme="minorEastAsia" w:hAnsiTheme="minorEastAsia"/>
                <w:color w:val="000000" w:themeColor="text1"/>
                <w:sz w:val="24"/>
              </w:rPr>
              <w:t>3.32</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6</w:t>
            </w:r>
          </w:p>
        </w:tc>
        <w:tc>
          <w:tcPr>
            <w:tcW w:w="0" w:type="auto"/>
            <w:vAlign w:val="center"/>
          </w:tcPr>
          <w:p w:rsidR="00DE7591" w:rsidRDefault="00125FB7">
            <w:pPr>
              <w:jc w:val="center"/>
            </w:pPr>
            <w:r>
              <w:rPr>
                <w:rFonts w:asciiTheme="minorEastAsia" w:eastAsiaTheme="minorEastAsia" w:hAnsiTheme="minorEastAsia"/>
                <w:color w:val="000000" w:themeColor="text1"/>
                <w:sz w:val="24"/>
              </w:rPr>
              <w:t>042280089</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国电</w:t>
            </w:r>
            <w:r>
              <w:rPr>
                <w:rFonts w:asciiTheme="minorEastAsia" w:eastAsiaTheme="minorEastAsia" w:hAnsiTheme="minorEastAsia"/>
                <w:color w:val="000000" w:themeColor="text1"/>
                <w:sz w:val="24"/>
              </w:rPr>
              <w:t>CP001</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10,124,874.48</w:t>
            </w:r>
          </w:p>
        </w:tc>
        <w:tc>
          <w:tcPr>
            <w:tcW w:w="0" w:type="auto"/>
            <w:vAlign w:val="center"/>
          </w:tcPr>
          <w:p w:rsidR="00DE7591" w:rsidRDefault="00125FB7">
            <w:pPr>
              <w:jc w:val="right"/>
            </w:pPr>
            <w:r>
              <w:rPr>
                <w:rFonts w:asciiTheme="minorEastAsia" w:eastAsiaTheme="minorEastAsia" w:hAnsiTheme="minorEastAsia"/>
                <w:color w:val="000000" w:themeColor="text1"/>
                <w:sz w:val="24"/>
              </w:rPr>
              <w:t>3.30</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7</w:t>
            </w:r>
          </w:p>
        </w:tc>
        <w:tc>
          <w:tcPr>
            <w:tcW w:w="0" w:type="auto"/>
            <w:vAlign w:val="center"/>
          </w:tcPr>
          <w:p w:rsidR="00DE7591" w:rsidRDefault="00125FB7">
            <w:pPr>
              <w:jc w:val="center"/>
            </w:pPr>
            <w:r>
              <w:rPr>
                <w:rFonts w:asciiTheme="minorEastAsia" w:eastAsiaTheme="minorEastAsia" w:hAnsiTheme="minorEastAsia"/>
                <w:color w:val="000000" w:themeColor="text1"/>
                <w:sz w:val="24"/>
              </w:rPr>
              <w:t>012281416</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首钢</w:t>
            </w:r>
            <w:r>
              <w:rPr>
                <w:rFonts w:asciiTheme="minorEastAsia" w:eastAsiaTheme="minorEastAsia" w:hAnsiTheme="minorEastAsia"/>
                <w:color w:val="000000" w:themeColor="text1"/>
                <w:sz w:val="24"/>
              </w:rPr>
              <w:t>SCP002</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10,100,968.06</w:t>
            </w:r>
          </w:p>
        </w:tc>
        <w:tc>
          <w:tcPr>
            <w:tcW w:w="0" w:type="auto"/>
            <w:vAlign w:val="center"/>
          </w:tcPr>
          <w:p w:rsidR="00DE7591" w:rsidRDefault="00125FB7">
            <w:pPr>
              <w:jc w:val="right"/>
            </w:pPr>
            <w:r>
              <w:rPr>
                <w:rFonts w:asciiTheme="minorEastAsia" w:eastAsiaTheme="minorEastAsia" w:hAnsiTheme="minorEastAsia"/>
                <w:color w:val="000000" w:themeColor="text1"/>
                <w:sz w:val="24"/>
              </w:rPr>
              <w:t>3.29</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8</w:t>
            </w:r>
          </w:p>
        </w:tc>
        <w:tc>
          <w:tcPr>
            <w:tcW w:w="0" w:type="auto"/>
            <w:vAlign w:val="center"/>
          </w:tcPr>
          <w:p w:rsidR="00DE7591" w:rsidRDefault="00125FB7">
            <w:pPr>
              <w:jc w:val="center"/>
            </w:pPr>
            <w:r>
              <w:rPr>
                <w:rFonts w:asciiTheme="minorEastAsia" w:eastAsiaTheme="minorEastAsia" w:hAnsiTheme="minorEastAsia"/>
                <w:color w:val="000000" w:themeColor="text1"/>
                <w:sz w:val="24"/>
              </w:rPr>
              <w:t>012281840</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国药控股</w:t>
            </w:r>
            <w:r>
              <w:rPr>
                <w:rFonts w:asciiTheme="minorEastAsia" w:eastAsiaTheme="minorEastAsia" w:hAnsiTheme="minorEastAsia"/>
                <w:color w:val="000000" w:themeColor="text1"/>
                <w:sz w:val="24"/>
              </w:rPr>
              <w:t>SCP002</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10,066,538.32</w:t>
            </w:r>
          </w:p>
        </w:tc>
        <w:tc>
          <w:tcPr>
            <w:tcW w:w="0" w:type="auto"/>
            <w:vAlign w:val="center"/>
          </w:tcPr>
          <w:p w:rsidR="00DE7591" w:rsidRDefault="00125FB7">
            <w:pPr>
              <w:jc w:val="right"/>
            </w:pPr>
            <w:r>
              <w:rPr>
                <w:rFonts w:asciiTheme="minorEastAsia" w:eastAsiaTheme="minorEastAsia" w:hAnsiTheme="minorEastAsia"/>
                <w:color w:val="000000" w:themeColor="text1"/>
                <w:sz w:val="24"/>
              </w:rPr>
              <w:t>3.28</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9</w:t>
            </w:r>
          </w:p>
        </w:tc>
        <w:tc>
          <w:tcPr>
            <w:tcW w:w="0" w:type="auto"/>
            <w:vAlign w:val="center"/>
          </w:tcPr>
          <w:p w:rsidR="00DE7591" w:rsidRDefault="00125FB7">
            <w:pPr>
              <w:jc w:val="center"/>
            </w:pPr>
            <w:r>
              <w:rPr>
                <w:rFonts w:asciiTheme="minorEastAsia" w:eastAsiaTheme="minorEastAsia" w:hAnsiTheme="minorEastAsia"/>
                <w:color w:val="000000" w:themeColor="text1"/>
                <w:sz w:val="24"/>
              </w:rPr>
              <w:t>012282405</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厦翔业</w:t>
            </w:r>
            <w:r>
              <w:rPr>
                <w:rFonts w:asciiTheme="minorEastAsia" w:eastAsiaTheme="minorEastAsia" w:hAnsiTheme="minorEastAsia"/>
                <w:color w:val="000000" w:themeColor="text1"/>
                <w:sz w:val="24"/>
              </w:rPr>
              <w:t>SCP010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10,030,054.25</w:t>
            </w:r>
          </w:p>
        </w:tc>
        <w:tc>
          <w:tcPr>
            <w:tcW w:w="0" w:type="auto"/>
            <w:vAlign w:val="center"/>
          </w:tcPr>
          <w:p w:rsidR="00DE7591" w:rsidRDefault="00125FB7">
            <w:pPr>
              <w:jc w:val="right"/>
            </w:pPr>
            <w:r>
              <w:rPr>
                <w:rFonts w:asciiTheme="minorEastAsia" w:eastAsiaTheme="minorEastAsia" w:hAnsiTheme="minorEastAsia"/>
                <w:color w:val="000000" w:themeColor="text1"/>
                <w:sz w:val="24"/>
              </w:rPr>
              <w:t>3.26</w:t>
            </w:r>
          </w:p>
        </w:tc>
      </w:tr>
      <w:tr w:rsidR="00DE7591">
        <w:tc>
          <w:tcPr>
            <w:tcW w:w="0" w:type="auto"/>
            <w:vAlign w:val="center"/>
          </w:tcPr>
          <w:p w:rsidR="00DE7591" w:rsidRDefault="00125FB7">
            <w:pPr>
              <w:jc w:val="center"/>
            </w:pPr>
            <w:r>
              <w:rPr>
                <w:rFonts w:asciiTheme="minorEastAsia" w:eastAsiaTheme="minorEastAsia" w:hAnsiTheme="minorEastAsia"/>
                <w:color w:val="000000" w:themeColor="text1"/>
                <w:sz w:val="24"/>
              </w:rPr>
              <w:t>10</w:t>
            </w:r>
          </w:p>
        </w:tc>
        <w:tc>
          <w:tcPr>
            <w:tcW w:w="0" w:type="auto"/>
            <w:vAlign w:val="center"/>
          </w:tcPr>
          <w:p w:rsidR="00DE7591" w:rsidRDefault="00125FB7">
            <w:pPr>
              <w:jc w:val="center"/>
            </w:pPr>
            <w:r>
              <w:rPr>
                <w:rFonts w:asciiTheme="minorEastAsia" w:eastAsiaTheme="minorEastAsia" w:hAnsiTheme="minorEastAsia"/>
                <w:color w:val="000000" w:themeColor="text1"/>
                <w:sz w:val="24"/>
              </w:rPr>
              <w:t>012282692</w:t>
            </w:r>
          </w:p>
        </w:tc>
        <w:tc>
          <w:tcPr>
            <w:tcW w:w="0" w:type="auto"/>
            <w:vAlign w:val="center"/>
          </w:tcPr>
          <w:p w:rsidR="00DE7591" w:rsidRDefault="00125FB7">
            <w:pPr>
              <w:jc w:val="center"/>
            </w:pP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苏交通</w:t>
            </w:r>
            <w:r>
              <w:rPr>
                <w:rFonts w:asciiTheme="minorEastAsia" w:eastAsiaTheme="minorEastAsia" w:hAnsiTheme="minorEastAsia"/>
                <w:color w:val="000000" w:themeColor="text1"/>
                <w:sz w:val="24"/>
              </w:rPr>
              <w:t>SCP016</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100,000.00</w:t>
            </w:r>
          </w:p>
        </w:tc>
        <w:tc>
          <w:tcPr>
            <w:tcW w:w="0" w:type="auto"/>
            <w:vAlign w:val="center"/>
          </w:tcPr>
          <w:p w:rsidR="00DE7591" w:rsidRDefault="00125FB7">
            <w:pPr>
              <w:jc w:val="right"/>
            </w:pPr>
            <w:r>
              <w:rPr>
                <w:rFonts w:asciiTheme="minorEastAsia" w:eastAsiaTheme="minorEastAsia" w:hAnsiTheme="minorEastAsia"/>
                <w:color w:val="000000" w:themeColor="text1"/>
                <w:sz w:val="24"/>
              </w:rPr>
              <w:t>10,022,235.40</w:t>
            </w:r>
          </w:p>
        </w:tc>
        <w:tc>
          <w:tcPr>
            <w:tcW w:w="0" w:type="auto"/>
            <w:vAlign w:val="center"/>
          </w:tcPr>
          <w:p w:rsidR="00DE7591" w:rsidRDefault="00125FB7">
            <w:pPr>
              <w:jc w:val="right"/>
            </w:pPr>
            <w:r>
              <w:rPr>
                <w:rFonts w:asciiTheme="minorEastAsia" w:eastAsiaTheme="minorEastAsia" w:hAnsiTheme="minorEastAsia"/>
                <w:color w:val="000000" w:themeColor="text1"/>
                <w:sz w:val="24"/>
              </w:rPr>
              <w:t>3.26</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0.0560%</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0.0274%</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0.0424%</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5.9.2报告期内本基金投资的前十名证券的发行主体本期没有出现被监管部门立案调查，或在报告编制日前一年内受到公开谴责、处罚的情形。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4,015.15</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lastRenderedPageBreak/>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4,015.15</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因四舍五入原因，投资组合报告中分项之和与合计可能存在尾差。</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上投摩根天添宝货币A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28,313,047.34</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390,597,621.64</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54,318,381.26</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193,669,867.44</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53,696,264.20</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305,974,026.96</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28,935,164.40</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278,293,462.12</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AF3D19"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影响投资者决策的其他重要信息</w:t>
      </w:r>
    </w:p>
    <w:p w:rsidR="002855EF" w:rsidRPr="002855EF" w:rsidRDefault="002855EF" w:rsidP="002855EF">
      <w:pPr>
        <w:autoSpaceDE w:val="0"/>
        <w:autoSpaceDN w:val="0"/>
        <w:adjustRightInd w:val="0"/>
        <w:spacing w:line="360" w:lineRule="auto"/>
        <w:jc w:val="left"/>
        <w:rPr>
          <w:rFonts w:ascii="宋体" w:hAnsi="宋体"/>
          <w:b/>
          <w:bCs/>
          <w:color w:val="000000"/>
          <w:kern w:val="0"/>
          <w:sz w:val="24"/>
        </w:rPr>
      </w:pPr>
      <w:r w:rsidRPr="002855EF">
        <w:rPr>
          <w:rFonts w:ascii="宋体" w:hAnsi="宋体"/>
          <w:b/>
          <w:bCs/>
          <w:color w:val="000000"/>
          <w:kern w:val="0"/>
          <w:sz w:val="24"/>
        </w:rPr>
        <w:t>8.</w:t>
      </w:r>
      <w:r w:rsidRPr="002855EF">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855EF" w:rsidRPr="00090DA4" w:rsidTr="0038354C">
        <w:tc>
          <w:tcPr>
            <w:tcW w:w="993" w:type="dxa"/>
            <w:vMerge w:val="restart"/>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投资者类别</w:t>
            </w:r>
            <w:r w:rsidRPr="00090DA4">
              <w:rPr>
                <w:rFonts w:ascii="宋体" w:hAnsi="宋体"/>
                <w:color w:val="000000"/>
                <w:kern w:val="0"/>
                <w:szCs w:val="21"/>
              </w:rPr>
              <w:t xml:space="preserve">  </w:t>
            </w:r>
          </w:p>
        </w:tc>
        <w:tc>
          <w:tcPr>
            <w:tcW w:w="5670" w:type="dxa"/>
            <w:gridSpan w:val="5"/>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报告期内持有基金份额变化情况</w:t>
            </w:r>
          </w:p>
        </w:tc>
        <w:tc>
          <w:tcPr>
            <w:tcW w:w="2549" w:type="dxa"/>
            <w:gridSpan w:val="2"/>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报告期末持有基金情况</w:t>
            </w:r>
          </w:p>
        </w:tc>
      </w:tr>
      <w:tr w:rsidR="002855EF" w:rsidRPr="00090DA4" w:rsidTr="0038354C">
        <w:tc>
          <w:tcPr>
            <w:tcW w:w="993" w:type="dxa"/>
            <w:vMerge/>
            <w:vAlign w:val="center"/>
          </w:tcPr>
          <w:p w:rsidR="002855EF" w:rsidRPr="00090DA4" w:rsidRDefault="002855EF" w:rsidP="0038354C">
            <w:pPr>
              <w:autoSpaceDE w:val="0"/>
              <w:autoSpaceDN w:val="0"/>
              <w:adjustRightInd w:val="0"/>
              <w:jc w:val="center"/>
              <w:rPr>
                <w:rFonts w:ascii="宋体" w:hAnsi="宋体"/>
                <w:b/>
                <w:bCs/>
                <w:color w:val="000000"/>
                <w:kern w:val="0"/>
                <w:szCs w:val="21"/>
              </w:rPr>
            </w:pPr>
          </w:p>
        </w:tc>
        <w:tc>
          <w:tcPr>
            <w:tcW w:w="992"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序号</w:t>
            </w:r>
          </w:p>
        </w:tc>
        <w:tc>
          <w:tcPr>
            <w:tcW w:w="1843"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持有基金份额比例达到或者超过20%的时间区间</w:t>
            </w:r>
          </w:p>
        </w:tc>
        <w:tc>
          <w:tcPr>
            <w:tcW w:w="851" w:type="dxa"/>
            <w:vAlign w:val="center"/>
          </w:tcPr>
          <w:p w:rsidR="002855EF" w:rsidRPr="00090DA4" w:rsidRDefault="002855EF" w:rsidP="0038354C">
            <w:pPr>
              <w:widowControl/>
              <w:jc w:val="center"/>
              <w:rPr>
                <w:rFonts w:ascii="宋体" w:hAnsi="宋体"/>
                <w:b/>
                <w:bCs/>
                <w:color w:val="000000"/>
                <w:kern w:val="0"/>
                <w:szCs w:val="21"/>
              </w:rPr>
            </w:pPr>
            <w:r w:rsidRPr="00090DA4">
              <w:rPr>
                <w:rFonts w:ascii="宋体" w:hAnsi="宋体" w:hint="eastAsia"/>
                <w:color w:val="000000"/>
                <w:kern w:val="0"/>
                <w:szCs w:val="21"/>
              </w:rPr>
              <w:t>期初份额</w:t>
            </w:r>
          </w:p>
        </w:tc>
        <w:tc>
          <w:tcPr>
            <w:tcW w:w="850" w:type="dxa"/>
            <w:vAlign w:val="center"/>
          </w:tcPr>
          <w:p w:rsidR="002855EF" w:rsidRPr="00090DA4" w:rsidRDefault="002855EF" w:rsidP="0038354C">
            <w:pPr>
              <w:widowControl/>
              <w:jc w:val="center"/>
              <w:rPr>
                <w:rFonts w:ascii="宋体" w:hAnsi="宋体"/>
                <w:b/>
                <w:bCs/>
                <w:color w:val="000000"/>
                <w:kern w:val="0"/>
                <w:szCs w:val="21"/>
              </w:rPr>
            </w:pPr>
            <w:r w:rsidRPr="00090DA4">
              <w:rPr>
                <w:rFonts w:ascii="宋体" w:hAnsi="宋体" w:hint="eastAsia"/>
                <w:color w:val="000000"/>
                <w:kern w:val="0"/>
                <w:szCs w:val="21"/>
              </w:rPr>
              <w:t>申购份额</w:t>
            </w:r>
          </w:p>
        </w:tc>
        <w:tc>
          <w:tcPr>
            <w:tcW w:w="1134" w:type="dxa"/>
            <w:vAlign w:val="center"/>
          </w:tcPr>
          <w:p w:rsidR="002855EF" w:rsidRPr="00090DA4" w:rsidRDefault="002855EF" w:rsidP="0038354C">
            <w:pPr>
              <w:widowControl/>
              <w:jc w:val="center"/>
              <w:rPr>
                <w:rFonts w:ascii="宋体" w:hAnsi="宋体"/>
                <w:b/>
                <w:bCs/>
                <w:color w:val="000000"/>
                <w:kern w:val="0"/>
                <w:szCs w:val="21"/>
              </w:rPr>
            </w:pPr>
            <w:r w:rsidRPr="00090DA4">
              <w:rPr>
                <w:rFonts w:ascii="宋体" w:hAnsi="宋体" w:hint="eastAsia"/>
                <w:color w:val="000000"/>
                <w:kern w:val="0"/>
                <w:szCs w:val="21"/>
              </w:rPr>
              <w:t>赎回份额</w:t>
            </w:r>
          </w:p>
        </w:tc>
        <w:tc>
          <w:tcPr>
            <w:tcW w:w="1419"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持有份额</w:t>
            </w:r>
          </w:p>
        </w:tc>
        <w:tc>
          <w:tcPr>
            <w:tcW w:w="1130"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份额占比</w:t>
            </w:r>
          </w:p>
        </w:tc>
      </w:tr>
      <w:tr w:rsidR="00DE7591">
        <w:tc>
          <w:tcPr>
            <w:tcW w:w="993" w:type="dxa"/>
            <w:vMerge w:val="restart"/>
            <w:vAlign w:val="center"/>
          </w:tcPr>
          <w:p w:rsidR="00DE7591" w:rsidRDefault="00125FB7">
            <w:r>
              <w:rPr>
                <w:rFonts w:ascii="宋体" w:hAnsi="宋体" w:hint="eastAsia"/>
                <w:bCs/>
                <w:color w:val="000000"/>
                <w:kern w:val="0"/>
                <w:szCs w:val="21"/>
              </w:rPr>
              <w:t>机构</w:t>
            </w:r>
          </w:p>
        </w:tc>
        <w:tc>
          <w:tcPr>
            <w:tcW w:w="992" w:type="dxa"/>
            <w:vAlign w:val="center"/>
          </w:tcPr>
          <w:p w:rsidR="00DE7591" w:rsidRDefault="00125FB7">
            <w:pPr>
              <w:jc w:val="center"/>
            </w:pPr>
            <w:r>
              <w:rPr>
                <w:rFonts w:ascii="宋体" w:hAnsi="宋体"/>
                <w:color w:val="000000"/>
                <w:kern w:val="0"/>
                <w:szCs w:val="21"/>
              </w:rPr>
              <w:t>1</w:t>
            </w:r>
          </w:p>
        </w:tc>
        <w:tc>
          <w:tcPr>
            <w:tcW w:w="1843" w:type="dxa"/>
            <w:vAlign w:val="center"/>
          </w:tcPr>
          <w:p w:rsidR="00DE7591" w:rsidRDefault="00125FB7">
            <w:pPr>
              <w:jc w:val="center"/>
            </w:pPr>
            <w:r>
              <w:rPr>
                <w:rFonts w:ascii="宋体" w:hAnsi="宋体"/>
                <w:color w:val="000000"/>
                <w:kern w:val="0"/>
                <w:szCs w:val="21"/>
              </w:rPr>
              <w:t>20220826-20220930</w:t>
            </w:r>
          </w:p>
        </w:tc>
        <w:tc>
          <w:tcPr>
            <w:tcW w:w="851" w:type="dxa"/>
            <w:vAlign w:val="center"/>
          </w:tcPr>
          <w:p w:rsidR="00DE7591" w:rsidRDefault="00125FB7">
            <w:pPr>
              <w:jc w:val="center"/>
            </w:pPr>
            <w:r>
              <w:rPr>
                <w:rFonts w:ascii="宋体" w:hAnsi="宋体"/>
                <w:color w:val="000000"/>
                <w:kern w:val="0"/>
                <w:szCs w:val="21"/>
              </w:rPr>
              <w:t>72,857,664.89</w:t>
            </w:r>
          </w:p>
        </w:tc>
        <w:tc>
          <w:tcPr>
            <w:tcW w:w="850" w:type="dxa"/>
            <w:vAlign w:val="center"/>
          </w:tcPr>
          <w:p w:rsidR="00DE7591" w:rsidRDefault="00125FB7">
            <w:pPr>
              <w:jc w:val="center"/>
            </w:pPr>
            <w:r>
              <w:rPr>
                <w:rFonts w:ascii="宋体" w:hAnsi="宋体"/>
                <w:color w:val="000000"/>
                <w:kern w:val="0"/>
                <w:szCs w:val="21"/>
              </w:rPr>
              <w:t>299,578.95</w:t>
            </w:r>
          </w:p>
        </w:tc>
        <w:tc>
          <w:tcPr>
            <w:tcW w:w="1134" w:type="dxa"/>
            <w:vAlign w:val="center"/>
          </w:tcPr>
          <w:p w:rsidR="00DE7591" w:rsidRDefault="00125FB7">
            <w:pPr>
              <w:jc w:val="center"/>
            </w:pPr>
            <w:r>
              <w:rPr>
                <w:rFonts w:ascii="宋体" w:hAnsi="宋体"/>
                <w:color w:val="000000"/>
                <w:kern w:val="0"/>
                <w:szCs w:val="21"/>
              </w:rPr>
              <w:t>0.00</w:t>
            </w:r>
          </w:p>
        </w:tc>
        <w:tc>
          <w:tcPr>
            <w:tcW w:w="1419" w:type="dxa"/>
            <w:vAlign w:val="center"/>
          </w:tcPr>
          <w:p w:rsidR="00DE7591" w:rsidRDefault="00125FB7">
            <w:pPr>
              <w:jc w:val="center"/>
            </w:pPr>
            <w:r>
              <w:rPr>
                <w:rFonts w:ascii="宋体" w:hAnsi="宋体"/>
                <w:color w:val="000000"/>
                <w:kern w:val="0"/>
                <w:szCs w:val="21"/>
              </w:rPr>
              <w:t>73,157,243.84</w:t>
            </w:r>
          </w:p>
        </w:tc>
        <w:tc>
          <w:tcPr>
            <w:tcW w:w="1130" w:type="dxa"/>
            <w:vAlign w:val="center"/>
          </w:tcPr>
          <w:p w:rsidR="00DE7591" w:rsidRDefault="00125FB7">
            <w:pPr>
              <w:jc w:val="center"/>
            </w:pPr>
            <w:r>
              <w:rPr>
                <w:rFonts w:ascii="宋体" w:hAnsi="宋体"/>
                <w:color w:val="000000"/>
                <w:kern w:val="0"/>
                <w:szCs w:val="21"/>
              </w:rPr>
              <w:t>23.81%</w:t>
            </w:r>
          </w:p>
        </w:tc>
      </w:tr>
      <w:tr w:rsidR="002855EF" w:rsidRPr="00090DA4" w:rsidTr="0038354C">
        <w:tc>
          <w:tcPr>
            <w:tcW w:w="9212" w:type="dxa"/>
            <w:gridSpan w:val="8"/>
            <w:vAlign w:val="center"/>
          </w:tcPr>
          <w:p w:rsidR="002855EF" w:rsidRPr="00090DA4" w:rsidRDefault="002855EF" w:rsidP="0038354C">
            <w:pPr>
              <w:autoSpaceDE w:val="0"/>
              <w:autoSpaceDN w:val="0"/>
              <w:adjustRightInd w:val="0"/>
              <w:jc w:val="center"/>
              <w:rPr>
                <w:rFonts w:ascii="宋体" w:hAnsi="宋体"/>
                <w:kern w:val="0"/>
                <w:szCs w:val="21"/>
              </w:rPr>
            </w:pPr>
            <w:r w:rsidRPr="00090DA4">
              <w:rPr>
                <w:rFonts w:ascii="宋体" w:hAnsi="宋体"/>
                <w:color w:val="000000"/>
                <w:kern w:val="0"/>
                <w:szCs w:val="21"/>
              </w:rPr>
              <w:t>产品特有风险</w:t>
            </w:r>
          </w:p>
        </w:tc>
      </w:tr>
      <w:tr w:rsidR="002855EF" w:rsidRPr="00090DA4" w:rsidTr="0038354C">
        <w:tc>
          <w:tcPr>
            <w:tcW w:w="9212" w:type="dxa"/>
            <w:gridSpan w:val="8"/>
            <w:vAlign w:val="center"/>
          </w:tcPr>
          <w:p w:rsidR="002855EF" w:rsidRPr="00090DA4" w:rsidRDefault="002855EF" w:rsidP="0038354C">
            <w:pPr>
              <w:autoSpaceDE w:val="0"/>
              <w:autoSpaceDN w:val="0"/>
              <w:adjustRightInd w:val="0"/>
              <w:jc w:val="left"/>
              <w:rPr>
                <w:rFonts w:ascii="宋体" w:hAnsi="宋体"/>
                <w:kern w:val="0"/>
                <w:szCs w:val="21"/>
              </w:rPr>
            </w:pPr>
            <w:r w:rsidRPr="00090DA4">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2855EF" w:rsidRPr="002855EF" w:rsidRDefault="002855EF" w:rsidP="002855EF">
      <w:pPr>
        <w:autoSpaceDE w:val="0"/>
        <w:autoSpaceDN w:val="0"/>
        <w:adjustRightInd w:val="0"/>
        <w:spacing w:line="360" w:lineRule="auto"/>
        <w:jc w:val="left"/>
        <w:rPr>
          <w:rFonts w:ascii="宋体" w:hAnsi="宋体"/>
          <w:b/>
          <w:bCs/>
          <w:color w:val="000000"/>
          <w:kern w:val="0"/>
          <w:sz w:val="24"/>
        </w:rPr>
      </w:pPr>
      <w:r w:rsidRPr="002855EF">
        <w:rPr>
          <w:rFonts w:ascii="宋体" w:hAnsi="宋体" w:hint="eastAsia"/>
          <w:b/>
          <w:bCs/>
          <w:color w:val="000000"/>
          <w:kern w:val="0"/>
          <w:sz w:val="24"/>
        </w:rPr>
        <w:t>8.2 影响投资者决策的其他重要信息</w:t>
      </w:r>
    </w:p>
    <w:p w:rsidR="002855EF" w:rsidRPr="00090DA4" w:rsidRDefault="002855EF" w:rsidP="002855EF">
      <w:pPr>
        <w:spacing w:line="360" w:lineRule="auto"/>
        <w:ind w:firstLineChars="200" w:firstLine="420"/>
        <w:rPr>
          <w:rFonts w:ascii="宋体" w:hAnsi="宋体"/>
          <w:color w:val="000000"/>
          <w:szCs w:val="21"/>
        </w:rPr>
      </w:pPr>
      <w:r w:rsidRPr="00090DA4">
        <w:rPr>
          <w:rFonts w:ascii="宋体" w:hAnsi="宋体"/>
          <w:color w:val="000000"/>
          <w:szCs w:val="21"/>
        </w:rPr>
        <w:t>无。</w:t>
      </w: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00DA5831" w:rsidRPr="00221340">
        <w:rPr>
          <w:rFonts w:asciiTheme="minorEastAsia" w:eastAsiaTheme="minorEastAsia" w:hAnsiTheme="minorEastAsia" w:cs="Arial" w:hint="eastAsia"/>
          <w:color w:val="000000" w:themeColor="text1"/>
          <w:kern w:val="0"/>
          <w:sz w:val="24"/>
          <w:szCs w:val="24"/>
        </w:rPr>
        <w:t>9</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 </w:t>
      </w:r>
      <w:r>
        <w:rPr>
          <w:rFonts w:asciiTheme="minorEastAsia" w:eastAsiaTheme="minorEastAsia" w:hAnsiTheme="minorEastAsia" w:hint="eastAsia"/>
          <w:color w:val="000000" w:themeColor="text1"/>
          <w:szCs w:val="21"/>
        </w:rPr>
        <w:t>中国证监会批准上投摩根天添宝货币市场基金设立的文件；</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Pr>
          <w:rFonts w:asciiTheme="minorEastAsia" w:eastAsiaTheme="minorEastAsia" w:hAnsiTheme="minorEastAsia" w:hint="eastAsia"/>
          <w:color w:val="000000" w:themeColor="text1"/>
          <w:szCs w:val="21"/>
        </w:rPr>
        <w:t>《上投摩根天添宝货币市场基金基金合同》；</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r>
        <w:rPr>
          <w:rFonts w:asciiTheme="minorEastAsia" w:eastAsiaTheme="minorEastAsia" w:hAnsiTheme="minorEastAsia" w:hint="eastAsia"/>
          <w:color w:val="000000" w:themeColor="text1"/>
          <w:szCs w:val="21"/>
        </w:rPr>
        <w:t>《上投摩根天添宝货币市场基金基金托管协议》；</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4. </w:t>
      </w:r>
      <w:r>
        <w:rPr>
          <w:rFonts w:asciiTheme="minorEastAsia" w:eastAsiaTheme="minorEastAsia" w:hAnsiTheme="minorEastAsia" w:hint="eastAsia"/>
          <w:color w:val="000000" w:themeColor="text1"/>
          <w:szCs w:val="21"/>
        </w:rPr>
        <w:t>《上投摩根基金管理有限公司开放式基金业务规则》；</w:t>
      </w:r>
    </w:p>
    <w:p w:rsidR="00DE7591" w:rsidRDefault="00125FB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基金管理人业务资格批件、营业执照；</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   基金托管人业务资格批件、营业执照。</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上投摩根基金管理有限公司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二〇二二年十月二十六日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13" w:rsidRDefault="00C22313">
      <w:r>
        <w:separator/>
      </w:r>
    </w:p>
  </w:endnote>
  <w:endnote w:type="continuationSeparator" w:id="0">
    <w:p w:rsidR="00C22313" w:rsidRDefault="00C2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125FB7">
      <w:rPr>
        <w:noProof/>
        <w:kern w:val="0"/>
        <w:szCs w:val="21"/>
      </w:rPr>
      <w:t>2</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125FB7">
      <w:rPr>
        <w:noProof/>
        <w:kern w:val="0"/>
        <w:szCs w:val="21"/>
      </w:rPr>
      <w:t>15</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13" w:rsidRDefault="00C22313">
      <w:r>
        <w:separator/>
      </w:r>
    </w:p>
  </w:footnote>
  <w:footnote w:type="continuationSeparator" w:id="0">
    <w:p w:rsidR="00C22313" w:rsidRDefault="00C2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上投摩根天添宝货币市场基金</w:t>
    </w:r>
    <w:r w:rsidRPr="000C5A36">
      <w:t>2022</w:t>
    </w:r>
    <w:r w:rsidRPr="000C5A36">
      <w:t>年第</w:t>
    </w:r>
    <w:r w:rsidRPr="000C5A36">
      <w:t>3</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25FB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424F"/>
    <w:rsid w:val="002507FE"/>
    <w:rsid w:val="002525C7"/>
    <w:rsid w:val="002611C3"/>
    <w:rsid w:val="002622E8"/>
    <w:rsid w:val="00267283"/>
    <w:rsid w:val="00274FAC"/>
    <w:rsid w:val="002855EF"/>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E7591"/>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90A9C"/>
    <w:rsid w:val="00E92BEC"/>
    <w:rsid w:val="00E95356"/>
    <w:rsid w:val="00E966E5"/>
    <w:rsid w:val="00EA3D96"/>
    <w:rsid w:val="00EA6B69"/>
    <w:rsid w:val="00EA6B7B"/>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15</Pages>
  <Words>1319</Words>
  <Characters>7524</Characters>
  <Application>Microsoft Office Word</Application>
  <DocSecurity>0</DocSecurity>
  <Lines>62</Lines>
  <Paragraphs>17</Paragraphs>
  <ScaleCrop>false</ScaleCrop>
  <Company>jysld</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215</cp:revision>
  <cp:lastPrinted>2009-01-22T10:11:00Z</cp:lastPrinted>
  <dcterms:created xsi:type="dcterms:W3CDTF">2012-11-21T05:49:00Z</dcterms:created>
  <dcterms:modified xsi:type="dcterms:W3CDTF">2022-10-25T05:46:00Z</dcterms:modified>
</cp:coreProperties>
</file>