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上投摩根天添宝货币市场基金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2021年第3季度报告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2021年9月30日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二〇二一年十月二十七日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8A3D57" w:rsidRDefault="00DD4B31">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8A3D57" w:rsidRDefault="00DD4B31">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基金托管人中国建设银行股份有限公司根据本基金合同规定，于2021年10月26日复核了本报告中的财务指标、净值表现和投资组合报告等内容，保证复核内容不存在虚假记载、误导性陈述或者重大遗漏。 </w:t>
      </w:r>
    </w:p>
    <w:p w:rsidR="008A3D57" w:rsidRDefault="00DD4B31">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8A3D57" w:rsidRDefault="00DD4B31">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8A3D57" w:rsidRDefault="00DD4B31">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本报告期自2021年7月1日起至9月30日止。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上投摩根天添宝货币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000712</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2014年11月25日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641,744,053.32</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在有效控制投资风险和保持较高流动性的基础上，力争获得高于业绩比较基准的稳定回报。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8A3D57" w:rsidRDefault="00DD4B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w:t>
            </w:r>
            <w:r>
              <w:rPr>
                <w:rFonts w:asciiTheme="minorEastAsia" w:eastAsiaTheme="minorEastAsia" w:hAnsiTheme="minorEastAsia"/>
                <w:color w:val="000000" w:themeColor="text1"/>
                <w:kern w:val="0"/>
                <w:szCs w:val="21"/>
              </w:rPr>
              <w:lastRenderedPageBreak/>
              <w:t>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其他投资策略：包括息差策略、套利策略、现金流管理策略。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8A3D57" w:rsidRDefault="00DD4B31">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本基金为货币市场基金，是证券投资基金中的低风险品种。本基金的风险和预期收益低于股票型基金、混合型基金和债券型基金。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000712</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000713</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18,982,087.84</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622,761,965.48</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2021年7月1日-2021年9月30日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118,050.17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4,621,915.54</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118,050.17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4,621,915.54</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18,982,087.84</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622,761,965.48</w:t>
            </w:r>
          </w:p>
        </w:tc>
      </w:tr>
    </w:tbl>
    <w:p w:rsidR="008A3D57" w:rsidRDefault="00DD4B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上投摩根天添宝货币A: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过去三个月</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0.5034%</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0.3403%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0.1631%</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过去六个月</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1.0281%</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0.6768%</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0.3513%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过去一年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2.1753%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1.3500%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0.8253%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过去三年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6.3513%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0.0013%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4.0537%</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2.2976%</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0.0013%</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过去五年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13.5964%</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0.0023%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6.7537%</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6.8427%</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0.0023%</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18.3649%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0.0035%</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9.2540%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9.1109%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0.0035%</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上投摩根天添宝货币B：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过去三个月</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0.5645%</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0.3403%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0.2242%</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过去六个月</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1.1502%</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0.6768%</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0.4734%</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过去一年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2.4209%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1.3500%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1.0709%</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0.0009%</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过去三年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7.1210%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0.0013%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4.0537%</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3.0673%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0.0013%</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t>过去五年</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14.9683%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0.0023%</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6.7537%</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8.2146%</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0.0023%</w:t>
            </w:r>
          </w:p>
        </w:tc>
      </w:tr>
      <w:tr w:rsidR="008A3D57">
        <w:tc>
          <w:tcPr>
            <w:tcW w:w="1328" w:type="dxa"/>
            <w:vAlign w:val="center"/>
          </w:tcPr>
          <w:p w:rsidR="008A3D57" w:rsidRDefault="00DD4B31">
            <w:pPr>
              <w:jc w:val="left"/>
            </w:pPr>
            <w:r>
              <w:rPr>
                <w:rFonts w:asciiTheme="minorEastAsia" w:eastAsiaTheme="minorEastAsia" w:hAnsiTheme="minorEastAsia"/>
                <w:color w:val="000000" w:themeColor="text1"/>
                <w:szCs w:val="21"/>
              </w:rPr>
              <w:lastRenderedPageBreak/>
              <w:t>自基金合同生效起至今</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20.3300%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0.0035%</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9.2540%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0.0000%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11.0760%</w:t>
            </w:r>
          </w:p>
        </w:tc>
        <w:tc>
          <w:tcPr>
            <w:tcW w:w="1329" w:type="dxa"/>
            <w:vAlign w:val="center"/>
          </w:tcPr>
          <w:p w:rsidR="008A3D57" w:rsidRDefault="00DD4B31">
            <w:pPr>
              <w:jc w:val="center"/>
            </w:pPr>
            <w:r>
              <w:rPr>
                <w:rFonts w:asciiTheme="minorEastAsia" w:eastAsiaTheme="minorEastAsia" w:hAnsiTheme="minorEastAsia"/>
                <w:color w:val="000000" w:themeColor="text1"/>
                <w:szCs w:val="21"/>
              </w:rPr>
              <w:t>0.0035%</w:t>
            </w:r>
          </w:p>
        </w:tc>
      </w:tr>
    </w:tbl>
    <w:p w:rsidR="0064191E" w:rsidRPr="00221340" w:rsidRDefault="0064191E"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注：本基金收益分配按日结转份额。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上投摩根天添宝货币市场基金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2014年11月25日</w:t>
      </w:r>
      <w:r w:rsidRPr="00221340">
        <w:rPr>
          <w:rFonts w:asciiTheme="minorEastAsia" w:eastAsiaTheme="minorEastAsia" w:hAnsiTheme="minorEastAsia" w:hint="eastAsia"/>
          <w:color w:val="000000" w:themeColor="text1"/>
          <w:kern w:val="0"/>
          <w:szCs w:val="21"/>
        </w:rPr>
        <w:t>至2021年9月30日)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A3D57" w:rsidRDefault="00DD4B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注：本基金合同生效日为2014年11月25日，图示的时间段为合同生效日至本报告期末。</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本基金建仓期为本基金合同生效日起 6 个月，建仓期结束时资产配置比例符合本基金基金合同规定。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8A3D57">
        <w:tc>
          <w:tcPr>
            <w:tcW w:w="952" w:type="dxa"/>
            <w:vAlign w:val="center"/>
          </w:tcPr>
          <w:p w:rsidR="008A3D57" w:rsidRDefault="00DD4B31">
            <w:pPr>
              <w:jc w:val="center"/>
            </w:pPr>
            <w:r>
              <w:rPr>
                <w:rFonts w:asciiTheme="minorEastAsia" w:eastAsiaTheme="minorEastAsia" w:hAnsiTheme="minorEastAsia"/>
                <w:color w:val="000000" w:themeColor="text1"/>
                <w:szCs w:val="21"/>
              </w:rPr>
              <w:t>孟晨波</w:t>
            </w:r>
          </w:p>
        </w:tc>
        <w:tc>
          <w:tcPr>
            <w:tcW w:w="1600" w:type="dxa"/>
            <w:vAlign w:val="center"/>
          </w:tcPr>
          <w:p w:rsidR="008A3D57" w:rsidRDefault="00DD4B31">
            <w:pPr>
              <w:jc w:val="center"/>
            </w:pPr>
            <w:r>
              <w:rPr>
                <w:rFonts w:asciiTheme="minorEastAsia" w:eastAsiaTheme="minorEastAsia" w:hAnsiTheme="minorEastAsia"/>
                <w:color w:val="000000" w:themeColor="text1"/>
                <w:szCs w:val="21"/>
              </w:rPr>
              <w:t>本基金基金经理、总经理助理、货币市场投资部总监</w:t>
            </w:r>
          </w:p>
        </w:tc>
        <w:tc>
          <w:tcPr>
            <w:tcW w:w="1488" w:type="dxa"/>
            <w:vAlign w:val="center"/>
          </w:tcPr>
          <w:p w:rsidR="008A3D57" w:rsidRDefault="00DD4B31">
            <w:pPr>
              <w:jc w:val="center"/>
            </w:pPr>
            <w:r>
              <w:rPr>
                <w:rFonts w:asciiTheme="minorEastAsia" w:eastAsiaTheme="minorEastAsia" w:hAnsiTheme="minorEastAsia"/>
                <w:color w:val="000000" w:themeColor="text1"/>
                <w:szCs w:val="21"/>
              </w:rPr>
              <w:t>2014-11-25</w:t>
            </w:r>
          </w:p>
        </w:tc>
        <w:tc>
          <w:tcPr>
            <w:tcW w:w="1489" w:type="dxa"/>
            <w:vAlign w:val="center"/>
          </w:tcPr>
          <w:p w:rsidR="008A3D57" w:rsidRDefault="00DD4B31">
            <w:pPr>
              <w:jc w:val="center"/>
            </w:pPr>
            <w:r>
              <w:rPr>
                <w:rFonts w:asciiTheme="minorEastAsia" w:eastAsiaTheme="minorEastAsia" w:hAnsiTheme="minorEastAsia"/>
                <w:color w:val="000000" w:themeColor="text1"/>
                <w:szCs w:val="21"/>
              </w:rPr>
              <w:t>-</w:t>
            </w:r>
          </w:p>
        </w:tc>
        <w:tc>
          <w:tcPr>
            <w:tcW w:w="992" w:type="dxa"/>
            <w:vAlign w:val="center"/>
          </w:tcPr>
          <w:p w:rsidR="008A3D57" w:rsidRDefault="00DD4B31">
            <w:pPr>
              <w:jc w:val="center"/>
            </w:pPr>
            <w:r>
              <w:rPr>
                <w:rFonts w:asciiTheme="minorEastAsia" w:eastAsiaTheme="minorEastAsia" w:hAnsiTheme="minorEastAsia"/>
                <w:color w:val="000000" w:themeColor="text1"/>
                <w:szCs w:val="21"/>
              </w:rPr>
              <w:t>16年（金融领域从业经验26年）</w:t>
            </w:r>
          </w:p>
        </w:tc>
        <w:tc>
          <w:tcPr>
            <w:tcW w:w="2410" w:type="dxa"/>
            <w:vAlign w:val="center"/>
          </w:tcPr>
          <w:p w:rsidR="008A3D57" w:rsidRDefault="00DD4B31">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w:t>
            </w:r>
            <w:r>
              <w:rPr>
                <w:rFonts w:asciiTheme="minorEastAsia" w:eastAsiaTheme="minorEastAsia" w:hAnsiTheme="minorEastAsia"/>
                <w:color w:val="000000" w:themeColor="text1"/>
                <w:szCs w:val="21"/>
              </w:rPr>
              <w:lastRenderedPageBreak/>
              <w:t>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r w:rsidR="008A3D57">
        <w:tc>
          <w:tcPr>
            <w:tcW w:w="952" w:type="dxa"/>
            <w:vAlign w:val="center"/>
          </w:tcPr>
          <w:p w:rsidR="008A3D57" w:rsidRDefault="00DD4B31">
            <w:pPr>
              <w:jc w:val="center"/>
            </w:pPr>
            <w:r>
              <w:rPr>
                <w:rFonts w:asciiTheme="minorEastAsia" w:eastAsiaTheme="minorEastAsia" w:hAnsiTheme="minorEastAsia"/>
                <w:color w:val="000000" w:themeColor="text1"/>
                <w:szCs w:val="21"/>
              </w:rPr>
              <w:lastRenderedPageBreak/>
              <w:t>鞠婷</w:t>
            </w:r>
          </w:p>
        </w:tc>
        <w:tc>
          <w:tcPr>
            <w:tcW w:w="1600" w:type="dxa"/>
            <w:vAlign w:val="center"/>
          </w:tcPr>
          <w:p w:rsidR="008A3D57" w:rsidRDefault="00DD4B31">
            <w:pPr>
              <w:jc w:val="center"/>
            </w:pPr>
            <w:r>
              <w:rPr>
                <w:rFonts w:asciiTheme="minorEastAsia" w:eastAsiaTheme="minorEastAsia" w:hAnsiTheme="minorEastAsia"/>
                <w:color w:val="000000" w:themeColor="text1"/>
                <w:szCs w:val="21"/>
              </w:rPr>
              <w:t>本基金基金经理</w:t>
            </w:r>
          </w:p>
        </w:tc>
        <w:tc>
          <w:tcPr>
            <w:tcW w:w="1488" w:type="dxa"/>
            <w:vAlign w:val="center"/>
          </w:tcPr>
          <w:p w:rsidR="008A3D57" w:rsidRDefault="00DD4B31">
            <w:pPr>
              <w:jc w:val="center"/>
            </w:pPr>
            <w:r>
              <w:rPr>
                <w:rFonts w:asciiTheme="minorEastAsia" w:eastAsiaTheme="minorEastAsia" w:hAnsiTheme="minorEastAsia"/>
                <w:color w:val="000000" w:themeColor="text1"/>
                <w:szCs w:val="21"/>
              </w:rPr>
              <w:t>2016-05-27</w:t>
            </w:r>
          </w:p>
        </w:tc>
        <w:tc>
          <w:tcPr>
            <w:tcW w:w="1489" w:type="dxa"/>
            <w:vAlign w:val="center"/>
          </w:tcPr>
          <w:p w:rsidR="008A3D57" w:rsidRDefault="00DD4B31">
            <w:pPr>
              <w:jc w:val="center"/>
            </w:pPr>
            <w:r>
              <w:rPr>
                <w:rFonts w:asciiTheme="minorEastAsia" w:eastAsiaTheme="minorEastAsia" w:hAnsiTheme="minorEastAsia"/>
                <w:color w:val="000000" w:themeColor="text1"/>
                <w:szCs w:val="21"/>
              </w:rPr>
              <w:t>-</w:t>
            </w:r>
          </w:p>
        </w:tc>
        <w:tc>
          <w:tcPr>
            <w:tcW w:w="992" w:type="dxa"/>
            <w:vAlign w:val="center"/>
          </w:tcPr>
          <w:p w:rsidR="008A3D57" w:rsidRDefault="00DD4B31">
            <w:pPr>
              <w:jc w:val="center"/>
            </w:pPr>
            <w:r>
              <w:rPr>
                <w:rFonts w:asciiTheme="minorEastAsia" w:eastAsiaTheme="minorEastAsia" w:hAnsiTheme="minorEastAsia"/>
                <w:color w:val="000000" w:themeColor="text1"/>
                <w:szCs w:val="21"/>
              </w:rPr>
              <w:t>16年</w:t>
            </w:r>
          </w:p>
        </w:tc>
        <w:tc>
          <w:tcPr>
            <w:tcW w:w="2410" w:type="dxa"/>
            <w:vAlign w:val="center"/>
          </w:tcPr>
          <w:p w:rsidR="008A3D57" w:rsidRDefault="00DD4B31">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bl>
    <w:p w:rsidR="008A3D57" w:rsidRDefault="00DD4B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注：1.任职日期和离任日期均指根据公司决定确定的聘任日期和解聘日期。</w:t>
      </w:r>
    </w:p>
    <w:p w:rsidR="008A3D57" w:rsidRDefault="00DD4B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2.孟晨波女士为本基金首任基金经理，其任职日期指本基金基金合同生效之日。 </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3.证券从业的含义遵从行业协会《证券业从业人员资格管理办法》的相关规定。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天添宝货币市场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回顾三季度受疫情与汛情叠加影响，经济数据不及预期，经济增长动能有所趋缓。固定资产投资继续回落，1-8月固定资产投资两年平均增长4%，比1-7月回落0.3个百分点；8月规模以上工业增加值两年平均增长5.4%，比上个月回落0.2个百分点；制造业投资的表现好于基建和地产，同比增长15.7%，比上个月下降1.6个百分点；消费下滑幅度明显，社会消费品零售总额同比增长1.5%，较上月的8.5%大幅下降，两年平均增速也由上月的3.6%降至1.5%；8月CPI同比0.8%，PPI同比9.5%。</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三季度货币政策继续保持灵活精准、合理适度。7月的前瞻性降准，更多的是为了呵护实体、降低社会综合融资成本，预防下半年国内经济可能出现的下行压力，央行货币政策仍以稳为主。受此影响，1年期银行存单在2.87%至2.64%之间窄幅震荡下行，1年期国开债收益率先下后上在2.19%-2.51%之间波动。</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本基金在三季度继续以流动性和安全性为首要目标，注重结构化配置，同时抓住市场机会增配合理资产，注重各期限之间搭配，维持一定久期，力求平衡基金收益率和流动性。此外每逢关键时点主动了解客户现金流动向，做好流动性前瞻性管理，控制申赎金额，严控客户集中度，把握组合整体风险。</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未来，在目前形势下，国内经济恢复仍然不稳固、不均衡，预计货币政策四季度将向稳增长方向适度发力。未来央行或会使用绿色再贷款等结构性政策工具，亦不排除有可能再实施降准，助力宽信用稳经济。本基金在四季度仍会谨记货币基金现金管理工具的原则，同时加强国内外经济形势“边际变化”的研判，防范各类信用风险，灵活调整资产配置。遵守各项监管要求，同时严格控制客户集中度，以组合流动性和安全性为先，力争为投资者提供安全稳健的长期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本报告期上投摩根天添宝货币A份额净值增长率为:0.5034%，同期业绩比较基准收益率为:0.3403%,</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上投摩根天添宝货币B份额净值增长率为:0.5645%，同期业绩比较基准收益率为:0.3403%。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389,166,323.68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60.56</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389,166,323.68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60.56</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174,722,304.99</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27.19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76,584,003.70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11.92</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2,131,621.13</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0.33</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642,604,253.50</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0.14</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53</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59</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40</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w:t>
            </w:r>
            <w:r w:rsidRPr="003025FA">
              <w:rPr>
                <w:rFonts w:asciiTheme="minorEastAsia" w:eastAsiaTheme="minorEastAsia" w:hAnsiTheme="minorEastAsia" w:cs="Arial" w:hint="eastAsia"/>
                <w:color w:val="000000" w:themeColor="text1"/>
                <w:kern w:val="0"/>
                <w:sz w:val="24"/>
              </w:rPr>
              <w:lastRenderedPageBreak/>
              <w:t>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w:t>
            </w:r>
            <w:r w:rsidRPr="003025FA">
              <w:rPr>
                <w:rFonts w:asciiTheme="minorEastAsia" w:eastAsiaTheme="minorEastAsia" w:hAnsiTheme="minorEastAsia" w:cs="Arial" w:hint="eastAsia"/>
                <w:color w:val="000000" w:themeColor="text1"/>
                <w:kern w:val="0"/>
                <w:sz w:val="24"/>
              </w:rPr>
              <w:lastRenderedPageBreak/>
              <w:t>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各期限负债占基金资产净值</w:t>
            </w:r>
            <w:r w:rsidRPr="003025FA">
              <w:rPr>
                <w:rFonts w:asciiTheme="minorEastAsia" w:eastAsiaTheme="minorEastAsia" w:hAnsiTheme="minorEastAsia" w:cs="Arial" w:hint="eastAsia"/>
                <w:color w:val="000000" w:themeColor="text1"/>
                <w:kern w:val="0"/>
                <w:sz w:val="24"/>
              </w:rPr>
              <w:lastRenderedPageBreak/>
              <w:t>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lastRenderedPageBreak/>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54.73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0.07</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12.45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9.31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9.33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13.98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99.80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0.07</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60,168,874.58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9.38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60,168,874.58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9.38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80,065,343.78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12.48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248,932,105.32</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38.79</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389,166,323.68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60.64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94"/>
        <w:gridCol w:w="1442"/>
        <w:gridCol w:w="2186"/>
        <w:gridCol w:w="1492"/>
        <w:gridCol w:w="1776"/>
        <w:gridCol w:w="1297"/>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1</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112110029</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21兴业银行CD029</w:t>
            </w:r>
          </w:p>
        </w:tc>
        <w:tc>
          <w:tcPr>
            <w:tcW w:w="0" w:type="auto"/>
            <w:vAlign w:val="center"/>
          </w:tcPr>
          <w:p w:rsidR="008A3D57" w:rsidRDefault="00DD4B31">
            <w:pPr>
              <w:jc w:val="right"/>
            </w:pPr>
            <w:r>
              <w:rPr>
                <w:rFonts w:asciiTheme="minorEastAsia" w:eastAsiaTheme="minorEastAsia" w:hAnsiTheme="minorEastAsia"/>
                <w:color w:val="000000" w:themeColor="text1"/>
                <w:sz w:val="24"/>
              </w:rPr>
              <w:t>400,000.00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39,954,818.54</w:t>
            </w:r>
          </w:p>
        </w:tc>
        <w:tc>
          <w:tcPr>
            <w:tcW w:w="0" w:type="auto"/>
            <w:vAlign w:val="center"/>
          </w:tcPr>
          <w:p w:rsidR="008A3D57" w:rsidRDefault="00DD4B31">
            <w:pPr>
              <w:jc w:val="right"/>
            </w:pPr>
            <w:r>
              <w:rPr>
                <w:rFonts w:asciiTheme="minorEastAsia" w:eastAsiaTheme="minorEastAsia" w:hAnsiTheme="minorEastAsia"/>
                <w:color w:val="000000" w:themeColor="text1"/>
                <w:sz w:val="24"/>
              </w:rPr>
              <w:t>6.23</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2</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170206</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17国开06</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20,163,289.98</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3.14</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3</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190202</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19国开02</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20,040,170.13</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3.12</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4</w:t>
            </w:r>
          </w:p>
        </w:tc>
        <w:tc>
          <w:tcPr>
            <w:tcW w:w="0" w:type="auto"/>
            <w:vAlign w:val="center"/>
          </w:tcPr>
          <w:p w:rsidR="008A3D57" w:rsidRDefault="00DD4B31">
            <w:pPr>
              <w:jc w:val="center"/>
            </w:pPr>
            <w:r>
              <w:rPr>
                <w:rFonts w:asciiTheme="minorEastAsia" w:eastAsiaTheme="minorEastAsia" w:hAnsiTheme="minorEastAsia"/>
                <w:color w:val="000000" w:themeColor="text1"/>
                <w:sz w:val="24"/>
              </w:rPr>
              <w:t>012102590</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21津城建SCP032</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20,000,225.63</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3.12</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5</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112184097</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21富邦华一银行CD052</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19,990,399.67</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3.12</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6</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112184901</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21星展银行CD006</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19,979,582.48</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3.11</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7</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112121287</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21渤海银行CD287</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19,955,471.58</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3.11</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8</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112004101</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20中国银行CD101</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19,928,946.98</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3.11</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9</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112188170</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21广州农村商业银行CD100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19,921,487.33</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3.10</w:t>
            </w:r>
          </w:p>
        </w:tc>
      </w:tr>
      <w:tr w:rsidR="008A3D57">
        <w:tc>
          <w:tcPr>
            <w:tcW w:w="0" w:type="auto"/>
            <w:vAlign w:val="center"/>
          </w:tcPr>
          <w:p w:rsidR="008A3D57" w:rsidRDefault="00DD4B31">
            <w:pPr>
              <w:jc w:val="center"/>
            </w:pPr>
            <w:r>
              <w:rPr>
                <w:rFonts w:asciiTheme="minorEastAsia" w:eastAsiaTheme="minorEastAsia" w:hAnsiTheme="minorEastAsia"/>
                <w:color w:val="000000" w:themeColor="text1"/>
                <w:sz w:val="24"/>
              </w:rPr>
              <w:t>10</w:t>
            </w:r>
          </w:p>
        </w:tc>
        <w:tc>
          <w:tcPr>
            <w:tcW w:w="0" w:type="auto"/>
            <w:vAlign w:val="center"/>
          </w:tcPr>
          <w:p w:rsidR="008A3D57" w:rsidRDefault="00DD4B31">
            <w:pPr>
              <w:jc w:val="center"/>
            </w:pPr>
            <w:r>
              <w:rPr>
                <w:rFonts w:asciiTheme="minorEastAsia" w:eastAsiaTheme="minorEastAsia" w:hAnsiTheme="minorEastAsia"/>
                <w:color w:val="000000" w:themeColor="text1"/>
                <w:sz w:val="24"/>
              </w:rPr>
              <w:t>112188959</w:t>
            </w:r>
          </w:p>
        </w:tc>
        <w:tc>
          <w:tcPr>
            <w:tcW w:w="0" w:type="auto"/>
            <w:vAlign w:val="center"/>
          </w:tcPr>
          <w:p w:rsidR="008A3D57" w:rsidRDefault="00DD4B31">
            <w:pPr>
              <w:jc w:val="center"/>
            </w:pPr>
            <w:r>
              <w:rPr>
                <w:rFonts w:asciiTheme="minorEastAsia" w:eastAsiaTheme="minorEastAsia" w:hAnsiTheme="minorEastAsia"/>
                <w:color w:val="000000" w:themeColor="text1"/>
                <w:sz w:val="24"/>
              </w:rPr>
              <w:t>21法国巴黎（中国）CD010</w:t>
            </w:r>
          </w:p>
        </w:tc>
        <w:tc>
          <w:tcPr>
            <w:tcW w:w="0" w:type="auto"/>
            <w:vAlign w:val="center"/>
          </w:tcPr>
          <w:p w:rsidR="008A3D57" w:rsidRDefault="00DD4B31">
            <w:pPr>
              <w:jc w:val="right"/>
            </w:pPr>
            <w:r>
              <w:rPr>
                <w:rFonts w:asciiTheme="minorEastAsia" w:eastAsiaTheme="minorEastAsia" w:hAnsiTheme="minorEastAsia"/>
                <w:color w:val="000000" w:themeColor="text1"/>
                <w:sz w:val="24"/>
              </w:rPr>
              <w:t>200,000.00</w:t>
            </w:r>
          </w:p>
        </w:tc>
        <w:tc>
          <w:tcPr>
            <w:tcW w:w="0" w:type="auto"/>
            <w:vAlign w:val="center"/>
          </w:tcPr>
          <w:p w:rsidR="008A3D57" w:rsidRDefault="00DD4B31">
            <w:pPr>
              <w:jc w:val="right"/>
            </w:pPr>
            <w:r>
              <w:rPr>
                <w:rFonts w:asciiTheme="minorEastAsia" w:eastAsiaTheme="minorEastAsia" w:hAnsiTheme="minorEastAsia"/>
                <w:color w:val="000000" w:themeColor="text1"/>
                <w:sz w:val="24"/>
              </w:rPr>
              <w:t>19,906,534.42</w:t>
            </w:r>
          </w:p>
        </w:tc>
        <w:tc>
          <w:tcPr>
            <w:tcW w:w="0" w:type="auto"/>
            <w:vAlign w:val="center"/>
          </w:tcPr>
          <w:p w:rsidR="008A3D57" w:rsidRDefault="00DD4B31">
            <w:pPr>
              <w:jc w:val="right"/>
            </w:pPr>
            <w:r>
              <w:rPr>
                <w:rFonts w:asciiTheme="minorEastAsia" w:eastAsiaTheme="minorEastAsia" w:hAnsiTheme="minorEastAsia"/>
                <w:color w:val="000000" w:themeColor="text1"/>
                <w:sz w:val="24"/>
              </w:rPr>
              <w:t>3.10</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0.0419%</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0.0081%</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DD4B31">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0.028</w:t>
            </w:r>
            <w:r w:rsidR="00DD4B31">
              <w:rPr>
                <w:rFonts w:asciiTheme="minorEastAsia" w:eastAsiaTheme="minorEastAsia" w:hAnsiTheme="minorEastAsia"/>
                <w:color w:val="000000" w:themeColor="text1"/>
                <w:sz w:val="24"/>
              </w:rPr>
              <w:t>4</w:t>
            </w:r>
            <w:r w:rsidRPr="003025FA">
              <w:rPr>
                <w:rFonts w:asciiTheme="minorEastAsia" w:eastAsiaTheme="minorEastAsia" w:hAnsiTheme="minorEastAsia"/>
                <w:color w:val="000000" w:themeColor="text1"/>
                <w:sz w:val="24"/>
              </w:rPr>
              <w:t>%</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5.9.2报告期内本基金投资的前十名证券的发行主体本期没有出现被监管部门立案调查，或在报告编制日前一年内受到公开谴责、处罚的情形。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2,129,542.13</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2,079.00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2,131,621.13</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因四舍五入原因，投资组合报告中市值占净值比例的分项之和与合计可能存在尾差。</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基金份额持有人如欲了解本基金投资组合的其他相关信息，可致电本基金管理人获取。</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30,177,627.62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724,445,862.87</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41,364,266.81</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507,369,861.99</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52,559,806.59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609,053,759.38</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18,982,087.84</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622,761,965.48</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AF3D19"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影响投资者决策的其他重要信息</w:t>
      </w:r>
    </w:p>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hint="eastAsia"/>
          <w:b/>
          <w:bCs/>
          <w:color w:val="000000"/>
          <w:kern w:val="0"/>
          <w:sz w:val="24"/>
        </w:rPr>
        <w:t>8.1 影响投资者决策的其他重要信息</w:t>
      </w:r>
    </w:p>
    <w:p w:rsidR="002855EF" w:rsidRPr="00090DA4" w:rsidRDefault="002855EF" w:rsidP="002855EF">
      <w:pPr>
        <w:spacing w:line="360" w:lineRule="auto"/>
        <w:ind w:firstLineChars="200" w:firstLine="420"/>
        <w:rPr>
          <w:rFonts w:ascii="宋体" w:hAnsi="宋体"/>
          <w:color w:val="000000"/>
          <w:szCs w:val="21"/>
        </w:rPr>
      </w:pPr>
      <w:r w:rsidRPr="00090DA4">
        <w:rPr>
          <w:rFonts w:ascii="宋体" w:hAnsi="宋体"/>
          <w:color w:val="000000"/>
          <w:szCs w:val="21"/>
        </w:rPr>
        <w:t>无。</w:t>
      </w: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9</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中国证监会批准上投摩根天添宝货币市场基金设立的文件；</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《上投摩根天添宝货币市场基金基金合同》；</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《上投摩根天添宝货币市场基金基金托管协议》；</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8A3D57" w:rsidRDefault="00DD4B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二〇二一年十月二十七日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6E4C72">
      <w:rPr>
        <w:noProof/>
        <w:kern w:val="0"/>
        <w:szCs w:val="21"/>
      </w:rPr>
      <w:t>2</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6E4C72">
      <w:rPr>
        <w:noProof/>
        <w:kern w:val="0"/>
        <w:szCs w:val="21"/>
      </w:rPr>
      <w:t>15</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上投摩根天添宝货币市场基金</w:t>
    </w:r>
    <w:r w:rsidRPr="000C5A36">
      <w:t>2021</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C7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A3D57"/>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4B31"/>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15</Pages>
  <Words>1296</Words>
  <Characters>7391</Characters>
  <Application>Microsoft Office Word</Application>
  <DocSecurity>0</DocSecurity>
  <Lines>61</Lines>
  <Paragraphs>17</Paragraphs>
  <ScaleCrop>false</ScaleCrop>
  <Company>jysld</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216</cp:revision>
  <cp:lastPrinted>2009-01-22T10:11:00Z</cp:lastPrinted>
  <dcterms:created xsi:type="dcterms:W3CDTF">2012-11-21T05:49:00Z</dcterms:created>
  <dcterms:modified xsi:type="dcterms:W3CDTF">2021-10-26T02:43:00Z</dcterms:modified>
</cp:coreProperties>
</file>