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C671B">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上投摩根优信增利债券型证券投资基金</w:t>
      </w:r>
    </w:p>
    <w:p w:rsidR="005E6DF3" w:rsidRDefault="005C671B">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2020</w:t>
      </w:r>
      <w:r>
        <w:rPr>
          <w:rFonts w:eastAsiaTheme="minorEastAsia"/>
          <w:b/>
          <w:color w:val="000000" w:themeColor="text1"/>
          <w:sz w:val="36"/>
          <w:szCs w:val="36"/>
        </w:rPr>
        <w:t>年第</w:t>
      </w:r>
      <w:r>
        <w:rPr>
          <w:rFonts w:eastAsiaTheme="minorEastAsia"/>
          <w:b/>
          <w:color w:val="000000" w:themeColor="text1"/>
          <w:sz w:val="36"/>
          <w:szCs w:val="36"/>
        </w:rPr>
        <w:t>3</w:t>
      </w:r>
      <w:r>
        <w:rPr>
          <w:rFonts w:eastAsiaTheme="minorEastAsia"/>
          <w:b/>
          <w:color w:val="000000" w:themeColor="text1"/>
          <w:sz w:val="36"/>
          <w:szCs w:val="36"/>
        </w:rPr>
        <w:t>季度报告</w:t>
      </w:r>
    </w:p>
    <w:p w:rsidR="005E6DF3" w:rsidRDefault="005C671B">
      <w:pPr>
        <w:spacing w:line="360" w:lineRule="auto"/>
        <w:jc w:val="center"/>
        <w:rPr>
          <w:rFonts w:eastAsiaTheme="minorEastAsia"/>
          <w:b/>
          <w:color w:val="000000" w:themeColor="text1"/>
          <w:szCs w:val="21"/>
        </w:rPr>
      </w:pPr>
      <w:r>
        <w:rPr>
          <w:rFonts w:eastAsiaTheme="minorEastAsia"/>
          <w:b/>
          <w:color w:val="000000" w:themeColor="text1"/>
          <w:sz w:val="36"/>
          <w:szCs w:val="36"/>
        </w:rPr>
        <w:t>2020</w:t>
      </w:r>
      <w:r>
        <w:rPr>
          <w:rFonts w:eastAsiaTheme="minorEastAsia"/>
          <w:b/>
          <w:color w:val="000000" w:themeColor="text1"/>
          <w:sz w:val="36"/>
          <w:szCs w:val="36"/>
        </w:rPr>
        <w:t>年</w:t>
      </w:r>
      <w:r>
        <w:rPr>
          <w:rFonts w:eastAsiaTheme="minorEastAsia"/>
          <w:b/>
          <w:color w:val="000000" w:themeColor="text1"/>
          <w:sz w:val="36"/>
          <w:szCs w:val="36"/>
        </w:rPr>
        <w:t>9</w:t>
      </w:r>
      <w:r>
        <w:rPr>
          <w:rFonts w:eastAsiaTheme="minorEastAsia"/>
          <w:b/>
          <w:color w:val="000000" w:themeColor="text1"/>
          <w:sz w:val="36"/>
          <w:szCs w:val="36"/>
        </w:rPr>
        <w:t>月</w:t>
      </w:r>
      <w:r>
        <w:rPr>
          <w:rFonts w:eastAsiaTheme="minorEastAsia"/>
          <w:b/>
          <w:color w:val="000000" w:themeColor="text1"/>
          <w:sz w:val="36"/>
          <w:szCs w:val="36"/>
        </w:rPr>
        <w:t>24</w:t>
      </w:r>
      <w:r>
        <w:rPr>
          <w:rFonts w:eastAsiaTheme="minorEastAsia"/>
          <w:b/>
          <w:color w:val="000000" w:themeColor="text1"/>
          <w:sz w:val="36"/>
          <w:szCs w:val="36"/>
        </w:rPr>
        <w:t>日</w:t>
      </w: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rPr>
          <w:rFonts w:eastAsiaTheme="minorEastAsia"/>
          <w:b/>
          <w:color w:val="000000" w:themeColor="text1"/>
          <w:szCs w:val="21"/>
        </w:rPr>
      </w:pPr>
    </w:p>
    <w:p w:rsidR="005E6DF3" w:rsidRDefault="005C671B">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5E6DF3" w:rsidRDefault="005C671B">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基金托管人：中国银行股份有限公司</w:t>
      </w:r>
    </w:p>
    <w:p w:rsidR="005E6DF3" w:rsidRDefault="005C671B">
      <w:pPr>
        <w:spacing w:line="360" w:lineRule="auto"/>
        <w:ind w:firstLineChars="900" w:firstLine="2168"/>
        <w:rPr>
          <w:rFonts w:eastAsiaTheme="minorEastAsia"/>
          <w:color w:val="000000" w:themeColor="text1"/>
          <w:szCs w:val="21"/>
        </w:rPr>
        <w:sectPr w:rsidR="005E6DF3">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报告送出日期：二〇二〇年十月二十八日</w:t>
      </w:r>
    </w:p>
    <w:p w:rsidR="005E6DF3" w:rsidRDefault="005C671B">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5B26BC" w:rsidRDefault="002368F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B26BC" w:rsidRDefault="002368F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B26BC" w:rsidRDefault="002368F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B26BC" w:rsidRDefault="002368F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B26BC" w:rsidRDefault="002368F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日止。</w:t>
      </w: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tc>
          <w:tcPr>
            <w:tcW w:w="2835"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上投摩根优信增利债券</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000616</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4,862,058.10</w:t>
            </w:r>
            <w:r>
              <w:rPr>
                <w:rFonts w:eastAsiaTheme="minorEastAsia"/>
                <w:color w:val="000000" w:themeColor="text1"/>
                <w:kern w:val="0"/>
                <w:szCs w:val="21"/>
              </w:rPr>
              <w:t>份</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本基金重点投资于信用债和可转债，在严格控制风险的前提下，力争实现基金资产的长期稳定增值。</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5B26BC" w:rsidRDefault="002368F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5B26BC" w:rsidRDefault="002368F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遵循自上而下的配置原则，综合分析宏观经济运行趋势、国家财政政策与货币政策、市场流动性水平、债券市场和股票市场估值水平等因素，确定固定收益类资产和权益类资产的配置比例，并进行动态优化管理。本基金的债券类资产将重点配置信用债和可转债。本基金将对不同债券板块之间的相对投资价值进行分析，确定债券类属</w:t>
            </w:r>
            <w:r>
              <w:rPr>
                <w:rFonts w:eastAsiaTheme="minorEastAsia"/>
                <w:color w:val="000000" w:themeColor="text1"/>
                <w:kern w:val="0"/>
                <w:szCs w:val="21"/>
              </w:rPr>
              <w:lastRenderedPageBreak/>
              <w:t>配置策略，并根据市场变化及时进行调整。</w:t>
            </w:r>
          </w:p>
          <w:p w:rsidR="005B26BC" w:rsidRDefault="002368F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采用信用策略、久期调整策略、期限结构配置策略、息差策略等策略，进行积极主动的债券投资，在合理控制风险和保持适当流动性的基础上，以企业债和可转债为主要投资标的，力争取得超越基金业绩比较基准的收益。</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业绩比较基准</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中证综合债券指数</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5B26BC" w:rsidRDefault="002368F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本基金为债券型基金，属于证券投资基金中的较低风险品种，其预期风险与预期收益高于货币市场基金，低于混合型基金和股票型基金。</w:t>
            </w:r>
          </w:p>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根据</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中国银行股份有限公司</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5E6DF3" w:rsidRDefault="005C671B">
            <w:pPr>
              <w:rPr>
                <w:rFonts w:eastAsiaTheme="minorEastAsia"/>
                <w:color w:val="000000" w:themeColor="text1"/>
                <w:szCs w:val="21"/>
              </w:rPr>
            </w:pPr>
            <w:r>
              <w:rPr>
                <w:rFonts w:eastAsiaTheme="minorEastAsia"/>
                <w:color w:val="000000" w:themeColor="text1"/>
                <w:szCs w:val="21"/>
              </w:rPr>
              <w:t>上投摩根优信增利债券</w:t>
            </w:r>
            <w:r>
              <w:rPr>
                <w:rFonts w:eastAsiaTheme="minorEastAsia"/>
                <w:color w:val="000000" w:themeColor="text1"/>
                <w:szCs w:val="21"/>
              </w:rPr>
              <w:t>A</w:t>
            </w:r>
          </w:p>
        </w:tc>
        <w:tc>
          <w:tcPr>
            <w:tcW w:w="2740" w:type="dxa"/>
            <w:vAlign w:val="center"/>
          </w:tcPr>
          <w:p w:rsidR="005E6DF3" w:rsidRDefault="005C671B">
            <w:pPr>
              <w:rPr>
                <w:rFonts w:eastAsiaTheme="minorEastAsia"/>
                <w:color w:val="000000" w:themeColor="text1"/>
                <w:szCs w:val="21"/>
              </w:rPr>
            </w:pPr>
            <w:r>
              <w:rPr>
                <w:rFonts w:eastAsiaTheme="minorEastAsia"/>
                <w:color w:val="000000" w:themeColor="text1"/>
                <w:szCs w:val="21"/>
              </w:rPr>
              <w:t>上投摩根优信增利债券</w:t>
            </w:r>
            <w:r>
              <w:rPr>
                <w:rFonts w:eastAsiaTheme="minorEastAsia"/>
                <w:color w:val="000000" w:themeColor="text1"/>
                <w:szCs w:val="21"/>
              </w:rPr>
              <w:t>C</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5E6DF3" w:rsidRDefault="005C671B">
            <w:pPr>
              <w:rPr>
                <w:rFonts w:eastAsiaTheme="minorEastAsia"/>
                <w:color w:val="000000" w:themeColor="text1"/>
                <w:szCs w:val="21"/>
              </w:rPr>
            </w:pPr>
            <w:r>
              <w:rPr>
                <w:rFonts w:eastAsiaTheme="minorEastAsia"/>
                <w:color w:val="000000" w:themeColor="text1"/>
                <w:szCs w:val="21"/>
              </w:rPr>
              <w:t>000616</w:t>
            </w:r>
          </w:p>
        </w:tc>
        <w:tc>
          <w:tcPr>
            <w:tcW w:w="2740" w:type="dxa"/>
            <w:vAlign w:val="center"/>
          </w:tcPr>
          <w:p w:rsidR="005E6DF3" w:rsidRDefault="005C671B">
            <w:pPr>
              <w:rPr>
                <w:rFonts w:eastAsiaTheme="minorEastAsia"/>
                <w:color w:val="000000" w:themeColor="text1"/>
                <w:szCs w:val="21"/>
              </w:rPr>
            </w:pPr>
            <w:r>
              <w:rPr>
                <w:rFonts w:eastAsiaTheme="minorEastAsia"/>
                <w:color w:val="000000" w:themeColor="text1"/>
                <w:szCs w:val="21"/>
              </w:rPr>
              <w:t>000617</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5E6DF3" w:rsidRDefault="005C671B">
            <w:pPr>
              <w:rPr>
                <w:rFonts w:eastAsiaTheme="minorEastAsia"/>
                <w:color w:val="000000" w:themeColor="text1"/>
                <w:szCs w:val="21"/>
              </w:rPr>
            </w:pPr>
            <w:r>
              <w:rPr>
                <w:rFonts w:eastAsiaTheme="minorEastAsia"/>
                <w:color w:val="000000" w:themeColor="text1"/>
                <w:szCs w:val="21"/>
              </w:rPr>
              <w:t>3,282,679.14</w:t>
            </w:r>
            <w:r>
              <w:rPr>
                <w:rFonts w:eastAsiaTheme="minorEastAsia"/>
                <w:color w:val="000000" w:themeColor="text1"/>
                <w:kern w:val="0"/>
                <w:szCs w:val="21"/>
              </w:rPr>
              <w:t>份</w:t>
            </w:r>
          </w:p>
        </w:tc>
        <w:tc>
          <w:tcPr>
            <w:tcW w:w="2740" w:type="dxa"/>
            <w:vAlign w:val="center"/>
          </w:tcPr>
          <w:p w:rsidR="005E6DF3" w:rsidRDefault="005C671B">
            <w:pPr>
              <w:rPr>
                <w:rFonts w:eastAsiaTheme="minorEastAsia"/>
                <w:color w:val="000000" w:themeColor="text1"/>
                <w:szCs w:val="21"/>
              </w:rPr>
            </w:pPr>
            <w:r>
              <w:rPr>
                <w:rFonts w:eastAsiaTheme="minorEastAsia"/>
                <w:color w:val="000000" w:themeColor="text1"/>
                <w:szCs w:val="21"/>
              </w:rPr>
              <w:t>1,579,378.96</w:t>
            </w:r>
            <w:r>
              <w:rPr>
                <w:rFonts w:eastAsiaTheme="minorEastAsia"/>
                <w:color w:val="000000" w:themeColor="text1"/>
                <w:kern w:val="0"/>
                <w:szCs w:val="21"/>
              </w:rPr>
              <w:t>份</w:t>
            </w:r>
          </w:p>
        </w:tc>
      </w:tr>
    </w:tbl>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tc>
          <w:tcPr>
            <w:tcW w:w="3402" w:type="dxa"/>
            <w:vMerge w:val="restart"/>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lastRenderedPageBreak/>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w:t>
            </w:r>
            <w:r>
              <w:rPr>
                <w:rFonts w:eastAsiaTheme="minorEastAsia"/>
                <w:color w:val="000000" w:themeColor="text1"/>
                <w:szCs w:val="21"/>
              </w:rPr>
              <w:t>)</w:t>
            </w:r>
          </w:p>
        </w:tc>
      </w:tr>
      <w:tr w:rsidR="005E6DF3">
        <w:tc>
          <w:tcPr>
            <w:tcW w:w="3402" w:type="dxa"/>
            <w:vMerge/>
            <w:vAlign w:val="center"/>
          </w:tcPr>
          <w:p w:rsidR="005E6DF3"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上投摩根优信增利债券</w:t>
            </w:r>
            <w:r>
              <w:rPr>
                <w:rFonts w:eastAsiaTheme="minorEastAsia"/>
                <w:color w:val="000000" w:themeColor="text1"/>
                <w:szCs w:val="21"/>
              </w:rPr>
              <w:t>A</w:t>
            </w:r>
          </w:p>
        </w:tc>
        <w:tc>
          <w:tcPr>
            <w:tcW w:w="2481" w:type="dxa"/>
            <w:vAlign w:val="center"/>
          </w:tcPr>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上投摩根优信增利债券</w:t>
            </w:r>
            <w:r>
              <w:rPr>
                <w:rFonts w:eastAsiaTheme="minorEastAsia"/>
                <w:color w:val="000000" w:themeColor="text1"/>
                <w:szCs w:val="21"/>
              </w:rPr>
              <w:t>C</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1,220,436.86</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24,775.45</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412,456.39</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14,129.14</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0.0059</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0.0080</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4,163,430.39</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1,952,417.87</w:t>
            </w:r>
          </w:p>
        </w:tc>
      </w:tr>
      <w:tr w:rsidR="005E6DF3">
        <w:trPr>
          <w:trHeight w:val="158"/>
        </w:trPr>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1.2683</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1.2362</w:t>
            </w:r>
          </w:p>
        </w:tc>
      </w:tr>
    </w:tbl>
    <w:p w:rsidR="005B26BC" w:rsidRDefault="002368F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5E6DF3" w:rsidRDefault="005C671B">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上投摩根优信增利债券</w:t>
      </w:r>
      <w:r>
        <w:rPr>
          <w:rFonts w:eastAsiaTheme="minorEastAsia"/>
          <w:b/>
          <w:color w:val="000000" w:themeColor="text1"/>
          <w:kern w:val="0"/>
          <w:szCs w:val="21"/>
        </w:rPr>
        <w:t>A</w:t>
      </w:r>
      <w:r>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tc>
          <w:tcPr>
            <w:tcW w:w="1290"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5B26BC">
        <w:tc>
          <w:tcPr>
            <w:tcW w:w="1290" w:type="dxa"/>
            <w:vAlign w:val="center"/>
          </w:tcPr>
          <w:p w:rsidR="005B26BC" w:rsidRDefault="002368F3">
            <w:pPr>
              <w:jc w:val="left"/>
            </w:pPr>
            <w:r>
              <w:rPr>
                <w:rFonts w:eastAsiaTheme="minorEastAsia"/>
                <w:color w:val="000000" w:themeColor="text1"/>
                <w:szCs w:val="21"/>
              </w:rPr>
              <w:t>过去三个月</w:t>
            </w:r>
          </w:p>
        </w:tc>
        <w:tc>
          <w:tcPr>
            <w:tcW w:w="1291" w:type="dxa"/>
            <w:vAlign w:val="center"/>
          </w:tcPr>
          <w:p w:rsidR="005B26BC" w:rsidRDefault="002368F3">
            <w:pPr>
              <w:jc w:val="right"/>
            </w:pPr>
            <w:r>
              <w:rPr>
                <w:rFonts w:eastAsiaTheme="minorEastAsia"/>
                <w:color w:val="000000" w:themeColor="text1"/>
                <w:szCs w:val="21"/>
              </w:rPr>
              <w:t>0.58%</w:t>
            </w:r>
          </w:p>
        </w:tc>
        <w:tc>
          <w:tcPr>
            <w:tcW w:w="1291" w:type="dxa"/>
            <w:vAlign w:val="center"/>
          </w:tcPr>
          <w:p w:rsidR="005B26BC" w:rsidRDefault="002368F3">
            <w:pPr>
              <w:jc w:val="right"/>
            </w:pPr>
            <w:r>
              <w:rPr>
                <w:rFonts w:eastAsiaTheme="minorEastAsia"/>
                <w:color w:val="000000" w:themeColor="text1"/>
                <w:szCs w:val="21"/>
              </w:rPr>
              <w:t>0.41%</w:t>
            </w:r>
          </w:p>
        </w:tc>
        <w:tc>
          <w:tcPr>
            <w:tcW w:w="1291" w:type="dxa"/>
            <w:vAlign w:val="center"/>
          </w:tcPr>
          <w:p w:rsidR="005B26BC" w:rsidRDefault="002368F3">
            <w:pPr>
              <w:jc w:val="right"/>
            </w:pPr>
            <w:r>
              <w:rPr>
                <w:rFonts w:eastAsiaTheme="minorEastAsia"/>
                <w:color w:val="000000" w:themeColor="text1"/>
                <w:szCs w:val="21"/>
              </w:rPr>
              <w:t>-0.50%</w:t>
            </w:r>
          </w:p>
        </w:tc>
        <w:tc>
          <w:tcPr>
            <w:tcW w:w="1291" w:type="dxa"/>
            <w:vAlign w:val="center"/>
          </w:tcPr>
          <w:p w:rsidR="005B26BC" w:rsidRDefault="002368F3">
            <w:pPr>
              <w:jc w:val="right"/>
            </w:pPr>
            <w:r>
              <w:rPr>
                <w:rFonts w:eastAsiaTheme="minorEastAsia"/>
                <w:color w:val="000000" w:themeColor="text1"/>
                <w:szCs w:val="21"/>
              </w:rPr>
              <w:t>0.07%</w:t>
            </w:r>
          </w:p>
        </w:tc>
        <w:tc>
          <w:tcPr>
            <w:tcW w:w="1291" w:type="dxa"/>
            <w:vAlign w:val="center"/>
          </w:tcPr>
          <w:p w:rsidR="005B26BC" w:rsidRDefault="002368F3">
            <w:pPr>
              <w:jc w:val="right"/>
            </w:pPr>
            <w:r>
              <w:rPr>
                <w:rFonts w:eastAsiaTheme="minorEastAsia"/>
                <w:color w:val="000000" w:themeColor="text1"/>
                <w:szCs w:val="21"/>
              </w:rPr>
              <w:t>1.08%</w:t>
            </w:r>
          </w:p>
        </w:tc>
        <w:tc>
          <w:tcPr>
            <w:tcW w:w="1291" w:type="dxa"/>
            <w:vAlign w:val="center"/>
          </w:tcPr>
          <w:p w:rsidR="005B26BC" w:rsidRDefault="002368F3">
            <w:pPr>
              <w:jc w:val="right"/>
            </w:pPr>
            <w:r>
              <w:rPr>
                <w:rFonts w:eastAsiaTheme="minorEastAsia"/>
                <w:color w:val="000000" w:themeColor="text1"/>
                <w:szCs w:val="21"/>
              </w:rPr>
              <w:t>0.34%</w:t>
            </w:r>
          </w:p>
        </w:tc>
      </w:tr>
      <w:tr w:rsidR="005B26BC">
        <w:tc>
          <w:tcPr>
            <w:tcW w:w="1290" w:type="dxa"/>
            <w:vAlign w:val="center"/>
          </w:tcPr>
          <w:p w:rsidR="005B26BC" w:rsidRDefault="002368F3">
            <w:pPr>
              <w:jc w:val="left"/>
            </w:pPr>
            <w:r>
              <w:rPr>
                <w:rFonts w:eastAsiaTheme="minorEastAsia"/>
                <w:color w:val="000000" w:themeColor="text1"/>
                <w:szCs w:val="21"/>
              </w:rPr>
              <w:t>过去六个月</w:t>
            </w:r>
          </w:p>
        </w:tc>
        <w:tc>
          <w:tcPr>
            <w:tcW w:w="1291" w:type="dxa"/>
            <w:vAlign w:val="center"/>
          </w:tcPr>
          <w:p w:rsidR="005B26BC" w:rsidRDefault="002368F3">
            <w:pPr>
              <w:jc w:val="right"/>
            </w:pPr>
            <w:r>
              <w:rPr>
                <w:rFonts w:eastAsiaTheme="minorEastAsia"/>
                <w:color w:val="000000" w:themeColor="text1"/>
                <w:szCs w:val="21"/>
              </w:rPr>
              <w:t>3.20%</w:t>
            </w:r>
          </w:p>
        </w:tc>
        <w:tc>
          <w:tcPr>
            <w:tcW w:w="1291" w:type="dxa"/>
            <w:vAlign w:val="center"/>
          </w:tcPr>
          <w:p w:rsidR="005B26BC" w:rsidRDefault="002368F3">
            <w:pPr>
              <w:jc w:val="right"/>
            </w:pPr>
            <w:r>
              <w:rPr>
                <w:rFonts w:eastAsiaTheme="minorEastAsia"/>
                <w:color w:val="000000" w:themeColor="text1"/>
                <w:szCs w:val="21"/>
              </w:rPr>
              <w:t>0.32%</w:t>
            </w:r>
          </w:p>
        </w:tc>
        <w:tc>
          <w:tcPr>
            <w:tcW w:w="1291" w:type="dxa"/>
            <w:vAlign w:val="center"/>
          </w:tcPr>
          <w:p w:rsidR="005B26BC" w:rsidRDefault="002368F3">
            <w:pPr>
              <w:jc w:val="right"/>
            </w:pPr>
            <w:r>
              <w:rPr>
                <w:rFonts w:eastAsiaTheme="minorEastAsia"/>
                <w:color w:val="000000" w:themeColor="text1"/>
                <w:szCs w:val="21"/>
              </w:rPr>
              <w:t>-0.75%</w:t>
            </w:r>
          </w:p>
        </w:tc>
        <w:tc>
          <w:tcPr>
            <w:tcW w:w="1291" w:type="dxa"/>
            <w:vAlign w:val="center"/>
          </w:tcPr>
          <w:p w:rsidR="005B26BC" w:rsidRDefault="002368F3">
            <w:pPr>
              <w:jc w:val="right"/>
            </w:pPr>
            <w:r>
              <w:rPr>
                <w:rFonts w:eastAsiaTheme="minorEastAsia"/>
                <w:color w:val="000000" w:themeColor="text1"/>
                <w:szCs w:val="21"/>
              </w:rPr>
              <w:t>0.09%</w:t>
            </w:r>
          </w:p>
        </w:tc>
        <w:tc>
          <w:tcPr>
            <w:tcW w:w="1291" w:type="dxa"/>
            <w:vAlign w:val="center"/>
          </w:tcPr>
          <w:p w:rsidR="005B26BC" w:rsidRDefault="002368F3">
            <w:pPr>
              <w:jc w:val="right"/>
            </w:pPr>
            <w:r>
              <w:rPr>
                <w:rFonts w:eastAsiaTheme="minorEastAsia"/>
                <w:color w:val="000000" w:themeColor="text1"/>
                <w:szCs w:val="21"/>
              </w:rPr>
              <w:t>3.95%</w:t>
            </w:r>
          </w:p>
        </w:tc>
        <w:tc>
          <w:tcPr>
            <w:tcW w:w="1291" w:type="dxa"/>
            <w:vAlign w:val="center"/>
          </w:tcPr>
          <w:p w:rsidR="005B26BC" w:rsidRDefault="002368F3">
            <w:pPr>
              <w:jc w:val="right"/>
            </w:pPr>
            <w:r>
              <w:rPr>
                <w:rFonts w:eastAsiaTheme="minorEastAsia"/>
                <w:color w:val="000000" w:themeColor="text1"/>
                <w:szCs w:val="21"/>
              </w:rPr>
              <w:t>0.23%</w:t>
            </w:r>
          </w:p>
        </w:tc>
      </w:tr>
      <w:tr w:rsidR="005B26BC">
        <w:tc>
          <w:tcPr>
            <w:tcW w:w="1290" w:type="dxa"/>
            <w:vAlign w:val="center"/>
          </w:tcPr>
          <w:p w:rsidR="005B26BC" w:rsidRDefault="002368F3">
            <w:pPr>
              <w:jc w:val="left"/>
            </w:pPr>
            <w:r>
              <w:rPr>
                <w:rFonts w:eastAsiaTheme="minorEastAsia"/>
                <w:color w:val="000000" w:themeColor="text1"/>
                <w:szCs w:val="21"/>
              </w:rPr>
              <w:t>过去一年</w:t>
            </w:r>
          </w:p>
        </w:tc>
        <w:tc>
          <w:tcPr>
            <w:tcW w:w="1291" w:type="dxa"/>
            <w:vAlign w:val="center"/>
          </w:tcPr>
          <w:p w:rsidR="005B26BC" w:rsidRDefault="002368F3">
            <w:pPr>
              <w:jc w:val="right"/>
            </w:pPr>
            <w:r>
              <w:rPr>
                <w:rFonts w:eastAsiaTheme="minorEastAsia"/>
                <w:color w:val="000000" w:themeColor="text1"/>
                <w:szCs w:val="21"/>
              </w:rPr>
              <w:t>2.33%</w:t>
            </w:r>
          </w:p>
        </w:tc>
        <w:tc>
          <w:tcPr>
            <w:tcW w:w="1291" w:type="dxa"/>
            <w:vAlign w:val="center"/>
          </w:tcPr>
          <w:p w:rsidR="005B26BC" w:rsidRDefault="002368F3">
            <w:pPr>
              <w:jc w:val="right"/>
            </w:pPr>
            <w:r>
              <w:rPr>
                <w:rFonts w:eastAsiaTheme="minorEastAsia"/>
                <w:color w:val="000000" w:themeColor="text1"/>
                <w:szCs w:val="21"/>
              </w:rPr>
              <w:t>0.31%</w:t>
            </w:r>
          </w:p>
        </w:tc>
        <w:tc>
          <w:tcPr>
            <w:tcW w:w="1291" w:type="dxa"/>
            <w:vAlign w:val="center"/>
          </w:tcPr>
          <w:p w:rsidR="005B26BC" w:rsidRDefault="002368F3">
            <w:pPr>
              <w:jc w:val="right"/>
            </w:pPr>
            <w:r>
              <w:rPr>
                <w:rFonts w:eastAsiaTheme="minorEastAsia"/>
                <w:color w:val="000000" w:themeColor="text1"/>
                <w:szCs w:val="21"/>
              </w:rPr>
              <w:t>3.04%</w:t>
            </w:r>
          </w:p>
        </w:tc>
        <w:tc>
          <w:tcPr>
            <w:tcW w:w="1291" w:type="dxa"/>
            <w:vAlign w:val="center"/>
          </w:tcPr>
          <w:p w:rsidR="005B26BC" w:rsidRDefault="002368F3">
            <w:pPr>
              <w:jc w:val="right"/>
            </w:pPr>
            <w:r>
              <w:rPr>
                <w:rFonts w:eastAsiaTheme="minorEastAsia"/>
                <w:color w:val="000000" w:themeColor="text1"/>
                <w:szCs w:val="21"/>
              </w:rPr>
              <w:t>0.08%</w:t>
            </w:r>
          </w:p>
        </w:tc>
        <w:tc>
          <w:tcPr>
            <w:tcW w:w="1291" w:type="dxa"/>
            <w:vAlign w:val="center"/>
          </w:tcPr>
          <w:p w:rsidR="005B26BC" w:rsidRDefault="002368F3">
            <w:pPr>
              <w:jc w:val="right"/>
            </w:pPr>
            <w:r>
              <w:rPr>
                <w:rFonts w:eastAsiaTheme="minorEastAsia"/>
                <w:color w:val="000000" w:themeColor="text1"/>
                <w:szCs w:val="21"/>
              </w:rPr>
              <w:t>-0.71%</w:t>
            </w:r>
          </w:p>
        </w:tc>
        <w:tc>
          <w:tcPr>
            <w:tcW w:w="1291" w:type="dxa"/>
            <w:vAlign w:val="center"/>
          </w:tcPr>
          <w:p w:rsidR="005B26BC" w:rsidRDefault="002368F3">
            <w:pPr>
              <w:jc w:val="right"/>
            </w:pPr>
            <w:r>
              <w:rPr>
                <w:rFonts w:eastAsiaTheme="minorEastAsia"/>
                <w:color w:val="000000" w:themeColor="text1"/>
                <w:szCs w:val="21"/>
              </w:rPr>
              <w:t>0.23%</w:t>
            </w:r>
          </w:p>
        </w:tc>
      </w:tr>
      <w:tr w:rsidR="005B26BC">
        <w:tc>
          <w:tcPr>
            <w:tcW w:w="1290" w:type="dxa"/>
            <w:vAlign w:val="center"/>
          </w:tcPr>
          <w:p w:rsidR="005B26BC" w:rsidRDefault="002368F3">
            <w:pPr>
              <w:jc w:val="left"/>
            </w:pPr>
            <w:r>
              <w:rPr>
                <w:rFonts w:eastAsiaTheme="minorEastAsia"/>
                <w:color w:val="000000" w:themeColor="text1"/>
                <w:szCs w:val="21"/>
              </w:rPr>
              <w:t>过去三年</w:t>
            </w:r>
          </w:p>
        </w:tc>
        <w:tc>
          <w:tcPr>
            <w:tcW w:w="1291" w:type="dxa"/>
            <w:vAlign w:val="center"/>
          </w:tcPr>
          <w:p w:rsidR="005B26BC" w:rsidRDefault="002368F3">
            <w:pPr>
              <w:jc w:val="right"/>
            </w:pPr>
            <w:r>
              <w:rPr>
                <w:rFonts w:eastAsiaTheme="minorEastAsia"/>
                <w:color w:val="000000" w:themeColor="text1"/>
                <w:szCs w:val="21"/>
              </w:rPr>
              <w:t>9.54%</w:t>
            </w:r>
          </w:p>
        </w:tc>
        <w:tc>
          <w:tcPr>
            <w:tcW w:w="1291" w:type="dxa"/>
            <w:vAlign w:val="center"/>
          </w:tcPr>
          <w:p w:rsidR="005B26BC" w:rsidRDefault="002368F3">
            <w:pPr>
              <w:jc w:val="right"/>
            </w:pPr>
            <w:r>
              <w:rPr>
                <w:rFonts w:eastAsiaTheme="minorEastAsia"/>
                <w:color w:val="000000" w:themeColor="text1"/>
                <w:szCs w:val="21"/>
              </w:rPr>
              <w:t>0.26%</w:t>
            </w:r>
          </w:p>
        </w:tc>
        <w:tc>
          <w:tcPr>
            <w:tcW w:w="1291" w:type="dxa"/>
            <w:vAlign w:val="center"/>
          </w:tcPr>
          <w:p w:rsidR="005B26BC" w:rsidRDefault="002368F3">
            <w:pPr>
              <w:jc w:val="right"/>
            </w:pPr>
            <w:r>
              <w:rPr>
                <w:rFonts w:eastAsiaTheme="minorEastAsia"/>
                <w:color w:val="000000" w:themeColor="text1"/>
                <w:szCs w:val="21"/>
              </w:rPr>
              <w:t>14.68%</w:t>
            </w:r>
          </w:p>
        </w:tc>
        <w:tc>
          <w:tcPr>
            <w:tcW w:w="1291" w:type="dxa"/>
            <w:vAlign w:val="center"/>
          </w:tcPr>
          <w:p w:rsidR="005B26BC" w:rsidRDefault="002368F3">
            <w:pPr>
              <w:jc w:val="right"/>
            </w:pPr>
            <w:r>
              <w:rPr>
                <w:rFonts w:eastAsiaTheme="minorEastAsia"/>
                <w:color w:val="000000" w:themeColor="text1"/>
                <w:szCs w:val="21"/>
              </w:rPr>
              <w:t>0.07%</w:t>
            </w:r>
          </w:p>
        </w:tc>
        <w:tc>
          <w:tcPr>
            <w:tcW w:w="1291" w:type="dxa"/>
            <w:vAlign w:val="center"/>
          </w:tcPr>
          <w:p w:rsidR="005B26BC" w:rsidRDefault="002368F3">
            <w:pPr>
              <w:jc w:val="right"/>
            </w:pPr>
            <w:r>
              <w:rPr>
                <w:rFonts w:eastAsiaTheme="minorEastAsia"/>
                <w:color w:val="000000" w:themeColor="text1"/>
                <w:szCs w:val="21"/>
              </w:rPr>
              <w:t>-5.14%</w:t>
            </w:r>
          </w:p>
        </w:tc>
        <w:tc>
          <w:tcPr>
            <w:tcW w:w="1291" w:type="dxa"/>
            <w:vAlign w:val="center"/>
          </w:tcPr>
          <w:p w:rsidR="005B26BC" w:rsidRDefault="002368F3">
            <w:pPr>
              <w:jc w:val="right"/>
            </w:pPr>
            <w:r>
              <w:rPr>
                <w:rFonts w:eastAsiaTheme="minorEastAsia"/>
                <w:color w:val="000000" w:themeColor="text1"/>
                <w:szCs w:val="21"/>
              </w:rPr>
              <w:t>0.19%</w:t>
            </w:r>
          </w:p>
        </w:tc>
      </w:tr>
      <w:tr w:rsidR="005B26BC">
        <w:tc>
          <w:tcPr>
            <w:tcW w:w="1290" w:type="dxa"/>
            <w:vAlign w:val="center"/>
          </w:tcPr>
          <w:p w:rsidR="005B26BC" w:rsidRDefault="002368F3">
            <w:pPr>
              <w:jc w:val="left"/>
            </w:pPr>
            <w:r>
              <w:rPr>
                <w:rFonts w:eastAsiaTheme="minorEastAsia"/>
                <w:color w:val="000000" w:themeColor="text1"/>
                <w:szCs w:val="21"/>
              </w:rPr>
              <w:t>过去五年</w:t>
            </w:r>
          </w:p>
        </w:tc>
        <w:tc>
          <w:tcPr>
            <w:tcW w:w="1291" w:type="dxa"/>
            <w:vAlign w:val="center"/>
          </w:tcPr>
          <w:p w:rsidR="005B26BC" w:rsidRDefault="002368F3">
            <w:pPr>
              <w:jc w:val="right"/>
            </w:pPr>
            <w:r>
              <w:rPr>
                <w:rFonts w:eastAsiaTheme="minorEastAsia"/>
                <w:color w:val="000000" w:themeColor="text1"/>
                <w:szCs w:val="21"/>
              </w:rPr>
              <w:t>10.76%</w:t>
            </w:r>
          </w:p>
        </w:tc>
        <w:tc>
          <w:tcPr>
            <w:tcW w:w="1291" w:type="dxa"/>
            <w:vAlign w:val="center"/>
          </w:tcPr>
          <w:p w:rsidR="005B26BC" w:rsidRDefault="002368F3">
            <w:pPr>
              <w:jc w:val="right"/>
            </w:pPr>
            <w:r>
              <w:rPr>
                <w:rFonts w:eastAsiaTheme="minorEastAsia"/>
                <w:color w:val="000000" w:themeColor="text1"/>
                <w:szCs w:val="21"/>
              </w:rPr>
              <w:t>0.28%</w:t>
            </w:r>
          </w:p>
        </w:tc>
        <w:tc>
          <w:tcPr>
            <w:tcW w:w="1291" w:type="dxa"/>
            <w:vAlign w:val="center"/>
          </w:tcPr>
          <w:p w:rsidR="005B26BC" w:rsidRDefault="002368F3">
            <w:pPr>
              <w:jc w:val="right"/>
            </w:pPr>
            <w:r>
              <w:rPr>
                <w:rFonts w:eastAsiaTheme="minorEastAsia"/>
                <w:color w:val="000000" w:themeColor="text1"/>
                <w:szCs w:val="21"/>
              </w:rPr>
              <w:t>20.74%</w:t>
            </w:r>
          </w:p>
        </w:tc>
        <w:tc>
          <w:tcPr>
            <w:tcW w:w="1291" w:type="dxa"/>
            <w:vAlign w:val="center"/>
          </w:tcPr>
          <w:p w:rsidR="005B26BC" w:rsidRDefault="002368F3">
            <w:pPr>
              <w:jc w:val="right"/>
            </w:pPr>
            <w:r>
              <w:rPr>
                <w:rFonts w:eastAsiaTheme="minorEastAsia"/>
                <w:color w:val="000000" w:themeColor="text1"/>
                <w:szCs w:val="21"/>
              </w:rPr>
              <w:t>0.07%</w:t>
            </w:r>
          </w:p>
        </w:tc>
        <w:tc>
          <w:tcPr>
            <w:tcW w:w="1291" w:type="dxa"/>
            <w:vAlign w:val="center"/>
          </w:tcPr>
          <w:p w:rsidR="005B26BC" w:rsidRDefault="002368F3">
            <w:pPr>
              <w:jc w:val="right"/>
            </w:pPr>
            <w:r>
              <w:rPr>
                <w:rFonts w:eastAsiaTheme="minorEastAsia"/>
                <w:color w:val="000000" w:themeColor="text1"/>
                <w:szCs w:val="21"/>
              </w:rPr>
              <w:t>-9.98%</w:t>
            </w:r>
          </w:p>
        </w:tc>
        <w:tc>
          <w:tcPr>
            <w:tcW w:w="1291" w:type="dxa"/>
            <w:vAlign w:val="center"/>
          </w:tcPr>
          <w:p w:rsidR="005B26BC" w:rsidRDefault="002368F3">
            <w:pPr>
              <w:jc w:val="right"/>
            </w:pPr>
            <w:r>
              <w:rPr>
                <w:rFonts w:eastAsiaTheme="minorEastAsia"/>
                <w:color w:val="000000" w:themeColor="text1"/>
                <w:szCs w:val="21"/>
              </w:rPr>
              <w:t>0.21%</w:t>
            </w:r>
          </w:p>
        </w:tc>
      </w:tr>
      <w:tr w:rsidR="005B26BC">
        <w:tc>
          <w:tcPr>
            <w:tcW w:w="1290" w:type="dxa"/>
            <w:vAlign w:val="center"/>
          </w:tcPr>
          <w:p w:rsidR="005B26BC" w:rsidRDefault="002368F3">
            <w:pPr>
              <w:jc w:val="left"/>
            </w:pPr>
            <w:r>
              <w:rPr>
                <w:rFonts w:eastAsiaTheme="minorEastAsia"/>
                <w:color w:val="000000" w:themeColor="text1"/>
                <w:szCs w:val="21"/>
              </w:rPr>
              <w:t>自基金合同生效起至今</w:t>
            </w:r>
          </w:p>
        </w:tc>
        <w:tc>
          <w:tcPr>
            <w:tcW w:w="1291" w:type="dxa"/>
            <w:vAlign w:val="center"/>
          </w:tcPr>
          <w:p w:rsidR="005B26BC" w:rsidRDefault="002368F3">
            <w:pPr>
              <w:jc w:val="right"/>
            </w:pPr>
            <w:r>
              <w:rPr>
                <w:rFonts w:eastAsiaTheme="minorEastAsia"/>
                <w:color w:val="000000" w:themeColor="text1"/>
                <w:szCs w:val="21"/>
              </w:rPr>
              <w:t>49.19%</w:t>
            </w:r>
          </w:p>
        </w:tc>
        <w:tc>
          <w:tcPr>
            <w:tcW w:w="1291" w:type="dxa"/>
            <w:vAlign w:val="center"/>
          </w:tcPr>
          <w:p w:rsidR="005B26BC" w:rsidRDefault="002368F3">
            <w:pPr>
              <w:jc w:val="right"/>
            </w:pPr>
            <w:r>
              <w:rPr>
                <w:rFonts w:eastAsiaTheme="minorEastAsia"/>
                <w:color w:val="000000" w:themeColor="text1"/>
                <w:szCs w:val="21"/>
              </w:rPr>
              <w:t>0.44%</w:t>
            </w:r>
          </w:p>
        </w:tc>
        <w:tc>
          <w:tcPr>
            <w:tcW w:w="1291" w:type="dxa"/>
            <w:vAlign w:val="center"/>
          </w:tcPr>
          <w:p w:rsidR="005B26BC" w:rsidRDefault="002368F3">
            <w:pPr>
              <w:jc w:val="right"/>
            </w:pPr>
            <w:r>
              <w:rPr>
                <w:rFonts w:eastAsiaTheme="minorEastAsia"/>
                <w:color w:val="000000" w:themeColor="text1"/>
                <w:szCs w:val="21"/>
              </w:rPr>
              <w:t>32.33%</w:t>
            </w:r>
          </w:p>
        </w:tc>
        <w:tc>
          <w:tcPr>
            <w:tcW w:w="1291" w:type="dxa"/>
            <w:vAlign w:val="center"/>
          </w:tcPr>
          <w:p w:rsidR="005B26BC" w:rsidRDefault="002368F3">
            <w:pPr>
              <w:jc w:val="right"/>
            </w:pPr>
            <w:r>
              <w:rPr>
                <w:rFonts w:eastAsiaTheme="minorEastAsia"/>
                <w:color w:val="000000" w:themeColor="text1"/>
                <w:szCs w:val="21"/>
              </w:rPr>
              <w:t>0.09%</w:t>
            </w:r>
          </w:p>
        </w:tc>
        <w:tc>
          <w:tcPr>
            <w:tcW w:w="1291" w:type="dxa"/>
            <w:vAlign w:val="center"/>
          </w:tcPr>
          <w:p w:rsidR="005B26BC" w:rsidRDefault="002368F3">
            <w:pPr>
              <w:jc w:val="right"/>
            </w:pPr>
            <w:r>
              <w:rPr>
                <w:rFonts w:eastAsiaTheme="minorEastAsia"/>
                <w:color w:val="000000" w:themeColor="text1"/>
                <w:szCs w:val="21"/>
              </w:rPr>
              <w:t>16.86%</w:t>
            </w:r>
          </w:p>
        </w:tc>
        <w:tc>
          <w:tcPr>
            <w:tcW w:w="1291" w:type="dxa"/>
            <w:vAlign w:val="center"/>
          </w:tcPr>
          <w:p w:rsidR="005B26BC" w:rsidRDefault="002368F3">
            <w:pPr>
              <w:jc w:val="right"/>
            </w:pPr>
            <w:r>
              <w:rPr>
                <w:rFonts w:eastAsiaTheme="minorEastAsia"/>
                <w:color w:val="000000" w:themeColor="text1"/>
                <w:szCs w:val="21"/>
              </w:rPr>
              <w:t>0.35%</w:t>
            </w:r>
          </w:p>
        </w:tc>
      </w:tr>
    </w:tbl>
    <w:p w:rsidR="005E6DF3" w:rsidRDefault="005C671B">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上投摩根优信增利债券</w:t>
      </w:r>
      <w:r>
        <w:rPr>
          <w:rFonts w:eastAsiaTheme="minorEastAsia"/>
          <w:b/>
          <w:color w:val="000000" w:themeColor="text1"/>
          <w:kern w:val="0"/>
          <w:szCs w:val="21"/>
        </w:rPr>
        <w:t>C</w:t>
      </w:r>
      <w:r>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tc>
          <w:tcPr>
            <w:tcW w:w="1290"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5E6DF3" w:rsidRDefault="005C671B">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5E6DF3" w:rsidRDefault="005C671B">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5B26BC">
        <w:tc>
          <w:tcPr>
            <w:tcW w:w="1290" w:type="dxa"/>
            <w:vAlign w:val="center"/>
          </w:tcPr>
          <w:p w:rsidR="005B26BC" w:rsidRDefault="002368F3">
            <w:pPr>
              <w:jc w:val="left"/>
            </w:pPr>
            <w:r>
              <w:rPr>
                <w:rFonts w:eastAsiaTheme="minorEastAsia"/>
                <w:color w:val="000000" w:themeColor="text1"/>
                <w:szCs w:val="21"/>
              </w:rPr>
              <w:t>过去三个月</w:t>
            </w:r>
          </w:p>
        </w:tc>
        <w:tc>
          <w:tcPr>
            <w:tcW w:w="1291" w:type="dxa"/>
            <w:vAlign w:val="center"/>
          </w:tcPr>
          <w:p w:rsidR="005B26BC" w:rsidRDefault="002368F3">
            <w:pPr>
              <w:jc w:val="right"/>
            </w:pPr>
            <w:r>
              <w:rPr>
                <w:rFonts w:eastAsiaTheme="minorEastAsia"/>
                <w:color w:val="000000" w:themeColor="text1"/>
                <w:szCs w:val="21"/>
              </w:rPr>
              <w:t>0.67%</w:t>
            </w:r>
          </w:p>
        </w:tc>
        <w:tc>
          <w:tcPr>
            <w:tcW w:w="1291" w:type="dxa"/>
            <w:vAlign w:val="center"/>
          </w:tcPr>
          <w:p w:rsidR="005B26BC" w:rsidRDefault="002368F3">
            <w:pPr>
              <w:jc w:val="right"/>
            </w:pPr>
            <w:r>
              <w:rPr>
                <w:rFonts w:eastAsiaTheme="minorEastAsia"/>
                <w:color w:val="000000" w:themeColor="text1"/>
                <w:szCs w:val="21"/>
              </w:rPr>
              <w:t>0.42%</w:t>
            </w:r>
          </w:p>
        </w:tc>
        <w:tc>
          <w:tcPr>
            <w:tcW w:w="1291" w:type="dxa"/>
            <w:vAlign w:val="center"/>
          </w:tcPr>
          <w:p w:rsidR="005B26BC" w:rsidRDefault="002368F3">
            <w:pPr>
              <w:jc w:val="right"/>
            </w:pPr>
            <w:r>
              <w:rPr>
                <w:rFonts w:eastAsiaTheme="minorEastAsia"/>
                <w:color w:val="000000" w:themeColor="text1"/>
                <w:szCs w:val="21"/>
              </w:rPr>
              <w:t>-0.50%</w:t>
            </w:r>
          </w:p>
        </w:tc>
        <w:tc>
          <w:tcPr>
            <w:tcW w:w="1291" w:type="dxa"/>
            <w:vAlign w:val="center"/>
          </w:tcPr>
          <w:p w:rsidR="005B26BC" w:rsidRDefault="002368F3">
            <w:pPr>
              <w:jc w:val="right"/>
            </w:pPr>
            <w:r>
              <w:rPr>
                <w:rFonts w:eastAsiaTheme="minorEastAsia"/>
                <w:color w:val="000000" w:themeColor="text1"/>
                <w:szCs w:val="21"/>
              </w:rPr>
              <w:t>0.07%</w:t>
            </w:r>
          </w:p>
        </w:tc>
        <w:tc>
          <w:tcPr>
            <w:tcW w:w="1291" w:type="dxa"/>
            <w:vAlign w:val="center"/>
          </w:tcPr>
          <w:p w:rsidR="005B26BC" w:rsidRDefault="002368F3">
            <w:pPr>
              <w:jc w:val="right"/>
            </w:pPr>
            <w:r>
              <w:rPr>
                <w:rFonts w:eastAsiaTheme="minorEastAsia"/>
                <w:color w:val="000000" w:themeColor="text1"/>
                <w:szCs w:val="21"/>
              </w:rPr>
              <w:t>1.17%</w:t>
            </w:r>
          </w:p>
        </w:tc>
        <w:tc>
          <w:tcPr>
            <w:tcW w:w="1291" w:type="dxa"/>
            <w:vAlign w:val="center"/>
          </w:tcPr>
          <w:p w:rsidR="005B26BC" w:rsidRDefault="002368F3">
            <w:pPr>
              <w:jc w:val="right"/>
            </w:pPr>
            <w:r>
              <w:rPr>
                <w:rFonts w:eastAsiaTheme="minorEastAsia"/>
                <w:color w:val="000000" w:themeColor="text1"/>
                <w:szCs w:val="21"/>
              </w:rPr>
              <w:t>0.35%</w:t>
            </w:r>
          </w:p>
        </w:tc>
      </w:tr>
      <w:tr w:rsidR="005B26BC">
        <w:tc>
          <w:tcPr>
            <w:tcW w:w="1290" w:type="dxa"/>
            <w:vAlign w:val="center"/>
          </w:tcPr>
          <w:p w:rsidR="005B26BC" w:rsidRDefault="002368F3">
            <w:pPr>
              <w:jc w:val="left"/>
            </w:pPr>
            <w:r>
              <w:rPr>
                <w:rFonts w:eastAsiaTheme="minorEastAsia"/>
                <w:color w:val="000000" w:themeColor="text1"/>
                <w:szCs w:val="21"/>
              </w:rPr>
              <w:t>过去六个月</w:t>
            </w:r>
          </w:p>
        </w:tc>
        <w:tc>
          <w:tcPr>
            <w:tcW w:w="1291" w:type="dxa"/>
            <w:vAlign w:val="center"/>
          </w:tcPr>
          <w:p w:rsidR="005B26BC" w:rsidRDefault="002368F3">
            <w:pPr>
              <w:jc w:val="right"/>
            </w:pPr>
            <w:r>
              <w:rPr>
                <w:rFonts w:eastAsiaTheme="minorEastAsia"/>
                <w:color w:val="000000" w:themeColor="text1"/>
                <w:szCs w:val="21"/>
              </w:rPr>
              <w:t>3.10%</w:t>
            </w:r>
          </w:p>
        </w:tc>
        <w:tc>
          <w:tcPr>
            <w:tcW w:w="1291" w:type="dxa"/>
            <w:vAlign w:val="center"/>
          </w:tcPr>
          <w:p w:rsidR="005B26BC" w:rsidRDefault="002368F3">
            <w:pPr>
              <w:jc w:val="right"/>
            </w:pPr>
            <w:r>
              <w:rPr>
                <w:rFonts w:eastAsiaTheme="minorEastAsia"/>
                <w:color w:val="000000" w:themeColor="text1"/>
                <w:szCs w:val="21"/>
              </w:rPr>
              <w:t>0.32%</w:t>
            </w:r>
          </w:p>
        </w:tc>
        <w:tc>
          <w:tcPr>
            <w:tcW w:w="1291" w:type="dxa"/>
            <w:vAlign w:val="center"/>
          </w:tcPr>
          <w:p w:rsidR="005B26BC" w:rsidRDefault="002368F3">
            <w:pPr>
              <w:jc w:val="right"/>
            </w:pPr>
            <w:r>
              <w:rPr>
                <w:rFonts w:eastAsiaTheme="minorEastAsia"/>
                <w:color w:val="000000" w:themeColor="text1"/>
                <w:szCs w:val="21"/>
              </w:rPr>
              <w:t>-0.75%</w:t>
            </w:r>
          </w:p>
        </w:tc>
        <w:tc>
          <w:tcPr>
            <w:tcW w:w="1291" w:type="dxa"/>
            <w:vAlign w:val="center"/>
          </w:tcPr>
          <w:p w:rsidR="005B26BC" w:rsidRDefault="002368F3">
            <w:pPr>
              <w:jc w:val="right"/>
            </w:pPr>
            <w:r>
              <w:rPr>
                <w:rFonts w:eastAsiaTheme="minorEastAsia"/>
                <w:color w:val="000000" w:themeColor="text1"/>
                <w:szCs w:val="21"/>
              </w:rPr>
              <w:t>0.09%</w:t>
            </w:r>
          </w:p>
        </w:tc>
        <w:tc>
          <w:tcPr>
            <w:tcW w:w="1291" w:type="dxa"/>
            <w:vAlign w:val="center"/>
          </w:tcPr>
          <w:p w:rsidR="005B26BC" w:rsidRDefault="002368F3">
            <w:pPr>
              <w:jc w:val="right"/>
            </w:pPr>
            <w:r>
              <w:rPr>
                <w:rFonts w:eastAsiaTheme="minorEastAsia"/>
                <w:color w:val="000000" w:themeColor="text1"/>
                <w:szCs w:val="21"/>
              </w:rPr>
              <w:t>3.85%</w:t>
            </w:r>
          </w:p>
        </w:tc>
        <w:tc>
          <w:tcPr>
            <w:tcW w:w="1291" w:type="dxa"/>
            <w:vAlign w:val="center"/>
          </w:tcPr>
          <w:p w:rsidR="005B26BC" w:rsidRDefault="002368F3">
            <w:pPr>
              <w:jc w:val="right"/>
            </w:pPr>
            <w:r>
              <w:rPr>
                <w:rFonts w:eastAsiaTheme="minorEastAsia"/>
                <w:color w:val="000000" w:themeColor="text1"/>
                <w:szCs w:val="21"/>
              </w:rPr>
              <w:t>0.23%</w:t>
            </w:r>
          </w:p>
        </w:tc>
      </w:tr>
      <w:tr w:rsidR="005B26BC">
        <w:tc>
          <w:tcPr>
            <w:tcW w:w="1290" w:type="dxa"/>
            <w:vAlign w:val="center"/>
          </w:tcPr>
          <w:p w:rsidR="005B26BC" w:rsidRDefault="002368F3">
            <w:pPr>
              <w:jc w:val="left"/>
            </w:pPr>
            <w:r>
              <w:rPr>
                <w:rFonts w:eastAsiaTheme="minorEastAsia"/>
                <w:color w:val="000000" w:themeColor="text1"/>
                <w:szCs w:val="21"/>
              </w:rPr>
              <w:t>过去一年</w:t>
            </w:r>
          </w:p>
        </w:tc>
        <w:tc>
          <w:tcPr>
            <w:tcW w:w="1291" w:type="dxa"/>
            <w:vAlign w:val="center"/>
          </w:tcPr>
          <w:p w:rsidR="005B26BC" w:rsidRDefault="002368F3">
            <w:pPr>
              <w:jc w:val="right"/>
            </w:pPr>
            <w:r>
              <w:rPr>
                <w:rFonts w:eastAsiaTheme="minorEastAsia"/>
                <w:color w:val="000000" w:themeColor="text1"/>
                <w:szCs w:val="21"/>
              </w:rPr>
              <w:t>2.04%</w:t>
            </w:r>
          </w:p>
        </w:tc>
        <w:tc>
          <w:tcPr>
            <w:tcW w:w="1291" w:type="dxa"/>
            <w:vAlign w:val="center"/>
          </w:tcPr>
          <w:p w:rsidR="005B26BC" w:rsidRDefault="002368F3">
            <w:pPr>
              <w:jc w:val="right"/>
            </w:pPr>
            <w:r>
              <w:rPr>
                <w:rFonts w:eastAsiaTheme="minorEastAsia"/>
                <w:color w:val="000000" w:themeColor="text1"/>
                <w:szCs w:val="21"/>
              </w:rPr>
              <w:t>0.31%</w:t>
            </w:r>
          </w:p>
        </w:tc>
        <w:tc>
          <w:tcPr>
            <w:tcW w:w="1291" w:type="dxa"/>
            <w:vAlign w:val="center"/>
          </w:tcPr>
          <w:p w:rsidR="005B26BC" w:rsidRDefault="002368F3">
            <w:pPr>
              <w:jc w:val="right"/>
            </w:pPr>
            <w:r>
              <w:rPr>
                <w:rFonts w:eastAsiaTheme="minorEastAsia"/>
                <w:color w:val="000000" w:themeColor="text1"/>
                <w:szCs w:val="21"/>
              </w:rPr>
              <w:t>3.04%</w:t>
            </w:r>
          </w:p>
        </w:tc>
        <w:tc>
          <w:tcPr>
            <w:tcW w:w="1291" w:type="dxa"/>
            <w:vAlign w:val="center"/>
          </w:tcPr>
          <w:p w:rsidR="005B26BC" w:rsidRDefault="002368F3">
            <w:pPr>
              <w:jc w:val="right"/>
            </w:pPr>
            <w:r>
              <w:rPr>
                <w:rFonts w:eastAsiaTheme="minorEastAsia"/>
                <w:color w:val="000000" w:themeColor="text1"/>
                <w:szCs w:val="21"/>
              </w:rPr>
              <w:t>0.08%</w:t>
            </w:r>
          </w:p>
        </w:tc>
        <w:tc>
          <w:tcPr>
            <w:tcW w:w="1291" w:type="dxa"/>
            <w:vAlign w:val="center"/>
          </w:tcPr>
          <w:p w:rsidR="005B26BC" w:rsidRDefault="002368F3">
            <w:pPr>
              <w:jc w:val="right"/>
            </w:pPr>
            <w:r>
              <w:rPr>
                <w:rFonts w:eastAsiaTheme="minorEastAsia"/>
                <w:color w:val="000000" w:themeColor="text1"/>
                <w:szCs w:val="21"/>
              </w:rPr>
              <w:t>-1.00%</w:t>
            </w:r>
          </w:p>
        </w:tc>
        <w:tc>
          <w:tcPr>
            <w:tcW w:w="1291" w:type="dxa"/>
            <w:vAlign w:val="center"/>
          </w:tcPr>
          <w:p w:rsidR="005B26BC" w:rsidRDefault="002368F3">
            <w:pPr>
              <w:jc w:val="right"/>
            </w:pPr>
            <w:r>
              <w:rPr>
                <w:rFonts w:eastAsiaTheme="minorEastAsia"/>
                <w:color w:val="000000" w:themeColor="text1"/>
                <w:szCs w:val="21"/>
              </w:rPr>
              <w:t>0.23%</w:t>
            </w:r>
          </w:p>
        </w:tc>
      </w:tr>
      <w:tr w:rsidR="005B26BC">
        <w:tc>
          <w:tcPr>
            <w:tcW w:w="1290" w:type="dxa"/>
            <w:vAlign w:val="center"/>
          </w:tcPr>
          <w:p w:rsidR="005B26BC" w:rsidRDefault="002368F3">
            <w:pPr>
              <w:jc w:val="left"/>
            </w:pPr>
            <w:r>
              <w:rPr>
                <w:rFonts w:eastAsiaTheme="minorEastAsia"/>
                <w:color w:val="000000" w:themeColor="text1"/>
                <w:szCs w:val="21"/>
              </w:rPr>
              <w:t>过去三年</w:t>
            </w:r>
          </w:p>
        </w:tc>
        <w:tc>
          <w:tcPr>
            <w:tcW w:w="1291" w:type="dxa"/>
            <w:vAlign w:val="center"/>
          </w:tcPr>
          <w:p w:rsidR="005B26BC" w:rsidRDefault="002368F3">
            <w:pPr>
              <w:jc w:val="right"/>
            </w:pPr>
            <w:r>
              <w:rPr>
                <w:rFonts w:eastAsiaTheme="minorEastAsia"/>
                <w:color w:val="000000" w:themeColor="text1"/>
                <w:szCs w:val="21"/>
              </w:rPr>
              <w:t>8.35%</w:t>
            </w:r>
          </w:p>
        </w:tc>
        <w:tc>
          <w:tcPr>
            <w:tcW w:w="1291" w:type="dxa"/>
            <w:vAlign w:val="center"/>
          </w:tcPr>
          <w:p w:rsidR="005B26BC" w:rsidRDefault="002368F3">
            <w:pPr>
              <w:jc w:val="right"/>
            </w:pPr>
            <w:r>
              <w:rPr>
                <w:rFonts w:eastAsiaTheme="minorEastAsia"/>
                <w:color w:val="000000" w:themeColor="text1"/>
                <w:szCs w:val="21"/>
              </w:rPr>
              <w:t>0.26%</w:t>
            </w:r>
          </w:p>
        </w:tc>
        <w:tc>
          <w:tcPr>
            <w:tcW w:w="1291" w:type="dxa"/>
            <w:vAlign w:val="center"/>
          </w:tcPr>
          <w:p w:rsidR="005B26BC" w:rsidRDefault="002368F3">
            <w:pPr>
              <w:jc w:val="right"/>
            </w:pPr>
            <w:r>
              <w:rPr>
                <w:rFonts w:eastAsiaTheme="minorEastAsia"/>
                <w:color w:val="000000" w:themeColor="text1"/>
                <w:szCs w:val="21"/>
              </w:rPr>
              <w:t>14.68%</w:t>
            </w:r>
          </w:p>
        </w:tc>
        <w:tc>
          <w:tcPr>
            <w:tcW w:w="1291" w:type="dxa"/>
            <w:vAlign w:val="center"/>
          </w:tcPr>
          <w:p w:rsidR="005B26BC" w:rsidRDefault="002368F3">
            <w:pPr>
              <w:jc w:val="right"/>
            </w:pPr>
            <w:r>
              <w:rPr>
                <w:rFonts w:eastAsiaTheme="minorEastAsia"/>
                <w:color w:val="000000" w:themeColor="text1"/>
                <w:szCs w:val="21"/>
              </w:rPr>
              <w:t>0.07%</w:t>
            </w:r>
          </w:p>
        </w:tc>
        <w:tc>
          <w:tcPr>
            <w:tcW w:w="1291" w:type="dxa"/>
            <w:vAlign w:val="center"/>
          </w:tcPr>
          <w:p w:rsidR="005B26BC" w:rsidRDefault="002368F3">
            <w:pPr>
              <w:jc w:val="right"/>
            </w:pPr>
            <w:r>
              <w:rPr>
                <w:rFonts w:eastAsiaTheme="minorEastAsia"/>
                <w:color w:val="000000" w:themeColor="text1"/>
                <w:szCs w:val="21"/>
              </w:rPr>
              <w:t>-6.33%</w:t>
            </w:r>
          </w:p>
        </w:tc>
        <w:tc>
          <w:tcPr>
            <w:tcW w:w="1291" w:type="dxa"/>
            <w:vAlign w:val="center"/>
          </w:tcPr>
          <w:p w:rsidR="005B26BC" w:rsidRDefault="002368F3">
            <w:pPr>
              <w:jc w:val="right"/>
            </w:pPr>
            <w:r>
              <w:rPr>
                <w:rFonts w:eastAsiaTheme="minorEastAsia"/>
                <w:color w:val="000000" w:themeColor="text1"/>
                <w:szCs w:val="21"/>
              </w:rPr>
              <w:t>0.19%</w:t>
            </w:r>
          </w:p>
        </w:tc>
      </w:tr>
      <w:tr w:rsidR="005B26BC">
        <w:tc>
          <w:tcPr>
            <w:tcW w:w="1290" w:type="dxa"/>
            <w:vAlign w:val="center"/>
          </w:tcPr>
          <w:p w:rsidR="005B26BC" w:rsidRDefault="002368F3">
            <w:pPr>
              <w:jc w:val="left"/>
            </w:pPr>
            <w:r>
              <w:rPr>
                <w:rFonts w:eastAsiaTheme="minorEastAsia"/>
                <w:color w:val="000000" w:themeColor="text1"/>
                <w:szCs w:val="21"/>
              </w:rPr>
              <w:lastRenderedPageBreak/>
              <w:t>过去五年</w:t>
            </w:r>
          </w:p>
        </w:tc>
        <w:tc>
          <w:tcPr>
            <w:tcW w:w="1291" w:type="dxa"/>
            <w:vAlign w:val="center"/>
          </w:tcPr>
          <w:p w:rsidR="005B26BC" w:rsidRDefault="002368F3">
            <w:pPr>
              <w:jc w:val="right"/>
            </w:pPr>
            <w:r>
              <w:rPr>
                <w:rFonts w:eastAsiaTheme="minorEastAsia"/>
                <w:color w:val="000000" w:themeColor="text1"/>
                <w:szCs w:val="21"/>
              </w:rPr>
              <w:t>8.59%</w:t>
            </w:r>
          </w:p>
        </w:tc>
        <w:tc>
          <w:tcPr>
            <w:tcW w:w="1291" w:type="dxa"/>
            <w:vAlign w:val="center"/>
          </w:tcPr>
          <w:p w:rsidR="005B26BC" w:rsidRDefault="002368F3">
            <w:pPr>
              <w:jc w:val="right"/>
            </w:pPr>
            <w:r>
              <w:rPr>
                <w:rFonts w:eastAsiaTheme="minorEastAsia"/>
                <w:color w:val="000000" w:themeColor="text1"/>
                <w:szCs w:val="21"/>
              </w:rPr>
              <w:t>0.29%</w:t>
            </w:r>
          </w:p>
        </w:tc>
        <w:tc>
          <w:tcPr>
            <w:tcW w:w="1291" w:type="dxa"/>
            <w:vAlign w:val="center"/>
          </w:tcPr>
          <w:p w:rsidR="005B26BC" w:rsidRDefault="002368F3">
            <w:pPr>
              <w:jc w:val="right"/>
            </w:pPr>
            <w:r>
              <w:rPr>
                <w:rFonts w:eastAsiaTheme="minorEastAsia"/>
                <w:color w:val="000000" w:themeColor="text1"/>
                <w:szCs w:val="21"/>
              </w:rPr>
              <w:t>20.74%</w:t>
            </w:r>
          </w:p>
        </w:tc>
        <w:tc>
          <w:tcPr>
            <w:tcW w:w="1291" w:type="dxa"/>
            <w:vAlign w:val="center"/>
          </w:tcPr>
          <w:p w:rsidR="005B26BC" w:rsidRDefault="002368F3">
            <w:pPr>
              <w:jc w:val="right"/>
            </w:pPr>
            <w:r>
              <w:rPr>
                <w:rFonts w:eastAsiaTheme="minorEastAsia"/>
                <w:color w:val="000000" w:themeColor="text1"/>
                <w:szCs w:val="21"/>
              </w:rPr>
              <w:t>0.07%</w:t>
            </w:r>
          </w:p>
        </w:tc>
        <w:tc>
          <w:tcPr>
            <w:tcW w:w="1291" w:type="dxa"/>
            <w:vAlign w:val="center"/>
          </w:tcPr>
          <w:p w:rsidR="005B26BC" w:rsidRDefault="002368F3">
            <w:pPr>
              <w:jc w:val="right"/>
            </w:pPr>
            <w:r>
              <w:rPr>
                <w:rFonts w:eastAsiaTheme="minorEastAsia"/>
                <w:color w:val="000000" w:themeColor="text1"/>
                <w:szCs w:val="21"/>
              </w:rPr>
              <w:t>-12.15%</w:t>
            </w:r>
          </w:p>
        </w:tc>
        <w:tc>
          <w:tcPr>
            <w:tcW w:w="1291" w:type="dxa"/>
            <w:vAlign w:val="center"/>
          </w:tcPr>
          <w:p w:rsidR="005B26BC" w:rsidRDefault="002368F3">
            <w:pPr>
              <w:jc w:val="right"/>
            </w:pPr>
            <w:r>
              <w:rPr>
                <w:rFonts w:eastAsiaTheme="minorEastAsia"/>
                <w:color w:val="000000" w:themeColor="text1"/>
                <w:szCs w:val="21"/>
              </w:rPr>
              <w:t>0.22%</w:t>
            </w:r>
          </w:p>
        </w:tc>
      </w:tr>
      <w:tr w:rsidR="005B26BC">
        <w:tc>
          <w:tcPr>
            <w:tcW w:w="1290" w:type="dxa"/>
            <w:vAlign w:val="center"/>
          </w:tcPr>
          <w:p w:rsidR="005B26BC" w:rsidRDefault="002368F3">
            <w:pPr>
              <w:jc w:val="left"/>
            </w:pPr>
            <w:r>
              <w:rPr>
                <w:rFonts w:eastAsiaTheme="minorEastAsia"/>
                <w:color w:val="000000" w:themeColor="text1"/>
                <w:szCs w:val="21"/>
              </w:rPr>
              <w:t>自基金合同生效起至今</w:t>
            </w:r>
          </w:p>
        </w:tc>
        <w:tc>
          <w:tcPr>
            <w:tcW w:w="1291" w:type="dxa"/>
            <w:vAlign w:val="center"/>
          </w:tcPr>
          <w:p w:rsidR="005B26BC" w:rsidRDefault="002368F3">
            <w:pPr>
              <w:jc w:val="right"/>
            </w:pPr>
            <w:r>
              <w:rPr>
                <w:rFonts w:eastAsiaTheme="minorEastAsia"/>
                <w:color w:val="000000" w:themeColor="text1"/>
                <w:szCs w:val="21"/>
              </w:rPr>
              <w:t>45.51%</w:t>
            </w:r>
          </w:p>
        </w:tc>
        <w:tc>
          <w:tcPr>
            <w:tcW w:w="1291" w:type="dxa"/>
            <w:vAlign w:val="center"/>
          </w:tcPr>
          <w:p w:rsidR="005B26BC" w:rsidRDefault="002368F3">
            <w:pPr>
              <w:jc w:val="right"/>
            </w:pPr>
            <w:r>
              <w:rPr>
                <w:rFonts w:eastAsiaTheme="minorEastAsia"/>
                <w:color w:val="000000" w:themeColor="text1"/>
                <w:szCs w:val="21"/>
              </w:rPr>
              <w:t>0.44%</w:t>
            </w:r>
          </w:p>
        </w:tc>
        <w:tc>
          <w:tcPr>
            <w:tcW w:w="1291" w:type="dxa"/>
            <w:vAlign w:val="center"/>
          </w:tcPr>
          <w:p w:rsidR="005B26BC" w:rsidRDefault="002368F3">
            <w:pPr>
              <w:jc w:val="right"/>
            </w:pPr>
            <w:r>
              <w:rPr>
                <w:rFonts w:eastAsiaTheme="minorEastAsia"/>
                <w:color w:val="000000" w:themeColor="text1"/>
                <w:szCs w:val="21"/>
              </w:rPr>
              <w:t>32.33%</w:t>
            </w:r>
          </w:p>
        </w:tc>
        <w:tc>
          <w:tcPr>
            <w:tcW w:w="1291" w:type="dxa"/>
            <w:vAlign w:val="center"/>
          </w:tcPr>
          <w:p w:rsidR="005B26BC" w:rsidRDefault="002368F3">
            <w:pPr>
              <w:jc w:val="right"/>
            </w:pPr>
            <w:r>
              <w:rPr>
                <w:rFonts w:eastAsiaTheme="minorEastAsia"/>
                <w:color w:val="000000" w:themeColor="text1"/>
                <w:szCs w:val="21"/>
              </w:rPr>
              <w:t>0.09%</w:t>
            </w:r>
          </w:p>
        </w:tc>
        <w:tc>
          <w:tcPr>
            <w:tcW w:w="1291" w:type="dxa"/>
            <w:vAlign w:val="center"/>
          </w:tcPr>
          <w:p w:rsidR="005B26BC" w:rsidRDefault="002368F3">
            <w:pPr>
              <w:jc w:val="right"/>
            </w:pPr>
            <w:r>
              <w:rPr>
                <w:rFonts w:eastAsiaTheme="minorEastAsia"/>
                <w:color w:val="000000" w:themeColor="text1"/>
                <w:szCs w:val="21"/>
              </w:rPr>
              <w:t>13.18%</w:t>
            </w:r>
          </w:p>
        </w:tc>
        <w:tc>
          <w:tcPr>
            <w:tcW w:w="1291" w:type="dxa"/>
            <w:vAlign w:val="center"/>
          </w:tcPr>
          <w:p w:rsidR="005B26BC" w:rsidRDefault="002368F3">
            <w:pPr>
              <w:jc w:val="right"/>
            </w:pPr>
            <w:r>
              <w:rPr>
                <w:rFonts w:eastAsiaTheme="minorEastAsia"/>
                <w:color w:val="000000" w:themeColor="text1"/>
                <w:szCs w:val="21"/>
              </w:rPr>
              <w:t>0.35%</w:t>
            </w:r>
          </w:p>
        </w:tc>
      </w:tr>
    </w:tbl>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注：数据截止到</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w:t>
      </w:r>
      <w:r>
        <w:rPr>
          <w:rFonts w:eastAsiaTheme="minorEastAsia"/>
          <w:color w:val="000000" w:themeColor="text1"/>
          <w:szCs w:val="21"/>
        </w:rPr>
        <w:t>.</w:t>
      </w:r>
    </w:p>
    <w:p w:rsidR="005E6DF3" w:rsidRDefault="005C671B">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5"/>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5E6DF3" w:rsidRDefault="005C671B">
      <w:pPr>
        <w:spacing w:line="360" w:lineRule="auto"/>
        <w:jc w:val="center"/>
        <w:rPr>
          <w:rFonts w:eastAsiaTheme="minorEastAsia"/>
          <w:color w:val="000000" w:themeColor="text1"/>
          <w:szCs w:val="21"/>
        </w:rPr>
      </w:pPr>
      <w:r>
        <w:rPr>
          <w:rFonts w:eastAsiaTheme="minorEastAsia"/>
          <w:color w:val="000000" w:themeColor="text1"/>
          <w:szCs w:val="21"/>
        </w:rPr>
        <w:t>上投摩根优信增利债券型证券投资基金</w:t>
      </w:r>
    </w:p>
    <w:p w:rsidR="005E6DF3" w:rsidRDefault="005C671B">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5E6DF3" w:rsidRDefault="005C671B">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(2014</w:t>
      </w:r>
      <w:r>
        <w:rPr>
          <w:rFonts w:ascii="Times New Roman" w:eastAsiaTheme="minorEastAsia" w:hAnsi="Times New Roman"/>
          <w:color w:val="000000" w:themeColor="text1"/>
        </w:rPr>
        <w:t>年</w:t>
      </w:r>
      <w:r>
        <w:rPr>
          <w:rFonts w:ascii="Times New Roman" w:eastAsiaTheme="minorEastAsia" w:hAnsi="Times New Roman"/>
          <w:color w:val="000000" w:themeColor="text1"/>
        </w:rPr>
        <w:t>6</w:t>
      </w:r>
      <w:r>
        <w:rPr>
          <w:rFonts w:ascii="Times New Roman" w:eastAsiaTheme="minorEastAsia" w:hAnsi="Times New Roman"/>
          <w:color w:val="000000" w:themeColor="text1"/>
        </w:rPr>
        <w:t>月</w:t>
      </w:r>
      <w:r>
        <w:rPr>
          <w:rFonts w:ascii="Times New Roman" w:eastAsiaTheme="minorEastAsia" w:hAnsi="Times New Roman"/>
          <w:color w:val="000000" w:themeColor="text1"/>
        </w:rPr>
        <w:t>11</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2020</w:t>
      </w:r>
      <w:r>
        <w:rPr>
          <w:rFonts w:ascii="Times New Roman" w:eastAsiaTheme="minorEastAsia" w:hAnsi="Times New Roman"/>
          <w:color w:val="000000" w:themeColor="text1"/>
        </w:rPr>
        <w:t>年</w:t>
      </w:r>
      <w:r>
        <w:rPr>
          <w:rFonts w:ascii="Times New Roman" w:eastAsiaTheme="minorEastAsia" w:hAnsi="Times New Roman"/>
          <w:color w:val="000000" w:themeColor="text1"/>
        </w:rPr>
        <w:t>9</w:t>
      </w:r>
      <w:r>
        <w:rPr>
          <w:rFonts w:ascii="Times New Roman" w:eastAsiaTheme="minorEastAsia" w:hAnsi="Times New Roman"/>
          <w:color w:val="000000" w:themeColor="text1"/>
        </w:rPr>
        <w:t>月</w:t>
      </w:r>
      <w:r>
        <w:rPr>
          <w:rFonts w:ascii="Times New Roman" w:eastAsiaTheme="minorEastAsia" w:hAnsi="Times New Roman"/>
          <w:color w:val="000000" w:themeColor="text1"/>
        </w:rPr>
        <w:t>24</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5E6DF3" w:rsidRDefault="005C671B">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．上投摩根优信增利债券</w:t>
      </w:r>
      <w:r>
        <w:rPr>
          <w:rFonts w:eastAsiaTheme="minorEastAsia"/>
          <w:color w:val="000000" w:themeColor="text1"/>
          <w:szCs w:val="21"/>
        </w:rPr>
        <w:t>A</w:t>
      </w:r>
      <w:r>
        <w:rPr>
          <w:rFonts w:eastAsiaTheme="minorEastAsia"/>
          <w:color w:val="000000" w:themeColor="text1"/>
          <w:szCs w:val="21"/>
        </w:rPr>
        <w:t>：</w:t>
      </w:r>
    </w:p>
    <w:p w:rsidR="005E6DF3"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B26BC" w:rsidRDefault="002368F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w:t>
      </w:r>
      <w:r w:rsidRPr="002368F3">
        <w:rPr>
          <w:rFonts w:eastAsiaTheme="minorEastAsia" w:hint="eastAsia"/>
          <w:color w:val="000000" w:themeColor="text1"/>
          <w:szCs w:val="21"/>
        </w:rPr>
        <w:t>本基金运作终止日为</w:t>
      </w:r>
      <w:r w:rsidRPr="002368F3">
        <w:rPr>
          <w:rFonts w:eastAsiaTheme="minorEastAsia" w:hint="eastAsia"/>
          <w:color w:val="000000" w:themeColor="text1"/>
          <w:szCs w:val="21"/>
        </w:rPr>
        <w:t>2020</w:t>
      </w:r>
      <w:r w:rsidRPr="002368F3">
        <w:rPr>
          <w:rFonts w:eastAsiaTheme="minorEastAsia" w:hint="eastAsia"/>
          <w:color w:val="000000" w:themeColor="text1"/>
          <w:szCs w:val="21"/>
        </w:rPr>
        <w:t>年</w:t>
      </w:r>
      <w:r w:rsidRPr="002368F3">
        <w:rPr>
          <w:rFonts w:eastAsiaTheme="minorEastAsia" w:hint="eastAsia"/>
          <w:color w:val="000000" w:themeColor="text1"/>
          <w:szCs w:val="21"/>
        </w:rPr>
        <w:t>9</w:t>
      </w:r>
      <w:r w:rsidRPr="002368F3">
        <w:rPr>
          <w:rFonts w:eastAsiaTheme="minorEastAsia" w:hint="eastAsia"/>
          <w:color w:val="000000" w:themeColor="text1"/>
          <w:szCs w:val="21"/>
        </w:rPr>
        <w:t>月</w:t>
      </w:r>
      <w:r w:rsidRPr="002368F3">
        <w:rPr>
          <w:rFonts w:eastAsiaTheme="minorEastAsia" w:hint="eastAsia"/>
          <w:color w:val="000000" w:themeColor="text1"/>
          <w:szCs w:val="21"/>
        </w:rPr>
        <w:t>24</w:t>
      </w:r>
      <w:r w:rsidRPr="002368F3">
        <w:rPr>
          <w:rFonts w:eastAsiaTheme="minorEastAsia" w:hint="eastAsia"/>
          <w:color w:val="000000" w:themeColor="text1"/>
          <w:szCs w:val="21"/>
        </w:rPr>
        <w:t>日，</w:t>
      </w:r>
      <w:r>
        <w:rPr>
          <w:rFonts w:eastAsiaTheme="minorEastAsia"/>
          <w:color w:val="000000" w:themeColor="text1"/>
          <w:szCs w:val="21"/>
        </w:rPr>
        <w:t>图示时间段为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日。本基金建仓期自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日，建仓期结束时资产配置比例符合本基金基金合同规定。</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5E6DF3" w:rsidRDefault="005C671B">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．上投摩根优信增利债券</w:t>
      </w:r>
      <w:r>
        <w:rPr>
          <w:rFonts w:eastAsiaTheme="minorEastAsia"/>
          <w:color w:val="000000" w:themeColor="text1"/>
          <w:szCs w:val="21"/>
        </w:rPr>
        <w:t>C</w:t>
      </w:r>
      <w:r>
        <w:rPr>
          <w:rFonts w:eastAsiaTheme="minorEastAsia"/>
          <w:color w:val="000000" w:themeColor="text1"/>
          <w:szCs w:val="21"/>
        </w:rPr>
        <w:t>：</w:t>
      </w:r>
    </w:p>
    <w:p w:rsidR="005E6DF3"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B26BC" w:rsidRDefault="002368F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w:t>
      </w:r>
      <w:r w:rsidRPr="002368F3">
        <w:rPr>
          <w:rFonts w:eastAsiaTheme="minorEastAsia" w:hint="eastAsia"/>
          <w:color w:val="000000" w:themeColor="text1"/>
          <w:szCs w:val="21"/>
        </w:rPr>
        <w:t>本基金运作终止日为</w:t>
      </w:r>
      <w:r w:rsidRPr="002368F3">
        <w:rPr>
          <w:rFonts w:eastAsiaTheme="minorEastAsia" w:hint="eastAsia"/>
          <w:color w:val="000000" w:themeColor="text1"/>
          <w:szCs w:val="21"/>
        </w:rPr>
        <w:t>2020</w:t>
      </w:r>
      <w:r w:rsidRPr="002368F3">
        <w:rPr>
          <w:rFonts w:eastAsiaTheme="minorEastAsia" w:hint="eastAsia"/>
          <w:color w:val="000000" w:themeColor="text1"/>
          <w:szCs w:val="21"/>
        </w:rPr>
        <w:t>年</w:t>
      </w:r>
      <w:r w:rsidRPr="002368F3">
        <w:rPr>
          <w:rFonts w:eastAsiaTheme="minorEastAsia" w:hint="eastAsia"/>
          <w:color w:val="000000" w:themeColor="text1"/>
          <w:szCs w:val="21"/>
        </w:rPr>
        <w:t>9</w:t>
      </w:r>
      <w:r w:rsidRPr="002368F3">
        <w:rPr>
          <w:rFonts w:eastAsiaTheme="minorEastAsia" w:hint="eastAsia"/>
          <w:color w:val="000000" w:themeColor="text1"/>
          <w:szCs w:val="21"/>
        </w:rPr>
        <w:t>月</w:t>
      </w:r>
      <w:r w:rsidRPr="002368F3">
        <w:rPr>
          <w:rFonts w:eastAsiaTheme="minorEastAsia" w:hint="eastAsia"/>
          <w:color w:val="000000" w:themeColor="text1"/>
          <w:szCs w:val="21"/>
        </w:rPr>
        <w:t>24</w:t>
      </w:r>
      <w:r w:rsidRPr="002368F3">
        <w:rPr>
          <w:rFonts w:eastAsiaTheme="minorEastAsia" w:hint="eastAsia"/>
          <w:color w:val="000000" w:themeColor="text1"/>
          <w:szCs w:val="21"/>
        </w:rPr>
        <w:t>日，</w:t>
      </w:r>
      <w:r>
        <w:rPr>
          <w:rFonts w:eastAsiaTheme="minorEastAsia"/>
          <w:color w:val="000000" w:themeColor="text1"/>
          <w:szCs w:val="21"/>
        </w:rPr>
        <w:t>图示时间段为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日。本基金建仓期自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日，建仓期结束时资产配置比例符合本基金基金合同规定。</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5E6DF3" w:rsidRDefault="005E6DF3">
      <w:pPr>
        <w:tabs>
          <w:tab w:val="left" w:pos="1800"/>
        </w:tabs>
        <w:spacing w:line="288" w:lineRule="auto"/>
        <w:rPr>
          <w:rFonts w:eastAsiaTheme="minorEastAsia"/>
          <w:color w:val="000000" w:themeColor="text1"/>
          <w:szCs w:val="21"/>
        </w:rPr>
      </w:pP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tc>
          <w:tcPr>
            <w:tcW w:w="952"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5E6DF3">
        <w:tc>
          <w:tcPr>
            <w:tcW w:w="952" w:type="dxa"/>
            <w:vMerge/>
            <w:vAlign w:val="center"/>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B26BC">
        <w:tc>
          <w:tcPr>
            <w:tcW w:w="952" w:type="dxa"/>
            <w:vAlign w:val="center"/>
          </w:tcPr>
          <w:p w:rsidR="005B26BC" w:rsidRDefault="002368F3">
            <w:pPr>
              <w:jc w:val="center"/>
            </w:pPr>
            <w:r>
              <w:rPr>
                <w:rFonts w:eastAsiaTheme="minorEastAsia"/>
                <w:color w:val="000000" w:themeColor="text1"/>
                <w:szCs w:val="21"/>
              </w:rPr>
              <w:t>唐瑭</w:t>
            </w:r>
          </w:p>
        </w:tc>
        <w:tc>
          <w:tcPr>
            <w:tcW w:w="930" w:type="dxa"/>
            <w:vAlign w:val="center"/>
          </w:tcPr>
          <w:p w:rsidR="005B26BC" w:rsidRDefault="002368F3">
            <w:pPr>
              <w:jc w:val="center"/>
            </w:pPr>
            <w:r>
              <w:rPr>
                <w:rFonts w:eastAsiaTheme="minorEastAsia"/>
                <w:color w:val="000000" w:themeColor="text1"/>
                <w:szCs w:val="21"/>
              </w:rPr>
              <w:t>本基金基金经理</w:t>
            </w:r>
          </w:p>
        </w:tc>
        <w:tc>
          <w:tcPr>
            <w:tcW w:w="1210" w:type="dxa"/>
            <w:vAlign w:val="center"/>
          </w:tcPr>
          <w:p w:rsidR="005B26BC" w:rsidRDefault="002368F3">
            <w:pPr>
              <w:jc w:val="center"/>
            </w:pPr>
            <w:r>
              <w:rPr>
                <w:rFonts w:eastAsiaTheme="minorEastAsia"/>
                <w:color w:val="000000" w:themeColor="text1"/>
                <w:szCs w:val="21"/>
              </w:rPr>
              <w:t>2019-04-12</w:t>
            </w:r>
          </w:p>
        </w:tc>
        <w:tc>
          <w:tcPr>
            <w:tcW w:w="1309" w:type="dxa"/>
            <w:vAlign w:val="center"/>
          </w:tcPr>
          <w:p w:rsidR="005B26BC" w:rsidRDefault="002368F3">
            <w:pPr>
              <w:jc w:val="center"/>
            </w:pPr>
            <w:r>
              <w:rPr>
                <w:rFonts w:eastAsiaTheme="minorEastAsia"/>
                <w:color w:val="000000" w:themeColor="text1"/>
                <w:szCs w:val="21"/>
              </w:rPr>
              <w:t>-</w:t>
            </w:r>
          </w:p>
        </w:tc>
        <w:tc>
          <w:tcPr>
            <w:tcW w:w="1254" w:type="dxa"/>
            <w:vAlign w:val="center"/>
          </w:tcPr>
          <w:p w:rsidR="005B26BC" w:rsidRDefault="002368F3">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5B26BC" w:rsidRDefault="002368F3">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月担任上投摩根强化回报债</w:t>
            </w:r>
            <w:r>
              <w:rPr>
                <w:rFonts w:eastAsiaTheme="minorEastAsia"/>
                <w:color w:val="000000" w:themeColor="text1"/>
                <w:szCs w:val="21"/>
              </w:rPr>
              <w:lastRenderedPageBreak/>
              <w:t>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月起同时担任上投摩根分红添利债券型证券投资基金及上投摩根纯债添利债券型证券投资基金基金经理，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月担任上投摩根安泽回报混合型证券投资基金基金经理，自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月担任上投摩根安腾回报混合型证券投资基金基金经理，自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月起同时担任上投摩根优信增利债券型证券投资基金和上投摩根安鑫回报混合型证券投资基金基金经理，自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月起同时担任上投摩根瑞利纯债债券型证券投资基金基金经理。</w:t>
            </w:r>
          </w:p>
        </w:tc>
      </w:tr>
      <w:tr w:rsidR="005B26BC">
        <w:tc>
          <w:tcPr>
            <w:tcW w:w="952" w:type="dxa"/>
            <w:vAlign w:val="center"/>
          </w:tcPr>
          <w:p w:rsidR="005B26BC" w:rsidRDefault="002368F3">
            <w:pPr>
              <w:jc w:val="center"/>
            </w:pPr>
            <w:r>
              <w:rPr>
                <w:rFonts w:eastAsiaTheme="minorEastAsia"/>
                <w:color w:val="000000" w:themeColor="text1"/>
                <w:szCs w:val="21"/>
              </w:rPr>
              <w:lastRenderedPageBreak/>
              <w:t>杨鑫</w:t>
            </w:r>
          </w:p>
        </w:tc>
        <w:tc>
          <w:tcPr>
            <w:tcW w:w="930" w:type="dxa"/>
            <w:vAlign w:val="center"/>
          </w:tcPr>
          <w:p w:rsidR="005B26BC" w:rsidRDefault="002368F3">
            <w:pPr>
              <w:jc w:val="center"/>
            </w:pPr>
            <w:r>
              <w:rPr>
                <w:rFonts w:eastAsiaTheme="minorEastAsia"/>
                <w:color w:val="000000" w:themeColor="text1"/>
                <w:szCs w:val="21"/>
              </w:rPr>
              <w:t>本基金基金经理</w:t>
            </w:r>
          </w:p>
        </w:tc>
        <w:tc>
          <w:tcPr>
            <w:tcW w:w="1210" w:type="dxa"/>
            <w:vAlign w:val="center"/>
          </w:tcPr>
          <w:p w:rsidR="005B26BC" w:rsidRDefault="002368F3">
            <w:pPr>
              <w:jc w:val="center"/>
            </w:pPr>
            <w:r>
              <w:rPr>
                <w:rFonts w:eastAsiaTheme="minorEastAsia"/>
                <w:color w:val="000000" w:themeColor="text1"/>
                <w:szCs w:val="21"/>
              </w:rPr>
              <w:t>2020-01-14</w:t>
            </w:r>
          </w:p>
        </w:tc>
        <w:tc>
          <w:tcPr>
            <w:tcW w:w="1309" w:type="dxa"/>
            <w:vAlign w:val="center"/>
          </w:tcPr>
          <w:p w:rsidR="005B26BC" w:rsidRDefault="002368F3">
            <w:pPr>
              <w:jc w:val="center"/>
            </w:pPr>
            <w:r>
              <w:rPr>
                <w:rFonts w:eastAsiaTheme="minorEastAsia"/>
                <w:color w:val="000000" w:themeColor="text1"/>
                <w:szCs w:val="21"/>
              </w:rPr>
              <w:t>-</w:t>
            </w:r>
          </w:p>
        </w:tc>
        <w:tc>
          <w:tcPr>
            <w:tcW w:w="1254" w:type="dxa"/>
            <w:vAlign w:val="center"/>
          </w:tcPr>
          <w:p w:rsidR="005B26BC" w:rsidRDefault="002368F3">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5B26BC" w:rsidRDefault="002368F3">
            <w:r>
              <w:rPr>
                <w:rFonts w:eastAsiaTheme="minorEastAsia"/>
                <w:color w:val="000000" w:themeColor="text1"/>
                <w:szCs w:val="21"/>
              </w:rPr>
              <w:t>杨鑫先生，上海交通大学硕士，现任债券投资部副总监兼资深基金经理。杨鑫先生自</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月，在东航财务公司任职；</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月，在银河基金管理有限公司历任债券研究员、固定收益部债券经理、固定收益部基金经理；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月，在富国基金管理有限公司拟任基金经理；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月起加入上投摩根基金管理有限公司，历任专户投资二部副总监兼资深投资经理，现任债券投资部副总监兼资深基金经理。自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月起任上投摩根优信增利债券型证券投资基金基金经理，</w:t>
            </w:r>
            <w:r>
              <w:rPr>
                <w:rFonts w:eastAsiaTheme="minorEastAsia"/>
                <w:color w:val="000000" w:themeColor="text1"/>
                <w:szCs w:val="21"/>
              </w:rPr>
              <w:lastRenderedPageBreak/>
              <w:t>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月起同时担任上投摩根双债增利债券型证券投资基金、上投摩根分红添利债券型证券投资基金及上投摩根安丰回报混合型证券投资基金基金经理，自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月起同时担任上投摩根安鑫回报混合型证券投资基金基金经理。</w:t>
            </w:r>
          </w:p>
        </w:tc>
      </w:tr>
    </w:tbl>
    <w:p w:rsidR="005B26BC" w:rsidRDefault="002368F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优信增利债券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5B26BC" w:rsidRDefault="002368F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B26BC" w:rsidRDefault="002368F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lastRenderedPageBreak/>
        <w:t xml:space="preserve">4.3.2 </w:t>
      </w:r>
      <w:r>
        <w:rPr>
          <w:rFonts w:eastAsiaTheme="minorEastAsia"/>
          <w:color w:val="000000" w:themeColor="text1"/>
          <w:szCs w:val="21"/>
        </w:rPr>
        <w:t>异常交易行为的专项说明</w:t>
      </w:r>
    </w:p>
    <w:p w:rsidR="005B26BC" w:rsidRDefault="002368F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5B26BC" w:rsidRDefault="002368F3">
      <w:pPr>
        <w:spacing w:line="360" w:lineRule="auto"/>
        <w:ind w:firstLineChars="200" w:firstLine="420"/>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年三季度，股票市场宽幅震荡，上证综指上涨</w:t>
      </w:r>
      <w:r>
        <w:rPr>
          <w:rFonts w:eastAsiaTheme="minorEastAsia"/>
          <w:color w:val="000000" w:themeColor="text1"/>
          <w:szCs w:val="21"/>
        </w:rPr>
        <w:t>7.82%</w:t>
      </w:r>
      <w:r>
        <w:rPr>
          <w:rFonts w:eastAsiaTheme="minorEastAsia"/>
          <w:color w:val="000000" w:themeColor="text1"/>
          <w:szCs w:val="21"/>
        </w:rPr>
        <w:t>，创业板指上涨</w:t>
      </w:r>
      <w:r>
        <w:rPr>
          <w:rFonts w:eastAsiaTheme="minorEastAsia"/>
          <w:color w:val="000000" w:themeColor="text1"/>
          <w:szCs w:val="21"/>
        </w:rPr>
        <w:t>5.6%</w:t>
      </w:r>
      <w:r>
        <w:rPr>
          <w:rFonts w:eastAsiaTheme="minorEastAsia"/>
          <w:color w:val="000000" w:themeColor="text1"/>
          <w:szCs w:val="21"/>
        </w:rPr>
        <w:t>，表现弱于主板。债券市场延续跌势，利率债各期限收益率持续上行，</w:t>
      </w:r>
      <w:r>
        <w:rPr>
          <w:rFonts w:eastAsiaTheme="minorEastAsia"/>
          <w:color w:val="000000" w:themeColor="text1"/>
          <w:szCs w:val="21"/>
        </w:rPr>
        <w:t>10</w:t>
      </w:r>
      <w:r>
        <w:rPr>
          <w:rFonts w:eastAsiaTheme="minorEastAsia"/>
          <w:color w:val="000000" w:themeColor="text1"/>
          <w:szCs w:val="21"/>
        </w:rPr>
        <w:t>年期国债</w:t>
      </w:r>
      <w:r>
        <w:rPr>
          <w:rFonts w:eastAsiaTheme="minorEastAsia"/>
          <w:color w:val="000000" w:themeColor="text1"/>
          <w:szCs w:val="21"/>
        </w:rPr>
        <w:t>/</w:t>
      </w:r>
      <w:r>
        <w:rPr>
          <w:rFonts w:eastAsiaTheme="minorEastAsia"/>
          <w:color w:val="000000" w:themeColor="text1"/>
          <w:szCs w:val="21"/>
        </w:rPr>
        <w:t>国开债分别上行</w:t>
      </w:r>
      <w:r>
        <w:rPr>
          <w:rFonts w:eastAsiaTheme="minorEastAsia"/>
          <w:color w:val="000000" w:themeColor="text1"/>
          <w:szCs w:val="21"/>
        </w:rPr>
        <w:t>30bp/60bp</w:t>
      </w:r>
      <w:r>
        <w:rPr>
          <w:rFonts w:eastAsiaTheme="minorEastAsia"/>
          <w:color w:val="000000" w:themeColor="text1"/>
          <w:szCs w:val="21"/>
        </w:rPr>
        <w:t>；而信用债调整幅度较小。</w:t>
      </w:r>
      <w:r>
        <w:rPr>
          <w:rFonts w:eastAsiaTheme="minorEastAsia"/>
          <w:color w:val="000000" w:themeColor="text1"/>
          <w:szCs w:val="21"/>
        </w:rPr>
        <w:t>7-9</w:t>
      </w:r>
      <w:r>
        <w:rPr>
          <w:rFonts w:eastAsiaTheme="minorEastAsia"/>
          <w:color w:val="000000" w:themeColor="text1"/>
          <w:szCs w:val="21"/>
        </w:rPr>
        <w:t>月经济指标整体延续恢复，改善力度边际放缓；增长结构上，房地产土地成交与新房销售较好，资金端改善支撑基建投资稳健反弹，汽车产销同步出现大幅改善。消费整体修复偏缓。年内实际</w:t>
      </w:r>
      <w:r>
        <w:rPr>
          <w:rFonts w:eastAsiaTheme="minorEastAsia"/>
          <w:color w:val="000000" w:themeColor="text1"/>
          <w:szCs w:val="21"/>
        </w:rPr>
        <w:t>GDP</w:t>
      </w:r>
      <w:r>
        <w:rPr>
          <w:rFonts w:eastAsiaTheme="minorEastAsia"/>
          <w:color w:val="000000" w:themeColor="text1"/>
          <w:szCs w:val="21"/>
        </w:rPr>
        <w:t>同比延续反弹。央行货币政策表述更趋中性，总量上，下半年社融、新增信贷增速面临回落；价格工具上，短端利率趋于稳定，</w:t>
      </w:r>
      <w:r>
        <w:rPr>
          <w:rFonts w:eastAsiaTheme="minorEastAsia"/>
          <w:color w:val="000000" w:themeColor="text1"/>
          <w:szCs w:val="21"/>
        </w:rPr>
        <w:t>9</w:t>
      </w:r>
      <w:r>
        <w:rPr>
          <w:rFonts w:eastAsiaTheme="minorEastAsia"/>
          <w:color w:val="000000" w:themeColor="text1"/>
          <w:szCs w:val="21"/>
        </w:rPr>
        <w:t>月季末资金面平稳度过。海外疫情虽有反弹，但并未出现大力度的经济关停政策，疫苗相关进展积极。</w:t>
      </w:r>
    </w:p>
    <w:p w:rsidR="005B26BC" w:rsidRDefault="002368F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本基金在报告期内债券部分以短久期高等级信用债配置为主，权益仓位维持中性偏高的配置。</w:t>
      </w:r>
    </w:p>
    <w:p w:rsidR="005B26BC" w:rsidRDefault="002368F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国内经济预计继续缓慢恢复。全国疫情基本受控，虽有局部发生但不会改变整体局势，疫苗研制进展良好。对于国内来说，为了控制宏观杠杆率因疫情导致的快速上升，货币政策早已向回归常态转变，但出现过紧的可能性不高。由于货币政策的收紧，以及中芯、蚂蚁等大盘股的发行，股市和债市在三季度同时承压。后续市场走势预计将回归由基本面驱动。</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本基金将继续保持当前的股票和债券配置，力争提供稳健收益。</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5B26BC" w:rsidRDefault="002368F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本报告期上投摩根优信增利债券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:0.58%</w:t>
      </w:r>
      <w:r>
        <w:rPr>
          <w:rFonts w:eastAsiaTheme="minorEastAsia"/>
          <w:color w:val="000000" w:themeColor="text1"/>
          <w:szCs w:val="21"/>
        </w:rPr>
        <w:t>，同期业绩比较基准收益率为</w:t>
      </w:r>
      <w:r>
        <w:rPr>
          <w:rFonts w:eastAsiaTheme="minorEastAsia"/>
          <w:color w:val="000000" w:themeColor="text1"/>
          <w:szCs w:val="21"/>
        </w:rPr>
        <w:t>:-0.50%,</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上投摩根优信增利债券</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:0.67%</w:t>
      </w:r>
      <w:r>
        <w:rPr>
          <w:rFonts w:eastAsiaTheme="minorEastAsia"/>
          <w:color w:val="000000" w:themeColor="text1"/>
          <w:szCs w:val="21"/>
        </w:rPr>
        <w:t>，同期业绩比较基准收益率为</w:t>
      </w:r>
      <w:r>
        <w:rPr>
          <w:rFonts w:eastAsiaTheme="minorEastAsia"/>
          <w:color w:val="000000" w:themeColor="text1"/>
          <w:szCs w:val="21"/>
        </w:rPr>
        <w:t>:-0.50%</w:t>
      </w:r>
      <w:r>
        <w:rPr>
          <w:rFonts w:eastAsiaTheme="minorEastAsia"/>
          <w:color w:val="000000" w:themeColor="text1"/>
          <w:szCs w:val="21"/>
        </w:rPr>
        <w:t>。</w:t>
      </w:r>
    </w:p>
    <w:p w:rsidR="005E6DF3" w:rsidRDefault="005E6DF3">
      <w:pPr>
        <w:spacing w:line="360" w:lineRule="auto"/>
        <w:ind w:firstLineChars="200" w:firstLine="420"/>
        <w:rPr>
          <w:rFonts w:eastAsiaTheme="minorEastAsia"/>
          <w:color w:val="000000" w:themeColor="text1"/>
          <w:szCs w:val="21"/>
        </w:rPr>
      </w:pPr>
    </w:p>
    <w:p w:rsidR="005E6DF3" w:rsidRDefault="005C671B">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5E6DF3" w:rsidRDefault="005C671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无。</w:t>
      </w:r>
    </w:p>
    <w:p w:rsidR="005E6DF3" w:rsidRDefault="005E6DF3">
      <w:pPr>
        <w:spacing w:line="360" w:lineRule="auto"/>
        <w:ind w:firstLineChars="200" w:firstLine="420"/>
        <w:rPr>
          <w:rFonts w:asciiTheme="minorEastAsia" w:eastAsiaTheme="minorEastAsia" w:hAnsiTheme="minorEastAsia"/>
          <w:color w:val="000000" w:themeColor="text1"/>
          <w:szCs w:val="21"/>
        </w:rPr>
      </w:pP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§5  </w:t>
      </w:r>
      <w:r>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1,449,855.00</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23.11</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1,449,855.00</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23.11</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5E6DF3" w:rsidRDefault="005C671B">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4,339,436.93</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69.17</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5E6DF3" w:rsidRDefault="005C671B">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484,490.16</w:t>
            </w:r>
          </w:p>
        </w:tc>
        <w:tc>
          <w:tcPr>
            <w:tcW w:w="1843"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7.72</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5E6DF3" w:rsidRDefault="005C671B">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6,273,782.09</w:t>
            </w:r>
          </w:p>
        </w:tc>
        <w:tc>
          <w:tcPr>
            <w:tcW w:w="1843"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100.00</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5E6DF3" w:rsidRDefault="005C671B">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lastRenderedPageBreak/>
              <w:t>2</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1,449,855.00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23.71</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1,449,855.00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23.71</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tc>
          <w:tcPr>
            <w:tcW w:w="1504"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5B26BC">
        <w:tc>
          <w:tcPr>
            <w:tcW w:w="1504" w:type="dxa"/>
            <w:vAlign w:val="center"/>
          </w:tcPr>
          <w:p w:rsidR="005B26BC" w:rsidRDefault="002368F3">
            <w:pPr>
              <w:jc w:val="center"/>
            </w:pPr>
            <w:r>
              <w:rPr>
                <w:rFonts w:eastAsiaTheme="minorEastAsia"/>
                <w:color w:val="000000" w:themeColor="text1"/>
                <w:szCs w:val="21"/>
              </w:rPr>
              <w:t>1</w:t>
            </w:r>
          </w:p>
        </w:tc>
        <w:tc>
          <w:tcPr>
            <w:tcW w:w="1504" w:type="dxa"/>
            <w:vAlign w:val="center"/>
          </w:tcPr>
          <w:p w:rsidR="005B26BC" w:rsidRDefault="002368F3">
            <w:pPr>
              <w:jc w:val="center"/>
            </w:pPr>
            <w:r>
              <w:rPr>
                <w:rFonts w:eastAsiaTheme="minorEastAsia"/>
                <w:color w:val="000000" w:themeColor="text1"/>
                <w:szCs w:val="21"/>
              </w:rPr>
              <w:t>112285</w:t>
            </w:r>
          </w:p>
        </w:tc>
        <w:tc>
          <w:tcPr>
            <w:tcW w:w="1504" w:type="dxa"/>
            <w:vAlign w:val="center"/>
          </w:tcPr>
          <w:p w:rsidR="005B26BC" w:rsidRDefault="002368F3">
            <w:pPr>
              <w:jc w:val="center"/>
            </w:pPr>
            <w:r>
              <w:rPr>
                <w:rFonts w:eastAsiaTheme="minorEastAsia"/>
                <w:color w:val="000000" w:themeColor="text1"/>
                <w:szCs w:val="21"/>
              </w:rPr>
              <w:t>15</w:t>
            </w:r>
            <w:r>
              <w:rPr>
                <w:rFonts w:eastAsiaTheme="minorEastAsia"/>
                <w:color w:val="000000" w:themeColor="text1"/>
                <w:szCs w:val="21"/>
              </w:rPr>
              <w:t>万科</w:t>
            </w:r>
            <w:r>
              <w:rPr>
                <w:rFonts w:eastAsiaTheme="minorEastAsia"/>
                <w:color w:val="000000" w:themeColor="text1"/>
                <w:szCs w:val="21"/>
              </w:rPr>
              <w:t>01</w:t>
            </w:r>
          </w:p>
        </w:tc>
        <w:tc>
          <w:tcPr>
            <w:tcW w:w="1503" w:type="dxa"/>
            <w:vAlign w:val="center"/>
          </w:tcPr>
          <w:p w:rsidR="005B26BC" w:rsidRDefault="002368F3">
            <w:pPr>
              <w:jc w:val="right"/>
            </w:pPr>
            <w:r>
              <w:rPr>
                <w:rFonts w:eastAsiaTheme="minorEastAsia"/>
                <w:color w:val="000000" w:themeColor="text1"/>
                <w:szCs w:val="21"/>
              </w:rPr>
              <w:t>10,000</w:t>
            </w:r>
          </w:p>
        </w:tc>
        <w:tc>
          <w:tcPr>
            <w:tcW w:w="1503" w:type="dxa"/>
            <w:vAlign w:val="center"/>
          </w:tcPr>
          <w:p w:rsidR="005B26BC" w:rsidRDefault="002368F3">
            <w:pPr>
              <w:jc w:val="right"/>
            </w:pPr>
            <w:r>
              <w:rPr>
                <w:rFonts w:eastAsiaTheme="minorEastAsia"/>
                <w:color w:val="000000" w:themeColor="text1"/>
                <w:szCs w:val="21"/>
              </w:rPr>
              <w:t>999,900.00</w:t>
            </w:r>
          </w:p>
        </w:tc>
        <w:tc>
          <w:tcPr>
            <w:tcW w:w="1503" w:type="dxa"/>
            <w:vAlign w:val="center"/>
          </w:tcPr>
          <w:p w:rsidR="005B26BC" w:rsidRDefault="002368F3">
            <w:pPr>
              <w:jc w:val="right"/>
            </w:pPr>
            <w:r>
              <w:rPr>
                <w:rFonts w:eastAsiaTheme="minorEastAsia"/>
                <w:color w:val="000000" w:themeColor="text1"/>
                <w:szCs w:val="21"/>
              </w:rPr>
              <w:t>16.35</w:t>
            </w:r>
          </w:p>
        </w:tc>
      </w:tr>
      <w:tr w:rsidR="005B26BC">
        <w:tc>
          <w:tcPr>
            <w:tcW w:w="1504" w:type="dxa"/>
            <w:vAlign w:val="center"/>
          </w:tcPr>
          <w:p w:rsidR="005B26BC" w:rsidRDefault="002368F3">
            <w:pPr>
              <w:jc w:val="center"/>
            </w:pPr>
            <w:r>
              <w:rPr>
                <w:rFonts w:eastAsiaTheme="minorEastAsia"/>
                <w:color w:val="000000" w:themeColor="text1"/>
                <w:szCs w:val="21"/>
              </w:rPr>
              <w:t>2</w:t>
            </w:r>
          </w:p>
        </w:tc>
        <w:tc>
          <w:tcPr>
            <w:tcW w:w="1504" w:type="dxa"/>
            <w:vAlign w:val="center"/>
          </w:tcPr>
          <w:p w:rsidR="005B26BC" w:rsidRDefault="002368F3">
            <w:pPr>
              <w:jc w:val="center"/>
            </w:pPr>
            <w:r>
              <w:rPr>
                <w:rFonts w:eastAsiaTheme="minorEastAsia"/>
                <w:color w:val="000000" w:themeColor="text1"/>
                <w:szCs w:val="21"/>
              </w:rPr>
              <w:t>143918</w:t>
            </w:r>
          </w:p>
        </w:tc>
        <w:tc>
          <w:tcPr>
            <w:tcW w:w="1504" w:type="dxa"/>
            <w:vAlign w:val="center"/>
          </w:tcPr>
          <w:p w:rsidR="005B26BC" w:rsidRDefault="002368F3">
            <w:pPr>
              <w:jc w:val="center"/>
            </w:pPr>
            <w:r>
              <w:rPr>
                <w:rFonts w:eastAsiaTheme="minorEastAsia"/>
                <w:color w:val="000000" w:themeColor="text1"/>
                <w:szCs w:val="21"/>
              </w:rPr>
              <w:t>17</w:t>
            </w:r>
            <w:r>
              <w:rPr>
                <w:rFonts w:eastAsiaTheme="minorEastAsia"/>
                <w:color w:val="000000" w:themeColor="text1"/>
                <w:szCs w:val="21"/>
              </w:rPr>
              <w:t>华能</w:t>
            </w:r>
            <w:r>
              <w:rPr>
                <w:rFonts w:eastAsiaTheme="minorEastAsia"/>
                <w:color w:val="000000" w:themeColor="text1"/>
                <w:szCs w:val="21"/>
              </w:rPr>
              <w:t>Y1</w:t>
            </w:r>
          </w:p>
        </w:tc>
        <w:tc>
          <w:tcPr>
            <w:tcW w:w="1503" w:type="dxa"/>
            <w:vAlign w:val="center"/>
          </w:tcPr>
          <w:p w:rsidR="005B26BC" w:rsidRDefault="002368F3">
            <w:pPr>
              <w:jc w:val="right"/>
            </w:pPr>
            <w:r>
              <w:rPr>
                <w:rFonts w:eastAsiaTheme="minorEastAsia"/>
                <w:color w:val="000000" w:themeColor="text1"/>
                <w:szCs w:val="21"/>
              </w:rPr>
              <w:t>4,500</w:t>
            </w:r>
          </w:p>
        </w:tc>
        <w:tc>
          <w:tcPr>
            <w:tcW w:w="1503" w:type="dxa"/>
            <w:vAlign w:val="center"/>
          </w:tcPr>
          <w:p w:rsidR="005B26BC" w:rsidRDefault="002368F3">
            <w:pPr>
              <w:jc w:val="right"/>
            </w:pPr>
            <w:r>
              <w:rPr>
                <w:rFonts w:eastAsiaTheme="minorEastAsia"/>
                <w:color w:val="000000" w:themeColor="text1"/>
                <w:szCs w:val="21"/>
              </w:rPr>
              <w:t>449,955.00</w:t>
            </w:r>
          </w:p>
        </w:tc>
        <w:tc>
          <w:tcPr>
            <w:tcW w:w="1503" w:type="dxa"/>
            <w:vAlign w:val="center"/>
          </w:tcPr>
          <w:p w:rsidR="005B26BC" w:rsidRDefault="002368F3">
            <w:pPr>
              <w:jc w:val="right"/>
            </w:pPr>
            <w:r>
              <w:rPr>
                <w:rFonts w:eastAsiaTheme="minorEastAsia"/>
                <w:color w:val="000000" w:themeColor="text1"/>
                <w:szCs w:val="21"/>
              </w:rPr>
              <w:t>7.36</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5E6DF3"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5E6DF3" w:rsidRDefault="005C671B">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5E6DF3" w:rsidRDefault="005C671B">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5E6DF3" w:rsidRDefault="005C671B">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lastRenderedPageBreak/>
        <w:t>5.11</w:t>
      </w:r>
      <w:r>
        <w:rPr>
          <w:rFonts w:eastAsiaTheme="minorEastAsia"/>
          <w:b/>
          <w:color w:val="000000" w:themeColor="text1"/>
          <w:kern w:val="0"/>
          <w:szCs w:val="21"/>
        </w:rPr>
        <w:t>投资组合报告附注</w:t>
      </w:r>
    </w:p>
    <w:p w:rsidR="005E6DF3" w:rsidRDefault="005C671B">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Default="005C671B">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5E6DF3" w:rsidRDefault="005C671B">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tc>
          <w:tcPr>
            <w:tcW w:w="1110"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25,271.87</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48,158.17</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411,060.12</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484,490.16</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5E6DF3" w:rsidRDefault="005C671B">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5E6DF3" w:rsidRDefault="005C671B">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因四舍五入原因，投资组合报告中分项之和与合计可能存在尾差。</w:t>
      </w: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上投摩根优信增利债券</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上投摩根优信增利债券</w:t>
            </w:r>
            <w:r>
              <w:rPr>
                <w:rFonts w:eastAsiaTheme="minorEastAsia"/>
                <w:color w:val="000000" w:themeColor="text1"/>
                <w:szCs w:val="21"/>
              </w:rPr>
              <w:t>C</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74,050,559.10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2,674,887.06</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839,457.06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232,789.21</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71,607,337.02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1,328,297.31</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3,282,679.14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1,579,378.96</w:t>
            </w:r>
          </w:p>
        </w:tc>
      </w:tr>
    </w:tbl>
    <w:p w:rsidR="005E6DF3"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5E6DF3" w:rsidRDefault="005C671B">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影响投资者决策的其他重要信息</w:t>
      </w:r>
    </w:p>
    <w:p w:rsidR="005E6DF3" w:rsidRDefault="005C671B">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8.</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tc>
          <w:tcPr>
            <w:tcW w:w="993" w:type="dxa"/>
            <w:vMerge w:val="restart"/>
            <w:vAlign w:val="center"/>
          </w:tcPr>
          <w:p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5E6DF3">
        <w:tc>
          <w:tcPr>
            <w:tcW w:w="993" w:type="dxa"/>
            <w:vMerge/>
            <w:vAlign w:val="center"/>
          </w:tcPr>
          <w:p w:rsidR="005E6DF3" w:rsidRDefault="005E6DF3">
            <w:pPr>
              <w:autoSpaceDE w:val="0"/>
              <w:autoSpaceDN w:val="0"/>
              <w:adjustRightInd w:val="0"/>
              <w:jc w:val="center"/>
              <w:rPr>
                <w:rFonts w:ascii="宋体" w:hAnsi="宋体"/>
                <w:b/>
                <w:bCs/>
                <w:color w:val="000000"/>
                <w:kern w:val="0"/>
                <w:szCs w:val="21"/>
              </w:rPr>
            </w:pPr>
          </w:p>
        </w:tc>
        <w:tc>
          <w:tcPr>
            <w:tcW w:w="992" w:type="dxa"/>
            <w:vAlign w:val="center"/>
          </w:tcPr>
          <w:p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5E6DF3" w:rsidRDefault="005C671B">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5E6DF3" w:rsidRDefault="005C671B">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5E6DF3" w:rsidRDefault="005C671B">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B26BC">
        <w:tc>
          <w:tcPr>
            <w:tcW w:w="993" w:type="dxa"/>
            <w:vMerge w:val="restart"/>
            <w:vAlign w:val="center"/>
          </w:tcPr>
          <w:p w:rsidR="005B26BC" w:rsidRDefault="002368F3">
            <w:r>
              <w:rPr>
                <w:rFonts w:ascii="宋体" w:hAnsi="宋体" w:hint="eastAsia"/>
                <w:bCs/>
                <w:color w:val="000000"/>
                <w:kern w:val="0"/>
                <w:szCs w:val="21"/>
              </w:rPr>
              <w:t>机构</w:t>
            </w:r>
          </w:p>
        </w:tc>
        <w:tc>
          <w:tcPr>
            <w:tcW w:w="992" w:type="dxa"/>
            <w:vAlign w:val="center"/>
          </w:tcPr>
          <w:p w:rsidR="005B26BC" w:rsidRDefault="002368F3">
            <w:pPr>
              <w:jc w:val="center"/>
            </w:pPr>
            <w:r>
              <w:rPr>
                <w:rFonts w:ascii="宋体" w:hAnsi="宋体"/>
                <w:color w:val="000000"/>
                <w:kern w:val="0"/>
                <w:szCs w:val="21"/>
              </w:rPr>
              <w:t>1</w:t>
            </w:r>
          </w:p>
        </w:tc>
        <w:tc>
          <w:tcPr>
            <w:tcW w:w="1843" w:type="dxa"/>
            <w:vAlign w:val="center"/>
          </w:tcPr>
          <w:p w:rsidR="005B26BC" w:rsidRDefault="002368F3">
            <w:pPr>
              <w:jc w:val="center"/>
            </w:pPr>
            <w:r>
              <w:rPr>
                <w:rFonts w:ascii="宋体" w:hAnsi="宋体"/>
                <w:color w:val="000000"/>
                <w:kern w:val="0"/>
                <w:szCs w:val="21"/>
              </w:rPr>
              <w:t>20200701-20200918</w:t>
            </w:r>
          </w:p>
        </w:tc>
        <w:tc>
          <w:tcPr>
            <w:tcW w:w="851" w:type="dxa"/>
            <w:vAlign w:val="center"/>
          </w:tcPr>
          <w:p w:rsidR="005B26BC" w:rsidRDefault="002368F3">
            <w:pPr>
              <w:jc w:val="center"/>
            </w:pPr>
            <w:r>
              <w:rPr>
                <w:rFonts w:ascii="宋体" w:hAnsi="宋体"/>
                <w:color w:val="000000"/>
                <w:kern w:val="0"/>
                <w:szCs w:val="21"/>
              </w:rPr>
              <w:t>68,351,332.87</w:t>
            </w:r>
          </w:p>
        </w:tc>
        <w:tc>
          <w:tcPr>
            <w:tcW w:w="850" w:type="dxa"/>
            <w:vAlign w:val="center"/>
          </w:tcPr>
          <w:p w:rsidR="005B26BC" w:rsidRDefault="002368F3">
            <w:pPr>
              <w:jc w:val="center"/>
            </w:pPr>
            <w:r>
              <w:rPr>
                <w:rFonts w:ascii="宋体" w:hAnsi="宋体"/>
                <w:color w:val="000000"/>
                <w:kern w:val="0"/>
                <w:szCs w:val="21"/>
              </w:rPr>
              <w:t>-</w:t>
            </w:r>
          </w:p>
        </w:tc>
        <w:tc>
          <w:tcPr>
            <w:tcW w:w="1134" w:type="dxa"/>
            <w:vAlign w:val="center"/>
          </w:tcPr>
          <w:p w:rsidR="005B26BC" w:rsidRDefault="002368F3">
            <w:pPr>
              <w:jc w:val="center"/>
            </w:pPr>
            <w:r>
              <w:rPr>
                <w:rFonts w:ascii="宋体" w:hAnsi="宋体"/>
                <w:color w:val="000000"/>
                <w:kern w:val="0"/>
                <w:szCs w:val="21"/>
              </w:rPr>
              <w:t>68,351,332.87</w:t>
            </w:r>
          </w:p>
        </w:tc>
        <w:tc>
          <w:tcPr>
            <w:tcW w:w="1419" w:type="dxa"/>
            <w:vAlign w:val="center"/>
          </w:tcPr>
          <w:p w:rsidR="005B26BC" w:rsidRDefault="002368F3">
            <w:pPr>
              <w:jc w:val="center"/>
            </w:pPr>
            <w:r>
              <w:rPr>
                <w:rFonts w:ascii="宋体" w:hAnsi="宋体"/>
                <w:color w:val="000000"/>
                <w:kern w:val="0"/>
                <w:szCs w:val="21"/>
              </w:rPr>
              <w:t>0.00</w:t>
            </w:r>
          </w:p>
        </w:tc>
        <w:tc>
          <w:tcPr>
            <w:tcW w:w="1130" w:type="dxa"/>
            <w:vAlign w:val="center"/>
          </w:tcPr>
          <w:p w:rsidR="005B26BC" w:rsidRDefault="002368F3">
            <w:pPr>
              <w:jc w:val="center"/>
            </w:pPr>
            <w:r>
              <w:rPr>
                <w:rFonts w:ascii="宋体" w:hAnsi="宋体"/>
                <w:color w:val="000000"/>
                <w:kern w:val="0"/>
                <w:szCs w:val="21"/>
              </w:rPr>
              <w:t>0.00%</w:t>
            </w:r>
          </w:p>
        </w:tc>
      </w:tr>
    </w:tbl>
    <w:p w:rsidR="005E6DF3" w:rsidRDefault="005C671B">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5E6DF3" w:rsidRDefault="005C671B">
      <w:pPr>
        <w:spacing w:line="360" w:lineRule="auto"/>
        <w:ind w:firstLineChars="200" w:firstLine="420"/>
        <w:rPr>
          <w:rFonts w:ascii="宋体" w:hAnsi="宋体"/>
          <w:color w:val="000000"/>
          <w:szCs w:val="21"/>
        </w:rPr>
      </w:pPr>
      <w:r>
        <w:rPr>
          <w:rFonts w:ascii="宋体" w:hAnsi="宋体"/>
          <w:color w:val="000000"/>
          <w:szCs w:val="21"/>
        </w:rPr>
        <w:t>根据基金管理人于2020年9月24日发布的《关于上投摩根优信增利债券型证券投资基金基金份额持有人大会表决结果暨决议生效的公告》，基金份额持有人大会于2020年9月22日表决通过了《关于上投摩根优信增利债券型证券投资基金终止基金合同有关事项的议案》，决议自该日起生效。该基金份额持有人大会决议生效后，根据基金份额持有人大会通过的议案及方案说明，本基金将从公告的次日起，即2020年9月25日起进入基金财产清算期。本基金进入清算程序后，即自2020年9月25日起，不再接受投资者提出的申购、赎回、转换及定期定额投资等业务的申请，且不再计提管理费、托管费及销售服务费。</w:t>
      </w: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color w:val="000000" w:themeColor="text1"/>
          <w:kern w:val="0"/>
          <w:sz w:val="21"/>
          <w:szCs w:val="21"/>
        </w:rPr>
        <w:t>备查文件目录</w:t>
      </w:r>
    </w:p>
    <w:p w:rsidR="005E6DF3" w:rsidRDefault="005C671B">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9.1</w:t>
      </w:r>
      <w:r>
        <w:rPr>
          <w:rFonts w:eastAsiaTheme="minorEastAsia"/>
          <w:b/>
          <w:bCs/>
          <w:color w:val="000000" w:themeColor="text1"/>
          <w:kern w:val="0"/>
          <w:szCs w:val="21"/>
        </w:rPr>
        <w:t>备查文件目录</w:t>
      </w:r>
    </w:p>
    <w:p w:rsidR="005B26BC" w:rsidRDefault="002368F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1. </w:t>
      </w:r>
      <w:r>
        <w:rPr>
          <w:rFonts w:eastAsiaTheme="minorEastAsia"/>
          <w:color w:val="000000" w:themeColor="text1"/>
          <w:szCs w:val="21"/>
        </w:rPr>
        <w:t>中国证监会准予上投摩根优信增利债券型证券投资基金募集注册的文件；</w:t>
      </w:r>
    </w:p>
    <w:p w:rsidR="005B26BC" w:rsidRDefault="002368F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《上投摩根优信增利债券型证券投资基金基金合同》；</w:t>
      </w:r>
    </w:p>
    <w:p w:rsidR="005B26BC" w:rsidRDefault="002368F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《上投摩根优信增利债券型证券投资基金基金托管协议》；</w:t>
      </w:r>
    </w:p>
    <w:p w:rsidR="005B26BC" w:rsidRDefault="002368F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《上投摩根基金管理有限公司开放式基金业务规则》；</w:t>
      </w:r>
    </w:p>
    <w:p w:rsidR="005B26BC" w:rsidRDefault="002368F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5E6DF3"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9.2</w:t>
      </w:r>
      <w:r>
        <w:rPr>
          <w:rFonts w:eastAsiaTheme="minorEastAsia"/>
          <w:b/>
          <w:bCs/>
          <w:color w:val="000000" w:themeColor="text1"/>
          <w:kern w:val="0"/>
          <w:szCs w:val="21"/>
        </w:rPr>
        <w:t>存放地点</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5E6DF3"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9.3</w:t>
      </w:r>
      <w:r>
        <w:rPr>
          <w:rFonts w:eastAsiaTheme="minorEastAsia"/>
          <w:b/>
          <w:bCs/>
          <w:color w:val="000000" w:themeColor="text1"/>
          <w:kern w:val="0"/>
          <w:szCs w:val="21"/>
        </w:rPr>
        <w:t>查阅方式</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5E6DF3" w:rsidRDefault="005E6DF3">
      <w:pPr>
        <w:spacing w:line="360" w:lineRule="auto"/>
        <w:ind w:left="840"/>
        <w:jc w:val="right"/>
        <w:rPr>
          <w:rFonts w:eastAsiaTheme="minorEastAsia"/>
          <w:color w:val="000000" w:themeColor="text1"/>
          <w:szCs w:val="21"/>
        </w:rPr>
      </w:pPr>
    </w:p>
    <w:p w:rsidR="005E6DF3" w:rsidRDefault="005E6DF3">
      <w:pPr>
        <w:spacing w:line="360" w:lineRule="auto"/>
        <w:ind w:left="840"/>
        <w:jc w:val="center"/>
        <w:rPr>
          <w:rFonts w:eastAsiaTheme="minorEastAsia"/>
          <w:b/>
          <w:color w:val="000000" w:themeColor="text1"/>
          <w:szCs w:val="21"/>
        </w:rPr>
      </w:pPr>
    </w:p>
    <w:p w:rsidR="005E6DF3" w:rsidRDefault="005C671B">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5E6DF3" w:rsidRDefault="005C671B">
      <w:pPr>
        <w:spacing w:line="360" w:lineRule="auto"/>
        <w:jc w:val="right"/>
        <w:rPr>
          <w:rFonts w:eastAsiaTheme="minorEastAsia"/>
          <w:b/>
          <w:bCs/>
          <w:color w:val="000000" w:themeColor="text1"/>
          <w:szCs w:val="21"/>
        </w:rPr>
      </w:pPr>
      <w:r>
        <w:rPr>
          <w:rFonts w:eastAsiaTheme="minorEastAsia"/>
          <w:b/>
          <w:bCs/>
          <w:color w:val="000000" w:themeColor="text1"/>
          <w:szCs w:val="21"/>
        </w:rPr>
        <w:t>二〇二〇年十月二十八日</w:t>
      </w:r>
    </w:p>
    <w:sectPr w:rsidR="005E6DF3">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F74" w:rsidRDefault="005E4F74">
      <w:r>
        <w:separator/>
      </w:r>
    </w:p>
  </w:endnote>
  <w:endnote w:type="continuationSeparator" w:id="0">
    <w:p w:rsidR="005E4F74" w:rsidRDefault="005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06A6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06A6B">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06A6B">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F74" w:rsidRDefault="005E4F74">
      <w:r>
        <w:separator/>
      </w:r>
    </w:p>
  </w:footnote>
  <w:footnote w:type="continuationSeparator" w:id="0">
    <w:p w:rsidR="005E4F74" w:rsidRDefault="005E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上投摩根优信增利债券型证券投资基金</w:t>
    </w:r>
    <w:r>
      <w:t>2020</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368F3"/>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26BC"/>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6A6B"/>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0AFDF2-8AD0-4FFF-906F-A149D0E1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31</TotalTime>
  <Pages>14</Pages>
  <Words>1210</Words>
  <Characters>6897</Characters>
  <Application>Microsoft Office Word</Application>
  <DocSecurity>0</DocSecurity>
  <Lines>57</Lines>
  <Paragraphs>16</Paragraphs>
  <ScaleCrop>false</ScaleCrop>
  <Company>TRT. Ltd. Co.</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218</cp:revision>
  <cp:lastPrinted>2007-07-19T00:46:00Z</cp:lastPrinted>
  <dcterms:created xsi:type="dcterms:W3CDTF">2013-06-21T06:56:00Z</dcterms:created>
  <dcterms:modified xsi:type="dcterms:W3CDTF">2020-10-27T08:05:00Z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