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摩根民生需求股票型证券投资基金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摩根民生需求股票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000524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59,509,861.14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本基金主要投资于民生需求相关行业的上市公司，分享中国经济增长模式转变带来的民生需求行业的投资机会，在控制风险的前提下力争实现基金资产的稳定增值。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24321" w:rsidRDefault="00177C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本基金将通过系统和深入的基本面研究，重点投资于与民生相关行业的上市公司，将不低于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w:t>
            </w:r>
            <w:r>
              <w:rPr>
                <w:rFonts w:eastAsiaTheme="minorEastAsia"/>
                <w:color w:val="000000" w:themeColor="text1"/>
                <w:kern w:val="0"/>
                <w:szCs w:val="21"/>
              </w:rPr>
              <w:lastRenderedPageBreak/>
              <w:t>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具体策略包括：资产配置策略、股票投资策略、行业配置策略、固定收益类投资策略、可转换债券投资策略、中小企业私募债投资策略、股指期货投资策略、存托凭证投资策略。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24321" w:rsidRDefault="00177C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000524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017099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59,468,067.40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41,793.74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757,943.72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1,856.37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-67,239.37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13,139.60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0.0612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137,797,789.65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96,445.11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2.3172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2.3076</w:t>
            </w:r>
          </w:p>
        </w:tc>
      </w:tr>
    </w:tbl>
    <w:p w:rsidR="00624321" w:rsidRDefault="00177CD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24321">
        <w:tc>
          <w:tcPr>
            <w:tcW w:w="1290" w:type="dxa"/>
            <w:vAlign w:val="center"/>
          </w:tcPr>
          <w:p w:rsidR="00624321" w:rsidRDefault="00177CD5">
            <w:pPr>
              <w:jc w:val="left"/>
            </w:pPr>
            <w:r>
              <w:rPr>
                <w:rFonts w:eastAsiaTheme="minorEastAsia"/>
                <w:color w:val="000000" w:themeColor="text1"/>
                <w:szCs w:val="21"/>
              </w:rPr>
              <w:t>过去三个月</w:t>
            </w:r>
          </w:p>
        </w:tc>
        <w:tc>
          <w:tcPr>
            <w:tcW w:w="1291" w:type="dxa"/>
            <w:vAlign w:val="center"/>
          </w:tcPr>
          <w:p w:rsidR="00624321" w:rsidRDefault="00177CD5">
            <w:pPr>
              <w:jc w:val="right"/>
            </w:pPr>
            <w:r>
              <w:rPr>
                <w:rFonts w:eastAsiaTheme="minorEastAsia"/>
                <w:color w:val="000000" w:themeColor="text1"/>
                <w:szCs w:val="21"/>
              </w:rPr>
              <w:t>-0.10%</w:t>
            </w:r>
          </w:p>
        </w:tc>
        <w:tc>
          <w:tcPr>
            <w:tcW w:w="1291" w:type="dxa"/>
            <w:vAlign w:val="center"/>
          </w:tcPr>
          <w:p w:rsidR="00624321" w:rsidRDefault="00177CD5">
            <w:pPr>
              <w:jc w:val="right"/>
            </w:pPr>
            <w:r>
              <w:rPr>
                <w:rFonts w:eastAsiaTheme="minorEastAsia"/>
                <w:color w:val="000000" w:themeColor="text1"/>
                <w:szCs w:val="21"/>
              </w:rPr>
              <w:t>2.01%</w:t>
            </w:r>
          </w:p>
        </w:tc>
        <w:tc>
          <w:tcPr>
            <w:tcW w:w="1291" w:type="dxa"/>
            <w:vAlign w:val="center"/>
          </w:tcPr>
          <w:p w:rsidR="00624321" w:rsidRDefault="00177CD5">
            <w:pPr>
              <w:jc w:val="right"/>
            </w:pPr>
            <w:r>
              <w:rPr>
                <w:rFonts w:eastAsiaTheme="minorEastAsia"/>
                <w:color w:val="000000" w:themeColor="text1"/>
                <w:szCs w:val="21"/>
              </w:rPr>
              <w:t>-4.22%</w:t>
            </w:r>
          </w:p>
        </w:tc>
        <w:tc>
          <w:tcPr>
            <w:tcW w:w="1291" w:type="dxa"/>
            <w:vAlign w:val="center"/>
          </w:tcPr>
          <w:p w:rsidR="00624321" w:rsidRDefault="00177CD5">
            <w:pPr>
              <w:jc w:val="right"/>
            </w:pPr>
            <w:r>
              <w:rPr>
                <w:rFonts w:eastAsiaTheme="minorEastAsia"/>
                <w:color w:val="000000" w:themeColor="text1"/>
                <w:szCs w:val="21"/>
              </w:rPr>
              <w:t>0.70%</w:t>
            </w:r>
          </w:p>
        </w:tc>
        <w:tc>
          <w:tcPr>
            <w:tcW w:w="1291" w:type="dxa"/>
            <w:vAlign w:val="center"/>
          </w:tcPr>
          <w:p w:rsidR="00624321" w:rsidRDefault="00177CD5">
            <w:pPr>
              <w:jc w:val="right"/>
            </w:pPr>
            <w:r>
              <w:rPr>
                <w:rFonts w:eastAsiaTheme="minorEastAsia"/>
                <w:color w:val="000000" w:themeColor="text1"/>
                <w:szCs w:val="21"/>
              </w:rPr>
              <w:t>4.12%</w:t>
            </w:r>
          </w:p>
        </w:tc>
        <w:tc>
          <w:tcPr>
            <w:tcW w:w="1291" w:type="dxa"/>
            <w:vAlign w:val="center"/>
          </w:tcPr>
          <w:p w:rsidR="00624321" w:rsidRDefault="00177CD5">
            <w:pPr>
              <w:jc w:val="right"/>
            </w:pPr>
            <w:r>
              <w:rPr>
                <w:rFonts w:eastAsiaTheme="minorEastAsia"/>
                <w:color w:val="000000" w:themeColor="text1"/>
                <w:szCs w:val="21"/>
              </w:rPr>
              <w:t>1.31%</w:t>
            </w:r>
          </w:p>
        </w:tc>
      </w:tr>
      <w:tr w:rsidR="00624321">
        <w:tc>
          <w:tcPr>
            <w:tcW w:w="1290" w:type="dxa"/>
            <w:vAlign w:val="center"/>
          </w:tcPr>
          <w:p w:rsidR="00624321" w:rsidRDefault="00177CD5">
            <w:pPr>
              <w:jc w:val="left"/>
            </w:pPr>
            <w:r>
              <w:rPr>
                <w:rFonts w:eastAsiaTheme="minorEastAsia"/>
                <w:color w:val="000000" w:themeColor="text1"/>
                <w:szCs w:val="21"/>
              </w:rPr>
              <w:t>过去六个月</w:t>
            </w:r>
          </w:p>
        </w:tc>
        <w:tc>
          <w:tcPr>
            <w:tcW w:w="1291" w:type="dxa"/>
            <w:vAlign w:val="center"/>
          </w:tcPr>
          <w:p w:rsidR="00624321" w:rsidRDefault="00177CD5">
            <w:pPr>
              <w:jc w:val="right"/>
            </w:pPr>
            <w:r>
              <w:rPr>
                <w:rFonts w:eastAsiaTheme="minorEastAsia"/>
                <w:color w:val="000000" w:themeColor="text1"/>
                <w:szCs w:val="21"/>
              </w:rPr>
              <w:t>5.60%</w:t>
            </w:r>
          </w:p>
        </w:tc>
        <w:tc>
          <w:tcPr>
            <w:tcW w:w="1291" w:type="dxa"/>
            <w:vAlign w:val="center"/>
          </w:tcPr>
          <w:p w:rsidR="00624321" w:rsidRDefault="00177CD5">
            <w:pPr>
              <w:jc w:val="right"/>
            </w:pPr>
            <w:r>
              <w:rPr>
                <w:rFonts w:eastAsiaTheme="minorEastAsia"/>
                <w:color w:val="000000" w:themeColor="text1"/>
                <w:szCs w:val="21"/>
              </w:rPr>
              <w:t>1.60%</w:t>
            </w:r>
          </w:p>
        </w:tc>
        <w:tc>
          <w:tcPr>
            <w:tcW w:w="1291" w:type="dxa"/>
            <w:vAlign w:val="center"/>
          </w:tcPr>
          <w:p w:rsidR="00624321" w:rsidRDefault="00177CD5">
            <w:pPr>
              <w:jc w:val="right"/>
            </w:pPr>
            <w:r>
              <w:rPr>
                <w:rFonts w:eastAsiaTheme="minorEastAsia"/>
                <w:color w:val="000000" w:themeColor="text1"/>
                <w:szCs w:val="21"/>
              </w:rPr>
              <w:t>-0.51%</w:t>
            </w:r>
          </w:p>
        </w:tc>
        <w:tc>
          <w:tcPr>
            <w:tcW w:w="1291" w:type="dxa"/>
            <w:vAlign w:val="center"/>
          </w:tcPr>
          <w:p w:rsidR="00624321" w:rsidRDefault="00177CD5">
            <w:pPr>
              <w:jc w:val="right"/>
            </w:pPr>
            <w:r>
              <w:rPr>
                <w:rFonts w:eastAsiaTheme="minorEastAsia"/>
                <w:color w:val="000000" w:themeColor="text1"/>
                <w:szCs w:val="21"/>
              </w:rPr>
              <w:t>0.71%</w:t>
            </w:r>
          </w:p>
        </w:tc>
        <w:tc>
          <w:tcPr>
            <w:tcW w:w="1291" w:type="dxa"/>
            <w:vAlign w:val="center"/>
          </w:tcPr>
          <w:p w:rsidR="00624321" w:rsidRDefault="00177CD5">
            <w:pPr>
              <w:jc w:val="right"/>
            </w:pPr>
            <w:r>
              <w:rPr>
                <w:rFonts w:eastAsiaTheme="minorEastAsia"/>
                <w:color w:val="000000" w:themeColor="text1"/>
                <w:szCs w:val="21"/>
              </w:rPr>
              <w:t>6.11%</w:t>
            </w:r>
          </w:p>
        </w:tc>
        <w:tc>
          <w:tcPr>
            <w:tcW w:w="1291" w:type="dxa"/>
            <w:vAlign w:val="center"/>
          </w:tcPr>
          <w:p w:rsidR="00624321" w:rsidRDefault="00177CD5">
            <w:pPr>
              <w:jc w:val="right"/>
            </w:pPr>
            <w:r>
              <w:rPr>
                <w:rFonts w:eastAsiaTheme="minorEastAsia"/>
                <w:color w:val="000000" w:themeColor="text1"/>
                <w:szCs w:val="21"/>
              </w:rPr>
              <w:t>0.89%</w:t>
            </w:r>
          </w:p>
        </w:tc>
      </w:tr>
      <w:tr w:rsidR="00624321">
        <w:tc>
          <w:tcPr>
            <w:tcW w:w="1290" w:type="dxa"/>
            <w:vAlign w:val="center"/>
          </w:tcPr>
          <w:p w:rsidR="00624321" w:rsidRDefault="00177CD5">
            <w:pPr>
              <w:jc w:val="left"/>
            </w:pPr>
            <w:r>
              <w:rPr>
                <w:rFonts w:eastAsiaTheme="minorEastAsia"/>
                <w:color w:val="000000" w:themeColor="text1"/>
                <w:szCs w:val="21"/>
              </w:rPr>
              <w:t>过去一年</w:t>
            </w:r>
          </w:p>
        </w:tc>
        <w:tc>
          <w:tcPr>
            <w:tcW w:w="1291" w:type="dxa"/>
            <w:vAlign w:val="center"/>
          </w:tcPr>
          <w:p w:rsidR="00624321" w:rsidRDefault="00177CD5">
            <w:pPr>
              <w:jc w:val="right"/>
            </w:pPr>
            <w:r>
              <w:rPr>
                <w:rFonts w:eastAsiaTheme="minorEastAsia"/>
                <w:color w:val="000000" w:themeColor="text1"/>
                <w:szCs w:val="21"/>
              </w:rPr>
              <w:t>-14.60%</w:t>
            </w:r>
          </w:p>
        </w:tc>
        <w:tc>
          <w:tcPr>
            <w:tcW w:w="1291" w:type="dxa"/>
            <w:vAlign w:val="center"/>
          </w:tcPr>
          <w:p w:rsidR="00624321" w:rsidRDefault="00177CD5">
            <w:pPr>
              <w:jc w:val="right"/>
            </w:pPr>
            <w:r>
              <w:rPr>
                <w:rFonts w:eastAsiaTheme="minorEastAsia"/>
                <w:color w:val="000000" w:themeColor="text1"/>
                <w:szCs w:val="21"/>
              </w:rPr>
              <w:t>1.41%</w:t>
            </w:r>
          </w:p>
        </w:tc>
        <w:tc>
          <w:tcPr>
            <w:tcW w:w="1291" w:type="dxa"/>
            <w:vAlign w:val="center"/>
          </w:tcPr>
          <w:p w:rsidR="00624321" w:rsidRDefault="00177CD5">
            <w:pPr>
              <w:jc w:val="right"/>
            </w:pPr>
            <w:r>
              <w:rPr>
                <w:rFonts w:eastAsiaTheme="minorEastAsia"/>
                <w:color w:val="000000" w:themeColor="text1"/>
                <w:szCs w:val="21"/>
              </w:rPr>
              <w:t>-11.98%</w:t>
            </w:r>
          </w:p>
        </w:tc>
        <w:tc>
          <w:tcPr>
            <w:tcW w:w="1291" w:type="dxa"/>
            <w:vAlign w:val="center"/>
          </w:tcPr>
          <w:p w:rsidR="00624321" w:rsidRDefault="00177CD5">
            <w:pPr>
              <w:jc w:val="right"/>
            </w:pPr>
            <w:r>
              <w:rPr>
                <w:rFonts w:eastAsiaTheme="minorEastAsia"/>
                <w:color w:val="000000" w:themeColor="text1"/>
                <w:szCs w:val="21"/>
              </w:rPr>
              <w:t>0.84%</w:t>
            </w:r>
          </w:p>
        </w:tc>
        <w:tc>
          <w:tcPr>
            <w:tcW w:w="1291" w:type="dxa"/>
            <w:vAlign w:val="center"/>
          </w:tcPr>
          <w:p w:rsidR="00624321" w:rsidRDefault="00177CD5">
            <w:pPr>
              <w:jc w:val="right"/>
            </w:pPr>
            <w:r>
              <w:rPr>
                <w:rFonts w:eastAsiaTheme="minorEastAsia"/>
                <w:color w:val="000000" w:themeColor="text1"/>
                <w:szCs w:val="21"/>
              </w:rPr>
              <w:t>-2.62%</w:t>
            </w:r>
          </w:p>
        </w:tc>
        <w:tc>
          <w:tcPr>
            <w:tcW w:w="1291" w:type="dxa"/>
            <w:vAlign w:val="center"/>
          </w:tcPr>
          <w:p w:rsidR="00624321" w:rsidRDefault="00177CD5">
            <w:pPr>
              <w:jc w:val="right"/>
            </w:pPr>
            <w:r>
              <w:rPr>
                <w:rFonts w:eastAsiaTheme="minorEastAsia"/>
                <w:color w:val="000000" w:themeColor="text1"/>
                <w:szCs w:val="21"/>
              </w:rPr>
              <w:t>0.57%</w:t>
            </w:r>
          </w:p>
        </w:tc>
      </w:tr>
      <w:tr w:rsidR="00624321">
        <w:tc>
          <w:tcPr>
            <w:tcW w:w="1290" w:type="dxa"/>
            <w:vAlign w:val="center"/>
          </w:tcPr>
          <w:p w:rsidR="00624321" w:rsidRDefault="00177CD5">
            <w:pPr>
              <w:jc w:val="left"/>
            </w:pPr>
            <w:r>
              <w:rPr>
                <w:rFonts w:eastAsiaTheme="minorEastAsia"/>
                <w:color w:val="000000" w:themeColor="text1"/>
                <w:szCs w:val="21"/>
              </w:rPr>
              <w:t>过去三年</w:t>
            </w:r>
          </w:p>
        </w:tc>
        <w:tc>
          <w:tcPr>
            <w:tcW w:w="1291" w:type="dxa"/>
            <w:vAlign w:val="center"/>
          </w:tcPr>
          <w:p w:rsidR="00624321" w:rsidRDefault="00177CD5">
            <w:pPr>
              <w:jc w:val="right"/>
            </w:pPr>
            <w:r>
              <w:rPr>
                <w:rFonts w:eastAsiaTheme="minorEastAsia"/>
                <w:color w:val="000000" w:themeColor="text1"/>
                <w:szCs w:val="21"/>
              </w:rPr>
              <w:t>-3.85%</w:t>
            </w:r>
          </w:p>
        </w:tc>
        <w:tc>
          <w:tcPr>
            <w:tcW w:w="1291" w:type="dxa"/>
            <w:vAlign w:val="center"/>
          </w:tcPr>
          <w:p w:rsidR="00624321" w:rsidRDefault="00177CD5">
            <w:pPr>
              <w:jc w:val="right"/>
            </w:pPr>
            <w:r>
              <w:rPr>
                <w:rFonts w:eastAsiaTheme="minorEastAsia"/>
                <w:color w:val="000000" w:themeColor="text1"/>
                <w:szCs w:val="21"/>
              </w:rPr>
              <w:t>1.57%</w:t>
            </w:r>
          </w:p>
        </w:tc>
        <w:tc>
          <w:tcPr>
            <w:tcW w:w="1291" w:type="dxa"/>
            <w:vAlign w:val="center"/>
          </w:tcPr>
          <w:p w:rsidR="00624321" w:rsidRDefault="00177CD5">
            <w:pPr>
              <w:jc w:val="right"/>
            </w:pPr>
            <w:r>
              <w:rPr>
                <w:rFonts w:eastAsiaTheme="minorEastAsia"/>
                <w:color w:val="000000" w:themeColor="text1"/>
                <w:szCs w:val="21"/>
              </w:rPr>
              <w:t>-6.21%</w:t>
            </w:r>
          </w:p>
        </w:tc>
        <w:tc>
          <w:tcPr>
            <w:tcW w:w="1291" w:type="dxa"/>
            <w:vAlign w:val="center"/>
          </w:tcPr>
          <w:p w:rsidR="00624321" w:rsidRDefault="00177CD5">
            <w:pPr>
              <w:jc w:val="right"/>
            </w:pPr>
            <w:r>
              <w:rPr>
                <w:rFonts w:eastAsiaTheme="minorEastAsia"/>
                <w:color w:val="000000" w:themeColor="text1"/>
                <w:szCs w:val="21"/>
              </w:rPr>
              <w:t>1.02%</w:t>
            </w:r>
          </w:p>
        </w:tc>
        <w:tc>
          <w:tcPr>
            <w:tcW w:w="1291" w:type="dxa"/>
            <w:vAlign w:val="center"/>
          </w:tcPr>
          <w:p w:rsidR="00624321" w:rsidRDefault="00177CD5">
            <w:pPr>
              <w:jc w:val="right"/>
            </w:pPr>
            <w:r>
              <w:rPr>
                <w:rFonts w:eastAsiaTheme="minorEastAsia"/>
                <w:color w:val="000000" w:themeColor="text1"/>
                <w:szCs w:val="21"/>
              </w:rPr>
              <w:t>2.36%</w:t>
            </w:r>
          </w:p>
        </w:tc>
        <w:tc>
          <w:tcPr>
            <w:tcW w:w="1291" w:type="dxa"/>
            <w:vAlign w:val="center"/>
          </w:tcPr>
          <w:p w:rsidR="00624321" w:rsidRDefault="00177CD5">
            <w:pPr>
              <w:jc w:val="right"/>
            </w:pPr>
            <w:r>
              <w:rPr>
                <w:rFonts w:eastAsiaTheme="minorEastAsia"/>
                <w:color w:val="000000" w:themeColor="text1"/>
                <w:szCs w:val="21"/>
              </w:rPr>
              <w:t>0.55%</w:t>
            </w:r>
          </w:p>
        </w:tc>
      </w:tr>
      <w:tr w:rsidR="00624321">
        <w:tc>
          <w:tcPr>
            <w:tcW w:w="1290" w:type="dxa"/>
            <w:vAlign w:val="center"/>
          </w:tcPr>
          <w:p w:rsidR="00624321" w:rsidRDefault="00177CD5">
            <w:pPr>
              <w:jc w:val="left"/>
            </w:pPr>
            <w:r>
              <w:rPr>
                <w:rFonts w:eastAsiaTheme="minorEastAsia"/>
                <w:color w:val="000000" w:themeColor="text1"/>
                <w:szCs w:val="21"/>
              </w:rPr>
              <w:t>过去五年</w:t>
            </w:r>
          </w:p>
        </w:tc>
        <w:tc>
          <w:tcPr>
            <w:tcW w:w="1291" w:type="dxa"/>
            <w:vAlign w:val="center"/>
          </w:tcPr>
          <w:p w:rsidR="00624321" w:rsidRDefault="00177CD5">
            <w:pPr>
              <w:jc w:val="right"/>
            </w:pPr>
            <w:r>
              <w:rPr>
                <w:rFonts w:eastAsiaTheme="minorEastAsia"/>
                <w:color w:val="000000" w:themeColor="text1"/>
                <w:szCs w:val="21"/>
              </w:rPr>
              <w:t>61.93%</w:t>
            </w:r>
          </w:p>
        </w:tc>
        <w:tc>
          <w:tcPr>
            <w:tcW w:w="1291" w:type="dxa"/>
            <w:vAlign w:val="center"/>
          </w:tcPr>
          <w:p w:rsidR="00624321" w:rsidRDefault="00177CD5">
            <w:pPr>
              <w:jc w:val="right"/>
            </w:pPr>
            <w:r>
              <w:rPr>
                <w:rFonts w:eastAsiaTheme="minorEastAsia"/>
                <w:color w:val="000000" w:themeColor="text1"/>
                <w:szCs w:val="21"/>
              </w:rPr>
              <w:t>1.60%</w:t>
            </w:r>
          </w:p>
        </w:tc>
        <w:tc>
          <w:tcPr>
            <w:tcW w:w="1291" w:type="dxa"/>
            <w:vAlign w:val="center"/>
          </w:tcPr>
          <w:p w:rsidR="00624321" w:rsidRDefault="00177CD5">
            <w:pPr>
              <w:jc w:val="right"/>
            </w:pPr>
            <w:r>
              <w:rPr>
                <w:rFonts w:eastAsiaTheme="minorEastAsia"/>
                <w:color w:val="000000" w:themeColor="text1"/>
                <w:szCs w:val="21"/>
              </w:rPr>
              <w:t>9.16%</w:t>
            </w:r>
          </w:p>
        </w:tc>
        <w:tc>
          <w:tcPr>
            <w:tcW w:w="1291" w:type="dxa"/>
            <w:vAlign w:val="center"/>
          </w:tcPr>
          <w:p w:rsidR="00624321" w:rsidRDefault="00177CD5">
            <w:pPr>
              <w:jc w:val="right"/>
            </w:pPr>
            <w:r>
              <w:rPr>
                <w:rFonts w:eastAsiaTheme="minorEastAsia"/>
                <w:color w:val="000000" w:themeColor="text1"/>
                <w:szCs w:val="21"/>
              </w:rPr>
              <w:t>1.08%</w:t>
            </w:r>
          </w:p>
        </w:tc>
        <w:tc>
          <w:tcPr>
            <w:tcW w:w="1291" w:type="dxa"/>
            <w:vAlign w:val="center"/>
          </w:tcPr>
          <w:p w:rsidR="00624321" w:rsidRDefault="00177CD5">
            <w:pPr>
              <w:jc w:val="right"/>
            </w:pPr>
            <w:r>
              <w:rPr>
                <w:rFonts w:eastAsiaTheme="minorEastAsia"/>
                <w:color w:val="000000" w:themeColor="text1"/>
                <w:szCs w:val="21"/>
              </w:rPr>
              <w:t>52.77%</w:t>
            </w:r>
          </w:p>
        </w:tc>
        <w:tc>
          <w:tcPr>
            <w:tcW w:w="1291" w:type="dxa"/>
            <w:vAlign w:val="center"/>
          </w:tcPr>
          <w:p w:rsidR="00624321" w:rsidRDefault="00177CD5">
            <w:pPr>
              <w:jc w:val="right"/>
            </w:pPr>
            <w:r>
              <w:rPr>
                <w:rFonts w:eastAsiaTheme="minorEastAsia"/>
                <w:color w:val="000000" w:themeColor="text1"/>
                <w:szCs w:val="21"/>
              </w:rPr>
              <w:t>0.52%</w:t>
            </w:r>
          </w:p>
        </w:tc>
      </w:tr>
      <w:tr w:rsidR="00624321">
        <w:tc>
          <w:tcPr>
            <w:tcW w:w="1290" w:type="dxa"/>
            <w:vAlign w:val="center"/>
          </w:tcPr>
          <w:p w:rsidR="00624321" w:rsidRDefault="00177CD5">
            <w:pPr>
              <w:jc w:val="left"/>
            </w:pPr>
            <w:r>
              <w:rPr>
                <w:rFonts w:eastAsiaTheme="minorEastAsia"/>
                <w:color w:val="000000" w:themeColor="text1"/>
                <w:szCs w:val="21"/>
              </w:rPr>
              <w:t>自基金合同生效起至今</w:t>
            </w:r>
          </w:p>
        </w:tc>
        <w:tc>
          <w:tcPr>
            <w:tcW w:w="1291" w:type="dxa"/>
            <w:vAlign w:val="center"/>
          </w:tcPr>
          <w:p w:rsidR="00624321" w:rsidRDefault="00177CD5">
            <w:pPr>
              <w:jc w:val="right"/>
            </w:pPr>
            <w:r>
              <w:rPr>
                <w:rFonts w:eastAsiaTheme="minorEastAsia"/>
                <w:color w:val="000000" w:themeColor="text1"/>
                <w:szCs w:val="21"/>
              </w:rPr>
              <w:t>189.16%</w:t>
            </w:r>
          </w:p>
        </w:tc>
        <w:tc>
          <w:tcPr>
            <w:tcW w:w="1291" w:type="dxa"/>
            <w:vAlign w:val="center"/>
          </w:tcPr>
          <w:p w:rsidR="00624321" w:rsidRDefault="00177CD5">
            <w:pPr>
              <w:jc w:val="right"/>
            </w:pPr>
            <w:r>
              <w:rPr>
                <w:rFonts w:eastAsiaTheme="minorEastAsia"/>
                <w:color w:val="000000" w:themeColor="text1"/>
                <w:szCs w:val="21"/>
              </w:rPr>
              <w:t>1.68%</w:t>
            </w:r>
          </w:p>
        </w:tc>
        <w:tc>
          <w:tcPr>
            <w:tcW w:w="1291" w:type="dxa"/>
            <w:vAlign w:val="center"/>
          </w:tcPr>
          <w:p w:rsidR="00624321" w:rsidRDefault="00177CD5">
            <w:pPr>
              <w:jc w:val="right"/>
            </w:pPr>
            <w:r>
              <w:rPr>
                <w:rFonts w:eastAsiaTheme="minorEastAsia"/>
                <w:color w:val="000000" w:themeColor="text1"/>
                <w:szCs w:val="21"/>
              </w:rPr>
              <w:t>69.84%</w:t>
            </w:r>
          </w:p>
        </w:tc>
        <w:tc>
          <w:tcPr>
            <w:tcW w:w="1291" w:type="dxa"/>
            <w:vAlign w:val="center"/>
          </w:tcPr>
          <w:p w:rsidR="00624321" w:rsidRDefault="00177CD5">
            <w:pPr>
              <w:jc w:val="right"/>
            </w:pPr>
            <w:r>
              <w:rPr>
                <w:rFonts w:eastAsiaTheme="minorEastAsia"/>
                <w:color w:val="000000" w:themeColor="text1"/>
                <w:szCs w:val="21"/>
              </w:rPr>
              <w:t>1.20%</w:t>
            </w:r>
          </w:p>
        </w:tc>
        <w:tc>
          <w:tcPr>
            <w:tcW w:w="1291" w:type="dxa"/>
            <w:vAlign w:val="center"/>
          </w:tcPr>
          <w:p w:rsidR="00624321" w:rsidRDefault="00177CD5">
            <w:pPr>
              <w:jc w:val="right"/>
            </w:pPr>
            <w:r>
              <w:rPr>
                <w:rFonts w:eastAsiaTheme="minorEastAsia"/>
                <w:color w:val="000000" w:themeColor="text1"/>
                <w:szCs w:val="21"/>
              </w:rPr>
              <w:t>119.32%</w:t>
            </w:r>
          </w:p>
        </w:tc>
        <w:tc>
          <w:tcPr>
            <w:tcW w:w="1291" w:type="dxa"/>
            <w:vAlign w:val="center"/>
          </w:tcPr>
          <w:p w:rsidR="00624321" w:rsidRDefault="00177CD5">
            <w:pPr>
              <w:jc w:val="right"/>
            </w:pPr>
            <w:r>
              <w:rPr>
                <w:rFonts w:eastAsiaTheme="minorEastAsia"/>
                <w:color w:val="000000" w:themeColor="text1"/>
                <w:szCs w:val="21"/>
              </w:rPr>
              <w:t>0.48%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24321">
        <w:tc>
          <w:tcPr>
            <w:tcW w:w="1290" w:type="dxa"/>
            <w:vAlign w:val="center"/>
          </w:tcPr>
          <w:p w:rsidR="00624321" w:rsidRDefault="00177CD5">
            <w:pPr>
              <w:jc w:val="left"/>
            </w:pPr>
            <w:r>
              <w:rPr>
                <w:rFonts w:eastAsiaTheme="minorEastAsia"/>
                <w:color w:val="000000" w:themeColor="text1"/>
                <w:szCs w:val="21"/>
              </w:rPr>
              <w:t>过去三个月</w:t>
            </w:r>
          </w:p>
        </w:tc>
        <w:tc>
          <w:tcPr>
            <w:tcW w:w="1291" w:type="dxa"/>
            <w:vAlign w:val="center"/>
          </w:tcPr>
          <w:p w:rsidR="00624321" w:rsidRDefault="00177CD5">
            <w:pPr>
              <w:jc w:val="right"/>
            </w:pPr>
            <w:r>
              <w:rPr>
                <w:rFonts w:eastAsiaTheme="minorEastAsia"/>
                <w:color w:val="000000" w:themeColor="text1"/>
                <w:szCs w:val="21"/>
              </w:rPr>
              <w:t>-0.38%</w:t>
            </w:r>
          </w:p>
        </w:tc>
        <w:tc>
          <w:tcPr>
            <w:tcW w:w="1291" w:type="dxa"/>
            <w:vAlign w:val="center"/>
          </w:tcPr>
          <w:p w:rsidR="00624321" w:rsidRDefault="00177CD5">
            <w:pPr>
              <w:jc w:val="right"/>
            </w:pPr>
            <w:r>
              <w:rPr>
                <w:rFonts w:eastAsiaTheme="minorEastAsia"/>
                <w:color w:val="000000" w:themeColor="text1"/>
                <w:szCs w:val="21"/>
              </w:rPr>
              <w:t>2.01%</w:t>
            </w:r>
          </w:p>
        </w:tc>
        <w:tc>
          <w:tcPr>
            <w:tcW w:w="1291" w:type="dxa"/>
            <w:vAlign w:val="center"/>
          </w:tcPr>
          <w:p w:rsidR="00624321" w:rsidRDefault="00177CD5">
            <w:pPr>
              <w:jc w:val="right"/>
            </w:pPr>
            <w:r>
              <w:rPr>
                <w:rFonts w:eastAsiaTheme="minorEastAsia"/>
                <w:color w:val="000000" w:themeColor="text1"/>
                <w:szCs w:val="21"/>
              </w:rPr>
              <w:t>-4.22%</w:t>
            </w:r>
          </w:p>
        </w:tc>
        <w:tc>
          <w:tcPr>
            <w:tcW w:w="1291" w:type="dxa"/>
            <w:vAlign w:val="center"/>
          </w:tcPr>
          <w:p w:rsidR="00624321" w:rsidRDefault="00177CD5">
            <w:pPr>
              <w:jc w:val="right"/>
            </w:pPr>
            <w:r>
              <w:rPr>
                <w:rFonts w:eastAsiaTheme="minorEastAsia"/>
                <w:color w:val="000000" w:themeColor="text1"/>
                <w:szCs w:val="21"/>
              </w:rPr>
              <w:t>0.70%</w:t>
            </w:r>
          </w:p>
        </w:tc>
        <w:tc>
          <w:tcPr>
            <w:tcW w:w="1291" w:type="dxa"/>
            <w:vAlign w:val="center"/>
          </w:tcPr>
          <w:p w:rsidR="00624321" w:rsidRDefault="00177CD5">
            <w:pPr>
              <w:jc w:val="right"/>
            </w:pPr>
            <w:r>
              <w:rPr>
                <w:rFonts w:eastAsiaTheme="minorEastAsia"/>
                <w:color w:val="000000" w:themeColor="text1"/>
                <w:szCs w:val="21"/>
              </w:rPr>
              <w:t>3.84%</w:t>
            </w:r>
          </w:p>
        </w:tc>
        <w:tc>
          <w:tcPr>
            <w:tcW w:w="1291" w:type="dxa"/>
            <w:vAlign w:val="center"/>
          </w:tcPr>
          <w:p w:rsidR="00624321" w:rsidRDefault="00177CD5">
            <w:pPr>
              <w:jc w:val="right"/>
            </w:pPr>
            <w:r>
              <w:rPr>
                <w:rFonts w:eastAsiaTheme="minorEastAsia"/>
                <w:color w:val="000000" w:themeColor="text1"/>
                <w:szCs w:val="21"/>
              </w:rPr>
              <w:t>1.31%</w:t>
            </w:r>
          </w:p>
        </w:tc>
      </w:tr>
      <w:tr w:rsidR="00624321">
        <w:tc>
          <w:tcPr>
            <w:tcW w:w="1290" w:type="dxa"/>
            <w:vAlign w:val="center"/>
          </w:tcPr>
          <w:p w:rsidR="00624321" w:rsidRDefault="00177CD5">
            <w:pPr>
              <w:jc w:val="left"/>
            </w:pPr>
            <w:r>
              <w:rPr>
                <w:rFonts w:eastAsiaTheme="minorEastAsia"/>
                <w:color w:val="000000" w:themeColor="text1"/>
                <w:szCs w:val="21"/>
              </w:rPr>
              <w:t>过去六个月</w:t>
            </w:r>
          </w:p>
        </w:tc>
        <w:tc>
          <w:tcPr>
            <w:tcW w:w="1291" w:type="dxa"/>
            <w:vAlign w:val="center"/>
          </w:tcPr>
          <w:p w:rsidR="00624321" w:rsidRDefault="00177CD5">
            <w:pPr>
              <w:jc w:val="right"/>
            </w:pPr>
            <w:r>
              <w:rPr>
                <w:rFonts w:eastAsiaTheme="minorEastAsia"/>
                <w:color w:val="000000" w:themeColor="text1"/>
                <w:szCs w:val="21"/>
              </w:rPr>
              <w:t>5.16%</w:t>
            </w:r>
          </w:p>
        </w:tc>
        <w:tc>
          <w:tcPr>
            <w:tcW w:w="1291" w:type="dxa"/>
            <w:vAlign w:val="center"/>
          </w:tcPr>
          <w:p w:rsidR="00624321" w:rsidRDefault="00177CD5">
            <w:pPr>
              <w:jc w:val="right"/>
            </w:pPr>
            <w:r>
              <w:rPr>
                <w:rFonts w:eastAsiaTheme="minorEastAsia"/>
                <w:color w:val="000000" w:themeColor="text1"/>
                <w:szCs w:val="21"/>
              </w:rPr>
              <w:t>1.60%</w:t>
            </w:r>
          </w:p>
        </w:tc>
        <w:tc>
          <w:tcPr>
            <w:tcW w:w="1291" w:type="dxa"/>
            <w:vAlign w:val="center"/>
          </w:tcPr>
          <w:p w:rsidR="00624321" w:rsidRDefault="00177CD5">
            <w:pPr>
              <w:jc w:val="right"/>
            </w:pPr>
            <w:r>
              <w:rPr>
                <w:rFonts w:eastAsiaTheme="minorEastAsia"/>
                <w:color w:val="000000" w:themeColor="text1"/>
                <w:szCs w:val="21"/>
              </w:rPr>
              <w:t>-0.51%</w:t>
            </w:r>
          </w:p>
        </w:tc>
        <w:tc>
          <w:tcPr>
            <w:tcW w:w="1291" w:type="dxa"/>
            <w:vAlign w:val="center"/>
          </w:tcPr>
          <w:p w:rsidR="00624321" w:rsidRDefault="00177CD5">
            <w:pPr>
              <w:jc w:val="right"/>
            </w:pPr>
            <w:r>
              <w:rPr>
                <w:rFonts w:eastAsiaTheme="minorEastAsia"/>
                <w:color w:val="000000" w:themeColor="text1"/>
                <w:szCs w:val="21"/>
              </w:rPr>
              <w:t>0.71%</w:t>
            </w:r>
          </w:p>
        </w:tc>
        <w:tc>
          <w:tcPr>
            <w:tcW w:w="1291" w:type="dxa"/>
            <w:vAlign w:val="center"/>
          </w:tcPr>
          <w:p w:rsidR="00624321" w:rsidRDefault="00177CD5">
            <w:pPr>
              <w:jc w:val="right"/>
            </w:pPr>
            <w:r>
              <w:rPr>
                <w:rFonts w:eastAsiaTheme="minorEastAsia"/>
                <w:color w:val="000000" w:themeColor="text1"/>
                <w:szCs w:val="21"/>
              </w:rPr>
              <w:t>5.67%</w:t>
            </w:r>
          </w:p>
        </w:tc>
        <w:tc>
          <w:tcPr>
            <w:tcW w:w="1291" w:type="dxa"/>
            <w:vAlign w:val="center"/>
          </w:tcPr>
          <w:p w:rsidR="00624321" w:rsidRDefault="00177CD5">
            <w:pPr>
              <w:jc w:val="right"/>
            </w:pPr>
            <w:r>
              <w:rPr>
                <w:rFonts w:eastAsiaTheme="minorEastAsia"/>
                <w:color w:val="000000" w:themeColor="text1"/>
                <w:szCs w:val="21"/>
              </w:rPr>
              <w:t>0.89%</w:t>
            </w:r>
          </w:p>
        </w:tc>
      </w:tr>
      <w:tr w:rsidR="00624321">
        <w:tc>
          <w:tcPr>
            <w:tcW w:w="1290" w:type="dxa"/>
            <w:vAlign w:val="center"/>
          </w:tcPr>
          <w:p w:rsidR="00624321" w:rsidRDefault="00177CD5">
            <w:pPr>
              <w:jc w:val="left"/>
            </w:pPr>
            <w:r>
              <w:rPr>
                <w:rFonts w:eastAsiaTheme="minorEastAsia"/>
                <w:color w:val="000000" w:themeColor="text1"/>
                <w:szCs w:val="21"/>
              </w:rPr>
              <w:t>过去一年</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r>
      <w:tr w:rsidR="00624321">
        <w:tc>
          <w:tcPr>
            <w:tcW w:w="1290" w:type="dxa"/>
            <w:vAlign w:val="center"/>
          </w:tcPr>
          <w:p w:rsidR="00624321" w:rsidRDefault="00177CD5">
            <w:pPr>
              <w:jc w:val="left"/>
            </w:pPr>
            <w:r>
              <w:rPr>
                <w:rFonts w:eastAsiaTheme="minorEastAsia"/>
                <w:color w:val="000000" w:themeColor="text1"/>
                <w:szCs w:val="21"/>
              </w:rPr>
              <w:t>过去三年</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r>
      <w:tr w:rsidR="00624321">
        <w:tc>
          <w:tcPr>
            <w:tcW w:w="1290" w:type="dxa"/>
            <w:vAlign w:val="center"/>
          </w:tcPr>
          <w:p w:rsidR="00624321" w:rsidRDefault="00177CD5">
            <w:pPr>
              <w:jc w:val="left"/>
            </w:pPr>
            <w:r>
              <w:rPr>
                <w:rFonts w:eastAsiaTheme="minorEastAsia"/>
                <w:color w:val="000000" w:themeColor="text1"/>
                <w:szCs w:val="21"/>
              </w:rPr>
              <w:lastRenderedPageBreak/>
              <w:t>过去五年</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c>
          <w:tcPr>
            <w:tcW w:w="1291" w:type="dxa"/>
            <w:vAlign w:val="center"/>
          </w:tcPr>
          <w:p w:rsidR="00624321" w:rsidRDefault="00177CD5">
            <w:pPr>
              <w:jc w:val="right"/>
            </w:pPr>
            <w:r>
              <w:rPr>
                <w:rFonts w:eastAsiaTheme="minorEastAsia"/>
                <w:color w:val="000000" w:themeColor="text1"/>
                <w:szCs w:val="21"/>
              </w:rPr>
              <w:t>-</w:t>
            </w:r>
          </w:p>
        </w:tc>
      </w:tr>
      <w:tr w:rsidR="00624321">
        <w:tc>
          <w:tcPr>
            <w:tcW w:w="1290" w:type="dxa"/>
            <w:vAlign w:val="center"/>
          </w:tcPr>
          <w:p w:rsidR="00624321" w:rsidRDefault="00177CD5">
            <w:pPr>
              <w:jc w:val="left"/>
            </w:pPr>
            <w:r>
              <w:rPr>
                <w:rFonts w:eastAsiaTheme="minorEastAsia"/>
                <w:color w:val="000000" w:themeColor="text1"/>
                <w:szCs w:val="21"/>
              </w:rPr>
              <w:t>自基金合同生效起至今</w:t>
            </w:r>
          </w:p>
        </w:tc>
        <w:tc>
          <w:tcPr>
            <w:tcW w:w="1291" w:type="dxa"/>
            <w:vAlign w:val="center"/>
          </w:tcPr>
          <w:p w:rsidR="00624321" w:rsidRDefault="00177CD5">
            <w:pPr>
              <w:jc w:val="right"/>
            </w:pPr>
            <w:r>
              <w:rPr>
                <w:rFonts w:eastAsiaTheme="minorEastAsia"/>
                <w:color w:val="000000" w:themeColor="text1"/>
                <w:szCs w:val="21"/>
              </w:rPr>
              <w:t>6.22%</w:t>
            </w:r>
          </w:p>
        </w:tc>
        <w:tc>
          <w:tcPr>
            <w:tcW w:w="1291" w:type="dxa"/>
            <w:vAlign w:val="center"/>
          </w:tcPr>
          <w:p w:rsidR="00624321" w:rsidRDefault="00177CD5">
            <w:pPr>
              <w:jc w:val="right"/>
            </w:pPr>
            <w:r>
              <w:rPr>
                <w:rFonts w:eastAsiaTheme="minorEastAsia"/>
                <w:color w:val="000000" w:themeColor="text1"/>
                <w:szCs w:val="21"/>
              </w:rPr>
              <w:t>1.57%</w:t>
            </w:r>
          </w:p>
        </w:tc>
        <w:tc>
          <w:tcPr>
            <w:tcW w:w="1291" w:type="dxa"/>
            <w:vAlign w:val="center"/>
          </w:tcPr>
          <w:p w:rsidR="00624321" w:rsidRDefault="00177CD5">
            <w:pPr>
              <w:jc w:val="right"/>
            </w:pPr>
            <w:r>
              <w:rPr>
                <w:rFonts w:eastAsiaTheme="minorEastAsia"/>
                <w:color w:val="000000" w:themeColor="text1"/>
                <w:szCs w:val="21"/>
              </w:rPr>
              <w:t>0.46%</w:t>
            </w:r>
          </w:p>
        </w:tc>
        <w:tc>
          <w:tcPr>
            <w:tcW w:w="1291" w:type="dxa"/>
            <w:vAlign w:val="center"/>
          </w:tcPr>
          <w:p w:rsidR="00624321" w:rsidRDefault="00177CD5">
            <w:pPr>
              <w:jc w:val="right"/>
            </w:pPr>
            <w:r>
              <w:rPr>
                <w:rFonts w:eastAsiaTheme="minorEastAsia"/>
                <w:color w:val="000000" w:themeColor="text1"/>
                <w:szCs w:val="21"/>
              </w:rPr>
              <w:t>0.71%</w:t>
            </w:r>
          </w:p>
        </w:tc>
        <w:tc>
          <w:tcPr>
            <w:tcW w:w="1291" w:type="dxa"/>
            <w:vAlign w:val="center"/>
          </w:tcPr>
          <w:p w:rsidR="00624321" w:rsidRDefault="00177CD5">
            <w:pPr>
              <w:jc w:val="right"/>
            </w:pPr>
            <w:r>
              <w:rPr>
                <w:rFonts w:eastAsiaTheme="minorEastAsia"/>
                <w:color w:val="000000" w:themeColor="text1"/>
                <w:szCs w:val="21"/>
              </w:rPr>
              <w:t>5.76%</w:t>
            </w:r>
          </w:p>
        </w:tc>
        <w:tc>
          <w:tcPr>
            <w:tcW w:w="1291" w:type="dxa"/>
            <w:vAlign w:val="center"/>
          </w:tcPr>
          <w:p w:rsidR="00624321" w:rsidRDefault="00177CD5">
            <w:pPr>
              <w:jc w:val="right"/>
            </w:pPr>
            <w:r>
              <w:rPr>
                <w:rFonts w:eastAsiaTheme="minorEastAsia"/>
                <w:color w:val="000000" w:themeColor="text1"/>
                <w:szCs w:val="21"/>
              </w:rPr>
              <w:t>0.86%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摩根民生需求股票型证券投资基金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．摩根民生需求股票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．摩根民生需求股票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24321">
        <w:tc>
          <w:tcPr>
            <w:tcW w:w="952" w:type="dxa"/>
            <w:vAlign w:val="center"/>
          </w:tcPr>
          <w:p w:rsidR="00624321" w:rsidRDefault="00177CD5">
            <w:pPr>
              <w:jc w:val="center"/>
            </w:pPr>
            <w:r>
              <w:rPr>
                <w:rFonts w:eastAsiaTheme="minorEastAsia"/>
                <w:color w:val="000000" w:themeColor="text1"/>
                <w:szCs w:val="21"/>
              </w:rPr>
              <w:t>杨景喻</w:t>
            </w:r>
          </w:p>
        </w:tc>
        <w:tc>
          <w:tcPr>
            <w:tcW w:w="930" w:type="dxa"/>
            <w:vAlign w:val="center"/>
          </w:tcPr>
          <w:p w:rsidR="00624321" w:rsidRDefault="00177CD5">
            <w:pPr>
              <w:jc w:val="center"/>
            </w:pPr>
            <w:r>
              <w:rPr>
                <w:rFonts w:eastAsiaTheme="minorEastAsia"/>
                <w:color w:val="000000" w:themeColor="text1"/>
                <w:szCs w:val="21"/>
              </w:rPr>
              <w:t>本基金基金经理</w:t>
            </w:r>
          </w:p>
        </w:tc>
        <w:tc>
          <w:tcPr>
            <w:tcW w:w="1210" w:type="dxa"/>
            <w:vAlign w:val="center"/>
          </w:tcPr>
          <w:p w:rsidR="00624321" w:rsidRDefault="00177CD5">
            <w:pPr>
              <w:jc w:val="center"/>
            </w:pPr>
            <w:r>
              <w:rPr>
                <w:rFonts w:eastAsiaTheme="minorEastAsia"/>
                <w:color w:val="000000" w:themeColor="text1"/>
                <w:szCs w:val="21"/>
              </w:rPr>
              <w:t>2019-04-26</w:t>
            </w:r>
          </w:p>
        </w:tc>
        <w:tc>
          <w:tcPr>
            <w:tcW w:w="1309" w:type="dxa"/>
            <w:vAlign w:val="center"/>
          </w:tcPr>
          <w:p w:rsidR="00624321" w:rsidRDefault="00177CD5">
            <w:pPr>
              <w:jc w:val="center"/>
            </w:pPr>
            <w:r>
              <w:rPr>
                <w:rFonts w:eastAsiaTheme="minorEastAsia"/>
                <w:color w:val="000000" w:themeColor="text1"/>
                <w:szCs w:val="21"/>
              </w:rPr>
              <w:t>-</w:t>
            </w:r>
          </w:p>
        </w:tc>
        <w:tc>
          <w:tcPr>
            <w:tcW w:w="1254" w:type="dxa"/>
            <w:vAlign w:val="center"/>
          </w:tcPr>
          <w:p w:rsidR="00624321" w:rsidRDefault="00177CD5">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624321" w:rsidRDefault="00177CD5">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624321" w:rsidRDefault="00177CD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2,501,655,689.32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2,564,050,750.84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5,065,706,440.16</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4.4.1</w:t>
      </w:r>
      <w:r w:rsidRPr="00B27A29">
        <w:rPr>
          <w:rFonts w:eastAsiaTheme="minorEastAsia"/>
          <w:color w:val="000000" w:themeColor="text1"/>
          <w:szCs w:val="21"/>
        </w:rPr>
        <w:t>报告期内基金投资策略和运作分析</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刚过去的二季度，宏观经济走势较弱，经济政策以稳为主，加之海外持续加息，市场以下跌为主：上证综指下跌</w:t>
      </w:r>
      <w:r>
        <w:rPr>
          <w:rFonts w:eastAsiaTheme="minorEastAsia"/>
          <w:color w:val="000000" w:themeColor="text1"/>
          <w:szCs w:val="21"/>
        </w:rPr>
        <w:t>2.16%</w:t>
      </w:r>
      <w:r>
        <w:rPr>
          <w:rFonts w:eastAsiaTheme="minorEastAsia"/>
          <w:color w:val="000000" w:themeColor="text1"/>
          <w:szCs w:val="21"/>
        </w:rPr>
        <w:t>，创业板指数下跌</w:t>
      </w:r>
      <w:r>
        <w:rPr>
          <w:rFonts w:eastAsiaTheme="minorEastAsia"/>
          <w:color w:val="000000" w:themeColor="text1"/>
          <w:szCs w:val="21"/>
        </w:rPr>
        <w:t>7.69%</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指数下跌</w:t>
      </w:r>
      <w:r>
        <w:rPr>
          <w:rFonts w:eastAsiaTheme="minorEastAsia"/>
          <w:color w:val="000000" w:themeColor="text1"/>
          <w:szCs w:val="21"/>
        </w:rPr>
        <w:t>7.06%</w:t>
      </w:r>
      <w:r>
        <w:rPr>
          <w:rFonts w:eastAsiaTheme="minorEastAsia"/>
          <w:color w:val="000000" w:themeColor="text1"/>
          <w:szCs w:val="21"/>
        </w:rPr>
        <w:t>。行业指数方面，通信、传媒、家电行业涨幅最</w:t>
      </w:r>
      <w:r>
        <w:rPr>
          <w:rFonts w:eastAsiaTheme="minorEastAsia"/>
          <w:color w:val="000000" w:themeColor="text1"/>
          <w:szCs w:val="21"/>
        </w:rPr>
        <w:t>佳，而零售、食品饮料、建材行业跌幅最深。通信、传媒的上涨来源于人工智能（</w:t>
      </w:r>
      <w:r>
        <w:rPr>
          <w:rFonts w:eastAsiaTheme="minorEastAsia"/>
          <w:color w:val="000000" w:themeColor="text1"/>
          <w:szCs w:val="21"/>
        </w:rPr>
        <w:t>AI</w:t>
      </w:r>
      <w:r>
        <w:rPr>
          <w:rFonts w:eastAsiaTheme="minorEastAsia"/>
          <w:color w:val="000000" w:themeColor="text1"/>
          <w:szCs w:val="21"/>
        </w:rPr>
        <w:t>）产业的迅猛发展，而下跌较深的板块主要受消费和房地产的拖累。本基金在二季度重点配置了通信、传媒、计算机软件板块，取得一定效果。但同时我们组合中的医药、消费板块表现不佳。</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最大的结构性机会来自于人工智能浪潮推动的相关产业，无论是硬件、软件、应用都出现显著上涨。从产业的角度，我们认为人工智能相关产业具备非常大的发展空间，海外人工智能科技的发展阶段已经隐约看到了当年互联网浪潮的影子。随着算力、大模型的发展进化，应用端将涌现出前所未有</w:t>
      </w:r>
      <w:r>
        <w:rPr>
          <w:rFonts w:eastAsiaTheme="minorEastAsia"/>
          <w:color w:val="000000" w:themeColor="text1"/>
          <w:szCs w:val="21"/>
        </w:rPr>
        <w:t>的功能，极大程度的提升人类的工作生产效率，并带来诸多新的娱乐方式。我国的人工智能产业，虽然在发展上较国外还慢一些，但产业链的成熟程度已非当年的移动互联网产业链可比，我们已经看到部分制造业企业紧密切入海外算力、人工智能产业链，并将较快在财务报表上体现。同时，我们也看到人工智能产业在机器人、智能驾驶领域中体现出良好的发展势头。因此，人工智能产业链值得我们继续重点关注。人工智能产业链之外的其他行业，如消费、医药、金融地产等在二季度表现一般，主要原因是宏观经济的改善仍然较慢。</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宏观经济虽然有一定的压力，但也体现出一定的韧性，政策上维持定力，聚焦高质量发展，更是富有长期眼光。内需增长仍然是宏观经济发展的最大动力之一，在当前的估值水平下也逐步体现出投资机会。我们也会对大消费当中的个股优中选优，把握业绩改善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本报告期摩根民生需求</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:-0.10%</w:t>
      </w:r>
      <w:r>
        <w:rPr>
          <w:rFonts w:eastAsiaTheme="minorEastAsia"/>
          <w:color w:val="000000" w:themeColor="text1"/>
          <w:szCs w:val="21"/>
        </w:rPr>
        <w:t>，同期业绩比较基准收益率为</w:t>
      </w:r>
      <w:r>
        <w:rPr>
          <w:rFonts w:eastAsiaTheme="minorEastAsia"/>
          <w:color w:val="000000" w:themeColor="text1"/>
          <w:szCs w:val="21"/>
        </w:rPr>
        <w:t>:-4.22%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摩根民生需求</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:-0.38%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:-4.22%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129,531,660.89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129,531,660.89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900.14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900.14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8,967,446.97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105,471.70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138,605,479.70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92,111,889.40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66.80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27,497,988.49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19.94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3,379,608.00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1,706,755.00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4,823,960.00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129,531,660.89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93.94</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24321">
        <w:tc>
          <w:tcPr>
            <w:tcW w:w="817" w:type="dxa"/>
            <w:vAlign w:val="center"/>
          </w:tcPr>
          <w:p w:rsidR="00624321" w:rsidRDefault="00177CD5">
            <w:pPr>
              <w:jc w:val="center"/>
            </w:pPr>
            <w:r>
              <w:rPr>
                <w:rFonts w:eastAsiaTheme="minorEastAsia"/>
                <w:kern w:val="0"/>
                <w:szCs w:val="21"/>
              </w:rPr>
              <w:t>1</w:t>
            </w:r>
          </w:p>
        </w:tc>
        <w:tc>
          <w:tcPr>
            <w:tcW w:w="1276" w:type="dxa"/>
            <w:vAlign w:val="center"/>
          </w:tcPr>
          <w:p w:rsidR="00624321" w:rsidRDefault="00177CD5">
            <w:pPr>
              <w:jc w:val="center"/>
            </w:pPr>
            <w:r>
              <w:rPr>
                <w:rFonts w:eastAsiaTheme="minorEastAsia"/>
                <w:kern w:val="0"/>
                <w:szCs w:val="21"/>
              </w:rPr>
              <w:t>300308</w:t>
            </w:r>
          </w:p>
        </w:tc>
        <w:tc>
          <w:tcPr>
            <w:tcW w:w="1701" w:type="dxa"/>
            <w:vAlign w:val="center"/>
          </w:tcPr>
          <w:p w:rsidR="00624321" w:rsidRDefault="00177CD5">
            <w:pPr>
              <w:jc w:val="center"/>
            </w:pPr>
            <w:r>
              <w:rPr>
                <w:rFonts w:eastAsiaTheme="minorEastAsia"/>
                <w:kern w:val="0"/>
                <w:szCs w:val="21"/>
              </w:rPr>
              <w:t>中际旭创</w:t>
            </w:r>
          </w:p>
        </w:tc>
        <w:tc>
          <w:tcPr>
            <w:tcW w:w="1276" w:type="dxa"/>
            <w:vAlign w:val="center"/>
          </w:tcPr>
          <w:p w:rsidR="00624321" w:rsidRDefault="00177CD5">
            <w:pPr>
              <w:jc w:val="right"/>
            </w:pPr>
            <w:r>
              <w:rPr>
                <w:rFonts w:eastAsiaTheme="minorEastAsia"/>
                <w:kern w:val="0"/>
                <w:szCs w:val="21"/>
              </w:rPr>
              <w:t>82,000</w:t>
            </w:r>
          </w:p>
        </w:tc>
        <w:tc>
          <w:tcPr>
            <w:tcW w:w="1842" w:type="dxa"/>
            <w:vAlign w:val="center"/>
          </w:tcPr>
          <w:p w:rsidR="00624321" w:rsidRDefault="00177CD5">
            <w:pPr>
              <w:jc w:val="right"/>
            </w:pPr>
            <w:r>
              <w:rPr>
                <w:rFonts w:eastAsiaTheme="minorEastAsia"/>
                <w:kern w:val="0"/>
                <w:szCs w:val="21"/>
              </w:rPr>
              <w:t>12,090,900.00</w:t>
            </w:r>
          </w:p>
        </w:tc>
        <w:tc>
          <w:tcPr>
            <w:tcW w:w="1616" w:type="dxa"/>
            <w:vAlign w:val="center"/>
          </w:tcPr>
          <w:p w:rsidR="00624321" w:rsidRDefault="00177CD5">
            <w:pPr>
              <w:jc w:val="right"/>
            </w:pPr>
            <w:r>
              <w:rPr>
                <w:rFonts w:eastAsiaTheme="minorEastAsia"/>
                <w:kern w:val="0"/>
                <w:szCs w:val="21"/>
              </w:rPr>
              <w:t>8.77</w:t>
            </w:r>
          </w:p>
        </w:tc>
      </w:tr>
      <w:tr w:rsidR="00624321">
        <w:tc>
          <w:tcPr>
            <w:tcW w:w="817" w:type="dxa"/>
            <w:vAlign w:val="center"/>
          </w:tcPr>
          <w:p w:rsidR="00624321" w:rsidRDefault="00177CD5">
            <w:pPr>
              <w:jc w:val="center"/>
            </w:pPr>
            <w:r>
              <w:rPr>
                <w:rFonts w:eastAsiaTheme="minorEastAsia"/>
                <w:kern w:val="0"/>
                <w:szCs w:val="21"/>
              </w:rPr>
              <w:t>2</w:t>
            </w:r>
          </w:p>
        </w:tc>
        <w:tc>
          <w:tcPr>
            <w:tcW w:w="1276" w:type="dxa"/>
            <w:vAlign w:val="center"/>
          </w:tcPr>
          <w:p w:rsidR="00624321" w:rsidRDefault="00177CD5">
            <w:pPr>
              <w:jc w:val="center"/>
            </w:pPr>
            <w:r>
              <w:rPr>
                <w:rFonts w:eastAsiaTheme="minorEastAsia"/>
                <w:kern w:val="0"/>
                <w:szCs w:val="21"/>
              </w:rPr>
              <w:t>300502</w:t>
            </w:r>
          </w:p>
        </w:tc>
        <w:tc>
          <w:tcPr>
            <w:tcW w:w="1701" w:type="dxa"/>
            <w:vAlign w:val="center"/>
          </w:tcPr>
          <w:p w:rsidR="00624321" w:rsidRDefault="00177CD5">
            <w:pPr>
              <w:jc w:val="center"/>
            </w:pPr>
            <w:r>
              <w:rPr>
                <w:rFonts w:eastAsiaTheme="minorEastAsia"/>
                <w:kern w:val="0"/>
                <w:szCs w:val="21"/>
              </w:rPr>
              <w:t>新易盛</w:t>
            </w:r>
          </w:p>
        </w:tc>
        <w:tc>
          <w:tcPr>
            <w:tcW w:w="1276" w:type="dxa"/>
            <w:vAlign w:val="center"/>
          </w:tcPr>
          <w:p w:rsidR="00624321" w:rsidRDefault="00177CD5">
            <w:pPr>
              <w:jc w:val="right"/>
            </w:pPr>
            <w:r>
              <w:rPr>
                <w:rFonts w:eastAsiaTheme="minorEastAsia"/>
                <w:kern w:val="0"/>
                <w:szCs w:val="21"/>
              </w:rPr>
              <w:t>110,660</w:t>
            </w:r>
          </w:p>
        </w:tc>
        <w:tc>
          <w:tcPr>
            <w:tcW w:w="1842" w:type="dxa"/>
            <w:vAlign w:val="center"/>
          </w:tcPr>
          <w:p w:rsidR="00624321" w:rsidRDefault="00177CD5">
            <w:pPr>
              <w:jc w:val="right"/>
            </w:pPr>
            <w:r>
              <w:rPr>
                <w:rFonts w:eastAsiaTheme="minorEastAsia"/>
                <w:kern w:val="0"/>
                <w:szCs w:val="21"/>
              </w:rPr>
              <w:t>7,521,560.20</w:t>
            </w:r>
          </w:p>
        </w:tc>
        <w:tc>
          <w:tcPr>
            <w:tcW w:w="1616" w:type="dxa"/>
            <w:vAlign w:val="center"/>
          </w:tcPr>
          <w:p w:rsidR="00624321" w:rsidRDefault="00177CD5">
            <w:pPr>
              <w:jc w:val="right"/>
            </w:pPr>
            <w:r>
              <w:rPr>
                <w:rFonts w:eastAsiaTheme="minorEastAsia"/>
                <w:kern w:val="0"/>
                <w:szCs w:val="21"/>
              </w:rPr>
              <w:t>5.45</w:t>
            </w:r>
          </w:p>
        </w:tc>
      </w:tr>
      <w:tr w:rsidR="00624321">
        <w:tc>
          <w:tcPr>
            <w:tcW w:w="817" w:type="dxa"/>
            <w:vAlign w:val="center"/>
          </w:tcPr>
          <w:p w:rsidR="00624321" w:rsidRDefault="00177CD5">
            <w:pPr>
              <w:jc w:val="center"/>
            </w:pPr>
            <w:r>
              <w:rPr>
                <w:rFonts w:eastAsiaTheme="minorEastAsia"/>
                <w:kern w:val="0"/>
                <w:szCs w:val="21"/>
              </w:rPr>
              <w:t>3</w:t>
            </w:r>
          </w:p>
        </w:tc>
        <w:tc>
          <w:tcPr>
            <w:tcW w:w="1276" w:type="dxa"/>
            <w:vAlign w:val="center"/>
          </w:tcPr>
          <w:p w:rsidR="00624321" w:rsidRDefault="00177CD5">
            <w:pPr>
              <w:jc w:val="center"/>
            </w:pPr>
            <w:r>
              <w:rPr>
                <w:rFonts w:eastAsiaTheme="minorEastAsia"/>
                <w:kern w:val="0"/>
                <w:szCs w:val="21"/>
              </w:rPr>
              <w:t>600519</w:t>
            </w:r>
          </w:p>
        </w:tc>
        <w:tc>
          <w:tcPr>
            <w:tcW w:w="1701" w:type="dxa"/>
            <w:vAlign w:val="center"/>
          </w:tcPr>
          <w:p w:rsidR="00624321" w:rsidRDefault="00177CD5">
            <w:pPr>
              <w:jc w:val="center"/>
            </w:pPr>
            <w:r>
              <w:rPr>
                <w:rFonts w:eastAsiaTheme="minorEastAsia"/>
                <w:kern w:val="0"/>
                <w:szCs w:val="21"/>
              </w:rPr>
              <w:t>贵州茅台</w:t>
            </w:r>
          </w:p>
        </w:tc>
        <w:tc>
          <w:tcPr>
            <w:tcW w:w="1276" w:type="dxa"/>
            <w:vAlign w:val="center"/>
          </w:tcPr>
          <w:p w:rsidR="00624321" w:rsidRDefault="00177CD5">
            <w:pPr>
              <w:jc w:val="right"/>
            </w:pPr>
            <w:r>
              <w:rPr>
                <w:rFonts w:eastAsiaTheme="minorEastAsia"/>
                <w:kern w:val="0"/>
                <w:szCs w:val="21"/>
              </w:rPr>
              <w:t>4,006</w:t>
            </w:r>
          </w:p>
        </w:tc>
        <w:tc>
          <w:tcPr>
            <w:tcW w:w="1842" w:type="dxa"/>
            <w:vAlign w:val="center"/>
          </w:tcPr>
          <w:p w:rsidR="00624321" w:rsidRDefault="00177CD5">
            <w:pPr>
              <w:jc w:val="right"/>
            </w:pPr>
            <w:r>
              <w:rPr>
                <w:rFonts w:eastAsiaTheme="minorEastAsia"/>
                <w:kern w:val="0"/>
                <w:szCs w:val="21"/>
              </w:rPr>
              <w:t>6,774,146.00</w:t>
            </w:r>
          </w:p>
        </w:tc>
        <w:tc>
          <w:tcPr>
            <w:tcW w:w="1616" w:type="dxa"/>
            <w:vAlign w:val="center"/>
          </w:tcPr>
          <w:p w:rsidR="00624321" w:rsidRDefault="00177CD5">
            <w:pPr>
              <w:jc w:val="right"/>
            </w:pPr>
            <w:r>
              <w:rPr>
                <w:rFonts w:eastAsiaTheme="minorEastAsia"/>
                <w:kern w:val="0"/>
                <w:szCs w:val="21"/>
              </w:rPr>
              <w:t>4.91</w:t>
            </w:r>
          </w:p>
        </w:tc>
      </w:tr>
      <w:tr w:rsidR="00624321">
        <w:tc>
          <w:tcPr>
            <w:tcW w:w="817" w:type="dxa"/>
            <w:vAlign w:val="center"/>
          </w:tcPr>
          <w:p w:rsidR="00624321" w:rsidRDefault="00177CD5">
            <w:pPr>
              <w:jc w:val="center"/>
            </w:pPr>
            <w:r>
              <w:rPr>
                <w:rFonts w:eastAsiaTheme="minorEastAsia"/>
                <w:kern w:val="0"/>
                <w:szCs w:val="21"/>
              </w:rPr>
              <w:t>4</w:t>
            </w:r>
          </w:p>
        </w:tc>
        <w:tc>
          <w:tcPr>
            <w:tcW w:w="1276" w:type="dxa"/>
            <w:vAlign w:val="center"/>
          </w:tcPr>
          <w:p w:rsidR="00624321" w:rsidRDefault="00177CD5">
            <w:pPr>
              <w:jc w:val="center"/>
            </w:pPr>
            <w:r>
              <w:rPr>
                <w:rFonts w:eastAsiaTheme="minorEastAsia"/>
                <w:kern w:val="0"/>
                <w:szCs w:val="21"/>
              </w:rPr>
              <w:t>300394</w:t>
            </w:r>
          </w:p>
        </w:tc>
        <w:tc>
          <w:tcPr>
            <w:tcW w:w="1701" w:type="dxa"/>
            <w:vAlign w:val="center"/>
          </w:tcPr>
          <w:p w:rsidR="00624321" w:rsidRDefault="00177CD5">
            <w:pPr>
              <w:jc w:val="center"/>
            </w:pPr>
            <w:r>
              <w:rPr>
                <w:rFonts w:eastAsiaTheme="minorEastAsia"/>
                <w:kern w:val="0"/>
                <w:szCs w:val="21"/>
              </w:rPr>
              <w:t>天孚通信</w:t>
            </w:r>
          </w:p>
        </w:tc>
        <w:tc>
          <w:tcPr>
            <w:tcW w:w="1276" w:type="dxa"/>
            <w:vAlign w:val="center"/>
          </w:tcPr>
          <w:p w:rsidR="00624321" w:rsidRDefault="00177CD5">
            <w:pPr>
              <w:jc w:val="right"/>
            </w:pPr>
            <w:r>
              <w:rPr>
                <w:rFonts w:eastAsiaTheme="minorEastAsia"/>
                <w:kern w:val="0"/>
                <w:szCs w:val="21"/>
              </w:rPr>
              <w:t>55,106</w:t>
            </w:r>
          </w:p>
        </w:tc>
        <w:tc>
          <w:tcPr>
            <w:tcW w:w="1842" w:type="dxa"/>
            <w:vAlign w:val="center"/>
          </w:tcPr>
          <w:p w:rsidR="00624321" w:rsidRDefault="00177CD5">
            <w:pPr>
              <w:jc w:val="right"/>
            </w:pPr>
            <w:r>
              <w:rPr>
                <w:rFonts w:eastAsiaTheme="minorEastAsia"/>
                <w:kern w:val="0"/>
                <w:szCs w:val="21"/>
              </w:rPr>
              <w:t>5,886,973.98</w:t>
            </w:r>
          </w:p>
        </w:tc>
        <w:tc>
          <w:tcPr>
            <w:tcW w:w="1616" w:type="dxa"/>
            <w:vAlign w:val="center"/>
          </w:tcPr>
          <w:p w:rsidR="00624321" w:rsidRDefault="00177CD5">
            <w:pPr>
              <w:jc w:val="right"/>
            </w:pPr>
            <w:r>
              <w:rPr>
                <w:rFonts w:eastAsiaTheme="minorEastAsia"/>
                <w:kern w:val="0"/>
                <w:szCs w:val="21"/>
              </w:rPr>
              <w:t>4.27</w:t>
            </w:r>
          </w:p>
        </w:tc>
      </w:tr>
      <w:tr w:rsidR="00624321">
        <w:tc>
          <w:tcPr>
            <w:tcW w:w="817" w:type="dxa"/>
            <w:vAlign w:val="center"/>
          </w:tcPr>
          <w:p w:rsidR="00624321" w:rsidRDefault="00177CD5">
            <w:pPr>
              <w:jc w:val="center"/>
            </w:pPr>
            <w:r>
              <w:rPr>
                <w:rFonts w:eastAsiaTheme="minorEastAsia"/>
                <w:kern w:val="0"/>
                <w:szCs w:val="21"/>
              </w:rPr>
              <w:t>5</w:t>
            </w:r>
          </w:p>
        </w:tc>
        <w:tc>
          <w:tcPr>
            <w:tcW w:w="1276" w:type="dxa"/>
            <w:vAlign w:val="center"/>
          </w:tcPr>
          <w:p w:rsidR="00624321" w:rsidRDefault="00177CD5">
            <w:pPr>
              <w:jc w:val="center"/>
            </w:pPr>
            <w:r>
              <w:rPr>
                <w:rFonts w:eastAsiaTheme="minorEastAsia"/>
                <w:kern w:val="0"/>
                <w:szCs w:val="21"/>
              </w:rPr>
              <w:t>002236</w:t>
            </w:r>
          </w:p>
        </w:tc>
        <w:tc>
          <w:tcPr>
            <w:tcW w:w="1701" w:type="dxa"/>
            <w:vAlign w:val="center"/>
          </w:tcPr>
          <w:p w:rsidR="00624321" w:rsidRDefault="00177CD5">
            <w:pPr>
              <w:jc w:val="center"/>
            </w:pPr>
            <w:r>
              <w:rPr>
                <w:rFonts w:eastAsiaTheme="minorEastAsia"/>
                <w:kern w:val="0"/>
                <w:szCs w:val="21"/>
              </w:rPr>
              <w:t>大华股份</w:t>
            </w:r>
          </w:p>
        </w:tc>
        <w:tc>
          <w:tcPr>
            <w:tcW w:w="1276" w:type="dxa"/>
            <w:vAlign w:val="center"/>
          </w:tcPr>
          <w:p w:rsidR="00624321" w:rsidRDefault="00177CD5">
            <w:pPr>
              <w:jc w:val="right"/>
            </w:pPr>
            <w:r>
              <w:rPr>
                <w:rFonts w:eastAsiaTheme="minorEastAsia"/>
                <w:kern w:val="0"/>
                <w:szCs w:val="21"/>
              </w:rPr>
              <w:t>284,620</w:t>
            </w:r>
          </w:p>
        </w:tc>
        <w:tc>
          <w:tcPr>
            <w:tcW w:w="1842" w:type="dxa"/>
            <w:vAlign w:val="center"/>
          </w:tcPr>
          <w:p w:rsidR="00624321" w:rsidRDefault="00177CD5">
            <w:pPr>
              <w:jc w:val="right"/>
            </w:pPr>
            <w:r>
              <w:rPr>
                <w:rFonts w:eastAsiaTheme="minorEastAsia"/>
                <w:kern w:val="0"/>
                <w:szCs w:val="21"/>
              </w:rPr>
              <w:t>5,621,245.00</w:t>
            </w:r>
          </w:p>
        </w:tc>
        <w:tc>
          <w:tcPr>
            <w:tcW w:w="1616" w:type="dxa"/>
            <w:vAlign w:val="center"/>
          </w:tcPr>
          <w:p w:rsidR="00624321" w:rsidRDefault="00177CD5">
            <w:pPr>
              <w:jc w:val="right"/>
            </w:pPr>
            <w:r>
              <w:rPr>
                <w:rFonts w:eastAsiaTheme="minorEastAsia"/>
                <w:kern w:val="0"/>
                <w:szCs w:val="21"/>
              </w:rPr>
              <w:t>4.08</w:t>
            </w:r>
          </w:p>
        </w:tc>
      </w:tr>
      <w:tr w:rsidR="00624321">
        <w:tc>
          <w:tcPr>
            <w:tcW w:w="817" w:type="dxa"/>
            <w:vAlign w:val="center"/>
          </w:tcPr>
          <w:p w:rsidR="00624321" w:rsidRDefault="00177CD5">
            <w:pPr>
              <w:jc w:val="center"/>
            </w:pPr>
            <w:r>
              <w:rPr>
                <w:rFonts w:eastAsiaTheme="minorEastAsia"/>
                <w:kern w:val="0"/>
                <w:szCs w:val="21"/>
              </w:rPr>
              <w:t>6</w:t>
            </w:r>
          </w:p>
        </w:tc>
        <w:tc>
          <w:tcPr>
            <w:tcW w:w="1276" w:type="dxa"/>
            <w:vAlign w:val="center"/>
          </w:tcPr>
          <w:p w:rsidR="00624321" w:rsidRDefault="00177CD5">
            <w:pPr>
              <w:jc w:val="center"/>
            </w:pPr>
            <w:r>
              <w:rPr>
                <w:rFonts w:eastAsiaTheme="minorEastAsia"/>
                <w:kern w:val="0"/>
                <w:szCs w:val="21"/>
              </w:rPr>
              <w:t>002230</w:t>
            </w:r>
          </w:p>
        </w:tc>
        <w:tc>
          <w:tcPr>
            <w:tcW w:w="1701" w:type="dxa"/>
            <w:vAlign w:val="center"/>
          </w:tcPr>
          <w:p w:rsidR="00624321" w:rsidRDefault="00177CD5">
            <w:pPr>
              <w:jc w:val="center"/>
            </w:pPr>
            <w:r>
              <w:rPr>
                <w:rFonts w:eastAsiaTheme="minorEastAsia"/>
                <w:kern w:val="0"/>
                <w:szCs w:val="21"/>
              </w:rPr>
              <w:t>科大讯飞</w:t>
            </w:r>
          </w:p>
        </w:tc>
        <w:tc>
          <w:tcPr>
            <w:tcW w:w="1276" w:type="dxa"/>
            <w:vAlign w:val="center"/>
          </w:tcPr>
          <w:p w:rsidR="00624321" w:rsidRDefault="00177CD5">
            <w:pPr>
              <w:jc w:val="right"/>
            </w:pPr>
            <w:r>
              <w:rPr>
                <w:rFonts w:eastAsiaTheme="minorEastAsia"/>
                <w:kern w:val="0"/>
                <w:szCs w:val="21"/>
              </w:rPr>
              <w:t>64,153</w:t>
            </w:r>
          </w:p>
        </w:tc>
        <w:tc>
          <w:tcPr>
            <w:tcW w:w="1842" w:type="dxa"/>
            <w:vAlign w:val="center"/>
          </w:tcPr>
          <w:p w:rsidR="00624321" w:rsidRDefault="00177CD5">
            <w:pPr>
              <w:jc w:val="right"/>
            </w:pPr>
            <w:r>
              <w:rPr>
                <w:rFonts w:eastAsiaTheme="minorEastAsia"/>
                <w:kern w:val="0"/>
                <w:szCs w:val="21"/>
              </w:rPr>
              <w:t>4,359,837.88</w:t>
            </w:r>
          </w:p>
        </w:tc>
        <w:tc>
          <w:tcPr>
            <w:tcW w:w="1616" w:type="dxa"/>
            <w:vAlign w:val="center"/>
          </w:tcPr>
          <w:p w:rsidR="00624321" w:rsidRDefault="00177CD5">
            <w:pPr>
              <w:jc w:val="right"/>
            </w:pPr>
            <w:r>
              <w:rPr>
                <w:rFonts w:eastAsiaTheme="minorEastAsia"/>
                <w:kern w:val="0"/>
                <w:szCs w:val="21"/>
              </w:rPr>
              <w:t>3.16</w:t>
            </w:r>
          </w:p>
        </w:tc>
      </w:tr>
      <w:tr w:rsidR="00624321">
        <w:tc>
          <w:tcPr>
            <w:tcW w:w="817" w:type="dxa"/>
            <w:vAlign w:val="center"/>
          </w:tcPr>
          <w:p w:rsidR="00624321" w:rsidRDefault="00177CD5">
            <w:pPr>
              <w:jc w:val="center"/>
            </w:pPr>
            <w:r>
              <w:rPr>
                <w:rFonts w:eastAsiaTheme="minorEastAsia"/>
                <w:kern w:val="0"/>
                <w:szCs w:val="21"/>
              </w:rPr>
              <w:t>7</w:t>
            </w:r>
          </w:p>
        </w:tc>
        <w:tc>
          <w:tcPr>
            <w:tcW w:w="1276" w:type="dxa"/>
            <w:vAlign w:val="center"/>
          </w:tcPr>
          <w:p w:rsidR="00624321" w:rsidRDefault="00177CD5">
            <w:pPr>
              <w:jc w:val="center"/>
            </w:pPr>
            <w:r>
              <w:rPr>
                <w:rFonts w:eastAsiaTheme="minorEastAsia"/>
                <w:kern w:val="0"/>
                <w:szCs w:val="21"/>
              </w:rPr>
              <w:t>688111</w:t>
            </w:r>
          </w:p>
        </w:tc>
        <w:tc>
          <w:tcPr>
            <w:tcW w:w="1701" w:type="dxa"/>
            <w:vAlign w:val="center"/>
          </w:tcPr>
          <w:p w:rsidR="00624321" w:rsidRDefault="00177CD5">
            <w:pPr>
              <w:jc w:val="center"/>
            </w:pPr>
            <w:r>
              <w:rPr>
                <w:rFonts w:eastAsiaTheme="minorEastAsia"/>
                <w:kern w:val="0"/>
                <w:szCs w:val="21"/>
              </w:rPr>
              <w:t>金山办公</w:t>
            </w:r>
          </w:p>
        </w:tc>
        <w:tc>
          <w:tcPr>
            <w:tcW w:w="1276" w:type="dxa"/>
            <w:vAlign w:val="center"/>
          </w:tcPr>
          <w:p w:rsidR="00624321" w:rsidRDefault="00177CD5">
            <w:pPr>
              <w:jc w:val="right"/>
            </w:pPr>
            <w:r>
              <w:rPr>
                <w:rFonts w:eastAsiaTheme="minorEastAsia"/>
                <w:kern w:val="0"/>
                <w:szCs w:val="21"/>
              </w:rPr>
              <w:t>8,578</w:t>
            </w:r>
          </w:p>
        </w:tc>
        <w:tc>
          <w:tcPr>
            <w:tcW w:w="1842" w:type="dxa"/>
            <w:vAlign w:val="center"/>
          </w:tcPr>
          <w:p w:rsidR="00624321" w:rsidRDefault="00177CD5">
            <w:pPr>
              <w:jc w:val="right"/>
            </w:pPr>
            <w:r>
              <w:rPr>
                <w:rFonts w:eastAsiaTheme="minorEastAsia"/>
                <w:kern w:val="0"/>
                <w:szCs w:val="21"/>
              </w:rPr>
              <w:t>4,050,703.16</w:t>
            </w:r>
          </w:p>
        </w:tc>
        <w:tc>
          <w:tcPr>
            <w:tcW w:w="1616" w:type="dxa"/>
            <w:vAlign w:val="center"/>
          </w:tcPr>
          <w:p w:rsidR="00624321" w:rsidRDefault="00177CD5">
            <w:pPr>
              <w:jc w:val="right"/>
            </w:pPr>
            <w:r>
              <w:rPr>
                <w:rFonts w:eastAsiaTheme="minorEastAsia"/>
                <w:kern w:val="0"/>
                <w:szCs w:val="21"/>
              </w:rPr>
              <w:t>2.94</w:t>
            </w:r>
          </w:p>
        </w:tc>
      </w:tr>
      <w:tr w:rsidR="00624321">
        <w:tc>
          <w:tcPr>
            <w:tcW w:w="817" w:type="dxa"/>
            <w:vAlign w:val="center"/>
          </w:tcPr>
          <w:p w:rsidR="00624321" w:rsidRDefault="00177CD5">
            <w:pPr>
              <w:jc w:val="center"/>
            </w:pPr>
            <w:r>
              <w:rPr>
                <w:rFonts w:eastAsiaTheme="minorEastAsia"/>
                <w:kern w:val="0"/>
                <w:szCs w:val="21"/>
              </w:rPr>
              <w:t>8</w:t>
            </w:r>
          </w:p>
        </w:tc>
        <w:tc>
          <w:tcPr>
            <w:tcW w:w="1276" w:type="dxa"/>
            <w:vAlign w:val="center"/>
          </w:tcPr>
          <w:p w:rsidR="00624321" w:rsidRDefault="00177CD5">
            <w:pPr>
              <w:jc w:val="center"/>
            </w:pPr>
            <w:r>
              <w:rPr>
                <w:rFonts w:eastAsiaTheme="minorEastAsia"/>
                <w:kern w:val="0"/>
                <w:szCs w:val="21"/>
              </w:rPr>
              <w:t>600066</w:t>
            </w:r>
          </w:p>
        </w:tc>
        <w:tc>
          <w:tcPr>
            <w:tcW w:w="1701" w:type="dxa"/>
            <w:vAlign w:val="center"/>
          </w:tcPr>
          <w:p w:rsidR="00624321" w:rsidRDefault="00177CD5">
            <w:pPr>
              <w:jc w:val="center"/>
            </w:pPr>
            <w:r>
              <w:rPr>
                <w:rFonts w:eastAsiaTheme="minorEastAsia"/>
                <w:kern w:val="0"/>
                <w:szCs w:val="21"/>
              </w:rPr>
              <w:t>宇通客车</w:t>
            </w:r>
          </w:p>
        </w:tc>
        <w:tc>
          <w:tcPr>
            <w:tcW w:w="1276" w:type="dxa"/>
            <w:vAlign w:val="center"/>
          </w:tcPr>
          <w:p w:rsidR="00624321" w:rsidRDefault="00177CD5">
            <w:pPr>
              <w:jc w:val="right"/>
            </w:pPr>
            <w:r>
              <w:rPr>
                <w:rFonts w:eastAsiaTheme="minorEastAsia"/>
                <w:kern w:val="0"/>
                <w:szCs w:val="21"/>
              </w:rPr>
              <w:t>269,400</w:t>
            </w:r>
          </w:p>
        </w:tc>
        <w:tc>
          <w:tcPr>
            <w:tcW w:w="1842" w:type="dxa"/>
            <w:vAlign w:val="center"/>
          </w:tcPr>
          <w:p w:rsidR="00624321" w:rsidRDefault="00177CD5">
            <w:pPr>
              <w:jc w:val="right"/>
            </w:pPr>
            <w:r>
              <w:rPr>
                <w:rFonts w:eastAsiaTheme="minorEastAsia"/>
                <w:kern w:val="0"/>
                <w:szCs w:val="21"/>
              </w:rPr>
              <w:t>3,970,956.00</w:t>
            </w:r>
          </w:p>
        </w:tc>
        <w:tc>
          <w:tcPr>
            <w:tcW w:w="1616" w:type="dxa"/>
            <w:vAlign w:val="center"/>
          </w:tcPr>
          <w:p w:rsidR="00624321" w:rsidRDefault="00177CD5">
            <w:pPr>
              <w:jc w:val="right"/>
            </w:pPr>
            <w:r>
              <w:rPr>
                <w:rFonts w:eastAsiaTheme="minorEastAsia"/>
                <w:kern w:val="0"/>
                <w:szCs w:val="21"/>
              </w:rPr>
              <w:t>2.88</w:t>
            </w:r>
          </w:p>
        </w:tc>
      </w:tr>
      <w:tr w:rsidR="00624321">
        <w:tc>
          <w:tcPr>
            <w:tcW w:w="817" w:type="dxa"/>
            <w:vAlign w:val="center"/>
          </w:tcPr>
          <w:p w:rsidR="00624321" w:rsidRDefault="00177CD5">
            <w:pPr>
              <w:jc w:val="center"/>
            </w:pPr>
            <w:r>
              <w:rPr>
                <w:rFonts w:eastAsiaTheme="minorEastAsia"/>
                <w:kern w:val="0"/>
                <w:szCs w:val="21"/>
              </w:rPr>
              <w:t>9</w:t>
            </w:r>
          </w:p>
        </w:tc>
        <w:tc>
          <w:tcPr>
            <w:tcW w:w="1276" w:type="dxa"/>
            <w:vAlign w:val="center"/>
          </w:tcPr>
          <w:p w:rsidR="00624321" w:rsidRDefault="00177CD5">
            <w:pPr>
              <w:jc w:val="center"/>
            </w:pPr>
            <w:r>
              <w:rPr>
                <w:rFonts w:eastAsiaTheme="minorEastAsia"/>
                <w:kern w:val="0"/>
                <w:szCs w:val="21"/>
              </w:rPr>
              <w:t>600211</w:t>
            </w:r>
          </w:p>
        </w:tc>
        <w:tc>
          <w:tcPr>
            <w:tcW w:w="1701" w:type="dxa"/>
            <w:vAlign w:val="center"/>
          </w:tcPr>
          <w:p w:rsidR="00624321" w:rsidRDefault="00177CD5">
            <w:pPr>
              <w:jc w:val="center"/>
            </w:pPr>
            <w:r>
              <w:rPr>
                <w:rFonts w:eastAsiaTheme="minorEastAsia"/>
                <w:kern w:val="0"/>
                <w:szCs w:val="21"/>
              </w:rPr>
              <w:t>西藏药业</w:t>
            </w:r>
          </w:p>
        </w:tc>
        <w:tc>
          <w:tcPr>
            <w:tcW w:w="1276" w:type="dxa"/>
            <w:vAlign w:val="center"/>
          </w:tcPr>
          <w:p w:rsidR="00624321" w:rsidRDefault="00177CD5">
            <w:pPr>
              <w:jc w:val="right"/>
            </w:pPr>
            <w:r>
              <w:rPr>
                <w:rFonts w:eastAsiaTheme="minorEastAsia"/>
                <w:kern w:val="0"/>
                <w:szCs w:val="21"/>
              </w:rPr>
              <w:t>64,400</w:t>
            </w:r>
          </w:p>
        </w:tc>
        <w:tc>
          <w:tcPr>
            <w:tcW w:w="1842" w:type="dxa"/>
            <w:vAlign w:val="center"/>
          </w:tcPr>
          <w:p w:rsidR="00624321" w:rsidRDefault="00177CD5">
            <w:pPr>
              <w:jc w:val="right"/>
            </w:pPr>
            <w:r>
              <w:rPr>
                <w:rFonts w:eastAsiaTheme="minorEastAsia"/>
                <w:kern w:val="0"/>
                <w:szCs w:val="21"/>
              </w:rPr>
              <w:t>3,825,360.00</w:t>
            </w:r>
          </w:p>
        </w:tc>
        <w:tc>
          <w:tcPr>
            <w:tcW w:w="1616" w:type="dxa"/>
            <w:vAlign w:val="center"/>
          </w:tcPr>
          <w:p w:rsidR="00624321" w:rsidRDefault="00177CD5">
            <w:pPr>
              <w:jc w:val="right"/>
            </w:pPr>
            <w:r>
              <w:rPr>
                <w:rFonts w:eastAsiaTheme="minorEastAsia"/>
                <w:kern w:val="0"/>
                <w:szCs w:val="21"/>
              </w:rPr>
              <w:t>2.77</w:t>
            </w:r>
          </w:p>
        </w:tc>
      </w:tr>
      <w:tr w:rsidR="00624321">
        <w:tc>
          <w:tcPr>
            <w:tcW w:w="817" w:type="dxa"/>
            <w:vAlign w:val="center"/>
          </w:tcPr>
          <w:p w:rsidR="00624321" w:rsidRDefault="00177CD5">
            <w:pPr>
              <w:jc w:val="center"/>
            </w:pPr>
            <w:r>
              <w:rPr>
                <w:rFonts w:eastAsiaTheme="minorEastAsia"/>
                <w:kern w:val="0"/>
                <w:szCs w:val="21"/>
              </w:rPr>
              <w:t>10</w:t>
            </w:r>
          </w:p>
        </w:tc>
        <w:tc>
          <w:tcPr>
            <w:tcW w:w="1276" w:type="dxa"/>
            <w:vAlign w:val="center"/>
          </w:tcPr>
          <w:p w:rsidR="00624321" w:rsidRDefault="00177CD5">
            <w:pPr>
              <w:jc w:val="center"/>
            </w:pPr>
            <w:r>
              <w:rPr>
                <w:rFonts w:eastAsiaTheme="minorEastAsia"/>
                <w:kern w:val="0"/>
                <w:szCs w:val="21"/>
              </w:rPr>
              <w:t>688981</w:t>
            </w:r>
          </w:p>
        </w:tc>
        <w:tc>
          <w:tcPr>
            <w:tcW w:w="1701" w:type="dxa"/>
            <w:vAlign w:val="center"/>
          </w:tcPr>
          <w:p w:rsidR="00624321" w:rsidRDefault="00177CD5">
            <w:pPr>
              <w:jc w:val="center"/>
            </w:pPr>
            <w:r>
              <w:rPr>
                <w:rFonts w:eastAsiaTheme="minorEastAsia"/>
                <w:kern w:val="0"/>
                <w:szCs w:val="21"/>
              </w:rPr>
              <w:t>中芯国际</w:t>
            </w:r>
          </w:p>
        </w:tc>
        <w:tc>
          <w:tcPr>
            <w:tcW w:w="1276" w:type="dxa"/>
            <w:vAlign w:val="center"/>
          </w:tcPr>
          <w:p w:rsidR="00624321" w:rsidRDefault="00177CD5">
            <w:pPr>
              <w:jc w:val="right"/>
            </w:pPr>
            <w:r>
              <w:rPr>
                <w:rFonts w:eastAsiaTheme="minorEastAsia"/>
                <w:kern w:val="0"/>
                <w:szCs w:val="21"/>
              </w:rPr>
              <w:t>74,810</w:t>
            </w:r>
          </w:p>
        </w:tc>
        <w:tc>
          <w:tcPr>
            <w:tcW w:w="1842" w:type="dxa"/>
            <w:vAlign w:val="center"/>
          </w:tcPr>
          <w:p w:rsidR="00624321" w:rsidRDefault="00177CD5">
            <w:pPr>
              <w:jc w:val="right"/>
            </w:pPr>
            <w:r>
              <w:rPr>
                <w:rFonts w:eastAsiaTheme="minorEastAsia"/>
                <w:kern w:val="0"/>
                <w:szCs w:val="21"/>
              </w:rPr>
              <w:t>3,779,401.20</w:t>
            </w:r>
          </w:p>
        </w:tc>
        <w:tc>
          <w:tcPr>
            <w:tcW w:w="1616" w:type="dxa"/>
            <w:vAlign w:val="center"/>
          </w:tcPr>
          <w:p w:rsidR="00624321" w:rsidRDefault="00177CD5">
            <w:pPr>
              <w:jc w:val="right"/>
            </w:pPr>
            <w:r>
              <w:rPr>
                <w:rFonts w:eastAsiaTheme="minorEastAsia"/>
                <w:kern w:val="0"/>
                <w:szCs w:val="21"/>
              </w:rPr>
              <w:t>2.74</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900.14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900.14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624321">
        <w:tc>
          <w:tcPr>
            <w:tcW w:w="1504" w:type="dxa"/>
            <w:vAlign w:val="center"/>
          </w:tcPr>
          <w:p w:rsidR="00624321" w:rsidRDefault="00177CD5">
            <w:pPr>
              <w:jc w:val="center"/>
            </w:pPr>
            <w:r>
              <w:rPr>
                <w:rFonts w:eastAsiaTheme="minorEastAsia"/>
                <w:color w:val="000000" w:themeColor="text1"/>
                <w:szCs w:val="21"/>
              </w:rPr>
              <w:t>1</w:t>
            </w:r>
          </w:p>
        </w:tc>
        <w:tc>
          <w:tcPr>
            <w:tcW w:w="1504" w:type="dxa"/>
            <w:vAlign w:val="center"/>
          </w:tcPr>
          <w:p w:rsidR="00624321" w:rsidRDefault="00177CD5">
            <w:pPr>
              <w:jc w:val="center"/>
            </w:pPr>
            <w:r>
              <w:rPr>
                <w:rFonts w:eastAsiaTheme="minorEastAsia"/>
                <w:color w:val="000000" w:themeColor="text1"/>
                <w:szCs w:val="21"/>
              </w:rPr>
              <w:t>128136</w:t>
            </w:r>
          </w:p>
        </w:tc>
        <w:tc>
          <w:tcPr>
            <w:tcW w:w="1504" w:type="dxa"/>
            <w:vAlign w:val="center"/>
          </w:tcPr>
          <w:p w:rsidR="00624321" w:rsidRDefault="00177CD5">
            <w:pPr>
              <w:jc w:val="center"/>
            </w:pPr>
            <w:r>
              <w:rPr>
                <w:rFonts w:eastAsiaTheme="minorEastAsia"/>
                <w:color w:val="000000" w:themeColor="text1"/>
                <w:szCs w:val="21"/>
              </w:rPr>
              <w:t>立讯转债</w:t>
            </w:r>
          </w:p>
        </w:tc>
        <w:tc>
          <w:tcPr>
            <w:tcW w:w="1503" w:type="dxa"/>
            <w:vAlign w:val="center"/>
          </w:tcPr>
          <w:p w:rsidR="00624321" w:rsidRDefault="00177CD5">
            <w:pPr>
              <w:jc w:val="right"/>
            </w:pPr>
            <w:r>
              <w:rPr>
                <w:rFonts w:eastAsiaTheme="minorEastAsia"/>
                <w:color w:val="000000" w:themeColor="text1"/>
                <w:szCs w:val="21"/>
              </w:rPr>
              <w:t>8</w:t>
            </w:r>
          </w:p>
        </w:tc>
        <w:tc>
          <w:tcPr>
            <w:tcW w:w="1503" w:type="dxa"/>
            <w:vAlign w:val="center"/>
          </w:tcPr>
          <w:p w:rsidR="00624321" w:rsidRDefault="00177CD5">
            <w:pPr>
              <w:jc w:val="right"/>
            </w:pPr>
            <w:r>
              <w:rPr>
                <w:rFonts w:eastAsiaTheme="minorEastAsia"/>
                <w:color w:val="000000" w:themeColor="text1"/>
                <w:szCs w:val="21"/>
              </w:rPr>
              <w:t>900.14</w:t>
            </w:r>
          </w:p>
        </w:tc>
        <w:tc>
          <w:tcPr>
            <w:tcW w:w="1503" w:type="dxa"/>
            <w:vAlign w:val="center"/>
          </w:tcPr>
          <w:p w:rsidR="00624321" w:rsidRDefault="00177CD5">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60,355.27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45,116.43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105,471.70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624321">
        <w:tc>
          <w:tcPr>
            <w:tcW w:w="1181" w:type="dxa"/>
            <w:vAlign w:val="center"/>
          </w:tcPr>
          <w:p w:rsidR="00624321" w:rsidRDefault="00177CD5">
            <w:pPr>
              <w:jc w:val="center"/>
            </w:pPr>
            <w:r>
              <w:rPr>
                <w:rFonts w:eastAsiaTheme="minorEastAsia"/>
                <w:color w:val="000000" w:themeColor="text1"/>
                <w:szCs w:val="21"/>
              </w:rPr>
              <w:t>1</w:t>
            </w:r>
          </w:p>
        </w:tc>
        <w:tc>
          <w:tcPr>
            <w:tcW w:w="2497" w:type="dxa"/>
            <w:vAlign w:val="center"/>
          </w:tcPr>
          <w:p w:rsidR="00624321" w:rsidRDefault="00177CD5">
            <w:pPr>
              <w:jc w:val="center"/>
            </w:pPr>
            <w:r>
              <w:rPr>
                <w:rFonts w:eastAsiaTheme="minorEastAsia"/>
                <w:color w:val="000000" w:themeColor="text1"/>
                <w:szCs w:val="21"/>
              </w:rPr>
              <w:t>128136</w:t>
            </w:r>
          </w:p>
        </w:tc>
        <w:tc>
          <w:tcPr>
            <w:tcW w:w="1746" w:type="dxa"/>
            <w:vAlign w:val="center"/>
          </w:tcPr>
          <w:p w:rsidR="00624321" w:rsidRDefault="00177CD5">
            <w:pPr>
              <w:jc w:val="center"/>
            </w:pPr>
            <w:r>
              <w:rPr>
                <w:rFonts w:eastAsiaTheme="minorEastAsia"/>
                <w:color w:val="000000" w:themeColor="text1"/>
                <w:szCs w:val="21"/>
              </w:rPr>
              <w:t>立讯转债</w:t>
            </w:r>
          </w:p>
        </w:tc>
        <w:tc>
          <w:tcPr>
            <w:tcW w:w="1825" w:type="dxa"/>
            <w:vAlign w:val="center"/>
          </w:tcPr>
          <w:p w:rsidR="00624321" w:rsidRDefault="00177CD5">
            <w:pPr>
              <w:jc w:val="right"/>
            </w:pPr>
            <w:r>
              <w:rPr>
                <w:rFonts w:eastAsiaTheme="minorEastAsia"/>
                <w:color w:val="000000" w:themeColor="text1"/>
                <w:szCs w:val="21"/>
              </w:rPr>
              <w:t>900.14</w:t>
            </w:r>
          </w:p>
        </w:tc>
        <w:tc>
          <w:tcPr>
            <w:tcW w:w="1679" w:type="dxa"/>
            <w:vAlign w:val="center"/>
          </w:tcPr>
          <w:p w:rsidR="00624321" w:rsidRDefault="00177CD5">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59,703,216.38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224,485.93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1,714,061.38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14,707.22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1,949,210.36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197,399.41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59,468,067.40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41,793.74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摩根民生需求股票型证券投资基金基金合同</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摩根民生需求股票型证券投资基金托管协议</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624321" w:rsidRDefault="00177C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77CD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77CD5">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77CD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摩根民生需求股票型证券投资基金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77CD5"/>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4321"/>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C758A-D06A-4556-B5DE-9A958B60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14</Pages>
  <Words>1144</Words>
  <Characters>6526</Characters>
  <Application>Microsoft Office Word</Application>
  <DocSecurity>0</DocSecurity>
  <Lines>54</Lines>
  <Paragraphs>15</Paragraphs>
  <ScaleCrop>false</ScaleCrop>
  <Company>TRT. Ltd. Co.</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219</cp:revision>
  <cp:lastPrinted>2007-07-19T00:46:00Z</cp:lastPrinted>
  <dcterms:created xsi:type="dcterms:W3CDTF">2013-06-21T06:56:00Z</dcterms:created>
  <dcterms:modified xsi:type="dcterms:W3CDTF">2023-07-20T05:33:00Z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