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上投摩根民生需求股票型证券投资基金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年第</w:t>
      </w:r>
      <w:r w:rsidRPr="00FF6B9A">
        <w:rPr>
          <w:rFonts w:eastAsiaTheme="minorEastAsia"/>
          <w:b/>
          <w:color w:val="000000" w:themeColor="text1"/>
          <w:sz w:val="36"/>
          <w:szCs w:val="36"/>
        </w:rPr>
        <w:t>2</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w:t>
      </w:r>
      <w:r w:rsidRPr="00FF6B9A">
        <w:rPr>
          <w:rFonts w:eastAsiaTheme="minorEastAsia"/>
          <w:b/>
          <w:color w:val="000000" w:themeColor="text1"/>
          <w:sz w:val="36"/>
          <w:szCs w:val="36"/>
        </w:rPr>
        <w:t>6</w:t>
      </w:r>
      <w:r w:rsidRPr="00FF6B9A">
        <w:rPr>
          <w:rFonts w:eastAsiaTheme="minorEastAsia"/>
          <w:b/>
          <w:color w:val="000000" w:themeColor="text1"/>
          <w:sz w:val="36"/>
          <w:szCs w:val="36"/>
        </w:rPr>
        <w:t>月</w:t>
      </w:r>
      <w:r w:rsidRPr="00FF6B9A">
        <w:rPr>
          <w:rFonts w:eastAsiaTheme="minorEastAsia"/>
          <w:b/>
          <w:color w:val="000000" w:themeColor="text1"/>
          <w:sz w:val="36"/>
          <w:szCs w:val="36"/>
        </w:rPr>
        <w:t>30</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基金托管人：中国建设银行股份有限公司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报告送出日期：二〇二一年七月二十一日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8D0BE3" w:rsidRDefault="00B1277C">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8D0BE3" w:rsidRDefault="00B1277C">
      <w:pPr>
        <w:spacing w:line="360" w:lineRule="auto"/>
        <w:ind w:firstLineChars="200" w:firstLine="420"/>
        <w:rPr>
          <w:rFonts w:eastAsiaTheme="minorEastAsia"/>
          <w:color w:val="000000" w:themeColor="text1"/>
        </w:rPr>
      </w:pPr>
      <w:r>
        <w:rPr>
          <w:rFonts w:eastAsiaTheme="minorEastAsia"/>
          <w:color w:val="000000" w:themeColor="text1"/>
        </w:rPr>
        <w:t>基金托管人中国建设银行股份有限公司根据本基金合同规定，于</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w:t>
      </w:r>
      <w:r>
        <w:rPr>
          <w:rFonts w:eastAsiaTheme="minorEastAsia"/>
          <w:color w:val="000000" w:themeColor="text1"/>
        </w:rPr>
        <w:t>20</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8D0BE3" w:rsidRDefault="00B1277C">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8D0BE3" w:rsidRDefault="00B1277C">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8D0BE3" w:rsidRDefault="00B1277C">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4</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6</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上投摩根民生需求股票</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000524</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000524</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2014</w:t>
            </w:r>
            <w:r w:rsidRPr="00FF6B9A">
              <w:rPr>
                <w:rFonts w:eastAsiaTheme="minorEastAsia"/>
                <w:color w:val="000000" w:themeColor="text1"/>
                <w:kern w:val="0"/>
              </w:rPr>
              <w:t>年</w:t>
            </w:r>
            <w:r w:rsidRPr="00FF6B9A">
              <w:rPr>
                <w:rFonts w:eastAsiaTheme="minorEastAsia"/>
                <w:color w:val="000000" w:themeColor="text1"/>
                <w:kern w:val="0"/>
              </w:rPr>
              <w:t>3</w:t>
            </w:r>
            <w:r w:rsidRPr="00FF6B9A">
              <w:rPr>
                <w:rFonts w:eastAsiaTheme="minorEastAsia"/>
                <w:color w:val="000000" w:themeColor="text1"/>
                <w:kern w:val="0"/>
              </w:rPr>
              <w:t>月</w:t>
            </w:r>
            <w:r w:rsidRPr="00FF6B9A">
              <w:rPr>
                <w:rFonts w:eastAsiaTheme="minorEastAsia"/>
                <w:color w:val="000000" w:themeColor="text1"/>
                <w:kern w:val="0"/>
              </w:rPr>
              <w:t>14</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68,936,330.99</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本基金主要投资于民生需求相关行业的上市公司，分享中国经济增长模式转变带来的民生需求行业的投资机会，在控制风险的前提下力争实现基金资产的稳定增值。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8D0BE3" w:rsidRDefault="00B1277C">
            <w:pPr>
              <w:adjustRightInd w:val="0"/>
              <w:spacing w:before="29" w:line="360" w:lineRule="auto"/>
              <w:ind w:left="17"/>
              <w:rPr>
                <w:rFonts w:eastAsiaTheme="minorEastAsia"/>
                <w:color w:val="000000" w:themeColor="text1"/>
              </w:rPr>
            </w:pPr>
            <w:r>
              <w:rPr>
                <w:rFonts w:eastAsiaTheme="minorEastAsia"/>
                <w:color w:val="000000" w:themeColor="text1"/>
                <w:kern w:val="0"/>
              </w:rPr>
              <w:t>本基金将通过系统和深入的基本面研究，重点投资于与民生相关行业的上市公司，将不低于</w:t>
            </w:r>
            <w:r>
              <w:rPr>
                <w:rFonts w:eastAsiaTheme="minorEastAsia"/>
                <w:color w:val="000000" w:themeColor="text1"/>
                <w:kern w:val="0"/>
              </w:rPr>
              <w:t>80%</w:t>
            </w:r>
            <w:r>
              <w:rPr>
                <w:rFonts w:eastAsiaTheme="minorEastAsia"/>
                <w:color w:val="000000" w:themeColor="text1"/>
                <w:kern w:val="0"/>
              </w:rPr>
              <w:t>的非现金基金资产投资于民生需求相关行业，分享中国经济增长模式转变带来的投资机会。在行业配置层面，本基金将从行业生命周</w:t>
            </w:r>
            <w:r>
              <w:rPr>
                <w:rFonts w:eastAsiaTheme="minorEastAsia"/>
                <w:color w:val="000000" w:themeColor="text1"/>
                <w:kern w:val="0"/>
              </w:rPr>
              <w:lastRenderedPageBreak/>
              <w:t>期、行业景气度、行业竞争格局等多角度，综合评估各个行业的投资价值，对基金资产在行业间分配进行安排。在个股选择层面，本基金将主要采用</w:t>
            </w:r>
            <w:r>
              <w:rPr>
                <w:rFonts w:eastAsiaTheme="minorEastAsia"/>
                <w:color w:val="000000" w:themeColor="text1"/>
                <w:kern w:val="0"/>
              </w:rPr>
              <w:t>“</w:t>
            </w:r>
            <w:r>
              <w:rPr>
                <w:rFonts w:eastAsiaTheme="minorEastAsia"/>
                <w:color w:val="000000" w:themeColor="text1"/>
                <w:kern w:val="0"/>
              </w:rPr>
              <w:t>自下而上</w:t>
            </w:r>
            <w:r>
              <w:rPr>
                <w:rFonts w:eastAsiaTheme="minorEastAsia"/>
                <w:color w:val="000000" w:themeColor="text1"/>
                <w:kern w:val="0"/>
              </w:rPr>
              <w:t>”</w:t>
            </w:r>
            <w:r>
              <w:rPr>
                <w:rFonts w:eastAsiaTheme="minorEastAsia"/>
                <w:color w:val="000000" w:themeColor="text1"/>
                <w:kern w:val="0"/>
              </w:rPr>
              <w:t>的方法，在</w:t>
            </w:r>
            <w:r>
              <w:rPr>
                <w:rFonts w:eastAsiaTheme="minorEastAsia"/>
                <w:color w:val="000000" w:themeColor="text1"/>
                <w:kern w:val="0"/>
              </w:rPr>
              <w:t>备选行业内部通过定量与定性相结合的分析方法，综合分析上市公司的业绩质量、成长性和估值水平等各方面信息，精选具有良好成长性、估值合理的个股。</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具体策略包括：资产配置策略、股票投资策略、行业配置策略、固定收益类投资策略、可转换债券投资策略、中小企业私募债投资策略、股指期货投资策略、存托凭证投资策略。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沪深</w:t>
            </w:r>
            <w:r w:rsidRPr="00FF6B9A">
              <w:rPr>
                <w:rFonts w:eastAsiaTheme="minorEastAsia"/>
                <w:color w:val="000000" w:themeColor="text1"/>
                <w:kern w:val="0"/>
              </w:rPr>
              <w:t>300</w:t>
            </w:r>
            <w:r w:rsidRPr="00FF6B9A">
              <w:rPr>
                <w:rFonts w:eastAsiaTheme="minorEastAsia"/>
                <w:color w:val="000000" w:themeColor="text1"/>
                <w:kern w:val="0"/>
              </w:rPr>
              <w:t>指数收益率</w:t>
            </w:r>
            <w:r w:rsidRPr="00FF6B9A">
              <w:rPr>
                <w:rFonts w:eastAsiaTheme="minorEastAsia"/>
                <w:color w:val="000000" w:themeColor="text1"/>
                <w:kern w:val="0"/>
              </w:rPr>
              <w:t>×85%+</w:t>
            </w:r>
            <w:r w:rsidRPr="00FF6B9A">
              <w:rPr>
                <w:rFonts w:eastAsiaTheme="minorEastAsia"/>
                <w:color w:val="000000" w:themeColor="text1"/>
                <w:kern w:val="0"/>
              </w:rPr>
              <w:t>中债总指数收益率</w:t>
            </w:r>
            <w:r w:rsidRPr="00FF6B9A">
              <w:rPr>
                <w:rFonts w:eastAsiaTheme="minorEastAsia"/>
                <w:color w:val="000000" w:themeColor="text1"/>
                <w:kern w:val="0"/>
              </w:rPr>
              <w:t>×15%</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8D0BE3" w:rsidRDefault="00B1277C">
            <w:pPr>
              <w:adjustRightInd w:val="0"/>
              <w:spacing w:before="29" w:line="360" w:lineRule="auto"/>
              <w:ind w:left="17"/>
              <w:rPr>
                <w:rFonts w:eastAsiaTheme="minorEastAsia"/>
                <w:color w:val="000000" w:themeColor="text1"/>
              </w:rPr>
            </w:pPr>
            <w:r>
              <w:rPr>
                <w:rFonts w:eastAsiaTheme="minorEastAsia"/>
                <w:color w:val="000000" w:themeColor="text1"/>
                <w:kern w:val="0"/>
              </w:rPr>
              <w:t>本基金属于股票型基金产品，预期风险和收益水平高于混合型基金、债券型基金和货币市场基金，属于较高风险收益水平的基金产品。</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根据</w:t>
            </w:r>
            <w:r w:rsidRPr="00FF6B9A">
              <w:rPr>
                <w:rFonts w:eastAsiaTheme="minorEastAsia"/>
                <w:color w:val="000000" w:themeColor="text1"/>
                <w:kern w:val="0"/>
              </w:rPr>
              <w:t>2017</w:t>
            </w:r>
            <w:r w:rsidRPr="00FF6B9A">
              <w:rPr>
                <w:rFonts w:eastAsiaTheme="minorEastAsia"/>
                <w:color w:val="000000" w:themeColor="text1"/>
                <w:kern w:val="0"/>
              </w:rPr>
              <w:t>年</w:t>
            </w:r>
            <w:r w:rsidRPr="00FF6B9A">
              <w:rPr>
                <w:rFonts w:eastAsiaTheme="minorEastAsia"/>
                <w:color w:val="000000" w:themeColor="text1"/>
                <w:kern w:val="0"/>
              </w:rPr>
              <w:t>7</w:t>
            </w:r>
            <w:r w:rsidRPr="00FF6B9A">
              <w:rPr>
                <w:rFonts w:eastAsiaTheme="minorEastAsia"/>
                <w:color w:val="000000" w:themeColor="text1"/>
                <w:kern w:val="0"/>
              </w:rPr>
              <w:t>月</w:t>
            </w:r>
            <w:r w:rsidRPr="00FF6B9A">
              <w:rPr>
                <w:rFonts w:eastAsiaTheme="minorEastAsia"/>
                <w:color w:val="000000" w:themeColor="text1"/>
                <w:kern w:val="0"/>
              </w:rPr>
              <w:t>1</w:t>
            </w:r>
            <w:r w:rsidRPr="00FF6B9A">
              <w:rPr>
                <w:rFonts w:eastAsiaTheme="minorEastAsia"/>
                <w:color w:val="000000" w:themeColor="text1"/>
                <w:kern w:val="0"/>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中国建设银行股份有限公司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B1277C" w:rsidRPr="00FF6B9A" w:rsidTr="00B1277C">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4</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6</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w:t>
            </w:r>
            <w:r w:rsidRPr="00FF6B9A">
              <w:rPr>
                <w:rFonts w:eastAsiaTheme="minorEastAsia"/>
                <w:color w:val="000000" w:themeColor="text1"/>
              </w:rPr>
              <w:t>)</w:t>
            </w:r>
          </w:p>
        </w:tc>
      </w:tr>
      <w:tr w:rsidR="00B1277C" w:rsidRPr="00FF6B9A" w:rsidTr="00B1277C">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lastRenderedPageBreak/>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9,307,728.44</w:t>
            </w:r>
          </w:p>
        </w:tc>
      </w:tr>
      <w:tr w:rsidR="00B1277C" w:rsidRPr="00FF6B9A" w:rsidTr="00B1277C">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32,377,502.44</w:t>
            </w:r>
          </w:p>
        </w:tc>
      </w:tr>
      <w:tr w:rsidR="00B1277C" w:rsidRPr="00FF6B9A" w:rsidTr="00B1277C">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0.4555</w:t>
            </w:r>
          </w:p>
        </w:tc>
      </w:tr>
      <w:tr w:rsidR="00B1277C" w:rsidRPr="00FF6B9A" w:rsidTr="00B1277C">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230,624,905.04</w:t>
            </w:r>
          </w:p>
        </w:tc>
      </w:tr>
      <w:tr w:rsidR="00B1277C" w:rsidRPr="00FF6B9A" w:rsidTr="00B1277C">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3.3455</w:t>
            </w:r>
          </w:p>
        </w:tc>
      </w:tr>
    </w:tbl>
    <w:p w:rsidR="008D0BE3" w:rsidRDefault="00B1277C">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8D0BE3">
        <w:tc>
          <w:tcPr>
            <w:tcW w:w="1395" w:type="dxa"/>
            <w:vAlign w:val="center"/>
          </w:tcPr>
          <w:p w:rsidR="008D0BE3" w:rsidRDefault="00B1277C">
            <w:pPr>
              <w:jc w:val="left"/>
            </w:pPr>
            <w:r>
              <w:rPr>
                <w:rFonts w:eastAsiaTheme="minorEastAsia"/>
                <w:color w:val="000000" w:themeColor="text1"/>
                <w:kern w:val="0"/>
              </w:rPr>
              <w:t>过去三个月</w:t>
            </w:r>
          </w:p>
        </w:tc>
        <w:tc>
          <w:tcPr>
            <w:tcW w:w="1092" w:type="dxa"/>
            <w:vAlign w:val="center"/>
          </w:tcPr>
          <w:p w:rsidR="008D0BE3" w:rsidRDefault="00B1277C">
            <w:pPr>
              <w:jc w:val="center"/>
            </w:pPr>
            <w:r>
              <w:rPr>
                <w:rFonts w:eastAsiaTheme="minorEastAsia"/>
                <w:color w:val="000000" w:themeColor="text1"/>
                <w:kern w:val="0"/>
              </w:rPr>
              <w:t>15.93%</w:t>
            </w:r>
          </w:p>
        </w:tc>
        <w:tc>
          <w:tcPr>
            <w:tcW w:w="1161" w:type="dxa"/>
            <w:vAlign w:val="center"/>
          </w:tcPr>
          <w:p w:rsidR="008D0BE3" w:rsidRDefault="00B1277C">
            <w:pPr>
              <w:jc w:val="center"/>
            </w:pPr>
            <w:r>
              <w:rPr>
                <w:rFonts w:eastAsiaTheme="minorEastAsia"/>
                <w:color w:val="000000" w:themeColor="text1"/>
                <w:kern w:val="0"/>
              </w:rPr>
              <w:t>1.32%</w:t>
            </w:r>
          </w:p>
        </w:tc>
        <w:tc>
          <w:tcPr>
            <w:tcW w:w="1181" w:type="dxa"/>
            <w:vAlign w:val="center"/>
          </w:tcPr>
          <w:p w:rsidR="008D0BE3" w:rsidRDefault="00B1277C">
            <w:pPr>
              <w:jc w:val="center"/>
            </w:pPr>
            <w:r>
              <w:rPr>
                <w:rFonts w:eastAsiaTheme="minorEastAsia"/>
                <w:color w:val="000000" w:themeColor="text1"/>
                <w:kern w:val="0"/>
              </w:rPr>
              <w:t>3.03%</w:t>
            </w:r>
          </w:p>
        </w:tc>
        <w:tc>
          <w:tcPr>
            <w:tcW w:w="1188" w:type="dxa"/>
            <w:vAlign w:val="center"/>
          </w:tcPr>
          <w:p w:rsidR="008D0BE3" w:rsidRDefault="00B1277C">
            <w:pPr>
              <w:jc w:val="center"/>
            </w:pPr>
            <w:r>
              <w:rPr>
                <w:rFonts w:eastAsiaTheme="minorEastAsia"/>
                <w:color w:val="000000" w:themeColor="text1"/>
                <w:kern w:val="0"/>
              </w:rPr>
              <w:t>0.83%</w:t>
            </w:r>
          </w:p>
        </w:tc>
        <w:tc>
          <w:tcPr>
            <w:tcW w:w="1199" w:type="dxa"/>
            <w:vAlign w:val="center"/>
          </w:tcPr>
          <w:p w:rsidR="008D0BE3" w:rsidRDefault="00B1277C">
            <w:pPr>
              <w:jc w:val="center"/>
            </w:pPr>
            <w:r>
              <w:rPr>
                <w:rFonts w:eastAsiaTheme="minorEastAsia"/>
                <w:color w:val="000000" w:themeColor="text1"/>
                <w:kern w:val="0"/>
              </w:rPr>
              <w:t>12.90%</w:t>
            </w:r>
          </w:p>
        </w:tc>
        <w:tc>
          <w:tcPr>
            <w:tcW w:w="1204" w:type="dxa"/>
            <w:vAlign w:val="center"/>
          </w:tcPr>
          <w:p w:rsidR="008D0BE3" w:rsidRDefault="00B1277C">
            <w:pPr>
              <w:jc w:val="center"/>
            </w:pPr>
            <w:r>
              <w:rPr>
                <w:rFonts w:eastAsiaTheme="minorEastAsia"/>
                <w:color w:val="000000" w:themeColor="text1"/>
                <w:kern w:val="0"/>
              </w:rPr>
              <w:t>0.49%</w:t>
            </w:r>
          </w:p>
        </w:tc>
      </w:tr>
      <w:tr w:rsidR="008D0BE3">
        <w:tc>
          <w:tcPr>
            <w:tcW w:w="1395" w:type="dxa"/>
            <w:vAlign w:val="center"/>
          </w:tcPr>
          <w:p w:rsidR="008D0BE3" w:rsidRDefault="00B1277C">
            <w:pPr>
              <w:jc w:val="left"/>
            </w:pPr>
            <w:r>
              <w:rPr>
                <w:rFonts w:eastAsiaTheme="minorEastAsia"/>
                <w:color w:val="000000" w:themeColor="text1"/>
                <w:kern w:val="0"/>
              </w:rPr>
              <w:t>过去六个月</w:t>
            </w:r>
          </w:p>
        </w:tc>
        <w:tc>
          <w:tcPr>
            <w:tcW w:w="1092" w:type="dxa"/>
            <w:vAlign w:val="center"/>
          </w:tcPr>
          <w:p w:rsidR="008D0BE3" w:rsidRDefault="00B1277C">
            <w:pPr>
              <w:jc w:val="center"/>
            </w:pPr>
            <w:r>
              <w:rPr>
                <w:rFonts w:eastAsiaTheme="minorEastAsia"/>
                <w:color w:val="000000" w:themeColor="text1"/>
                <w:kern w:val="0"/>
              </w:rPr>
              <w:t>9.88%</w:t>
            </w:r>
          </w:p>
        </w:tc>
        <w:tc>
          <w:tcPr>
            <w:tcW w:w="1161" w:type="dxa"/>
            <w:vAlign w:val="center"/>
          </w:tcPr>
          <w:p w:rsidR="008D0BE3" w:rsidRDefault="00B1277C">
            <w:pPr>
              <w:jc w:val="center"/>
            </w:pPr>
            <w:r>
              <w:rPr>
                <w:rFonts w:eastAsiaTheme="minorEastAsia"/>
                <w:color w:val="000000" w:themeColor="text1"/>
                <w:kern w:val="0"/>
              </w:rPr>
              <w:t>1.72%</w:t>
            </w:r>
          </w:p>
        </w:tc>
        <w:tc>
          <w:tcPr>
            <w:tcW w:w="1181" w:type="dxa"/>
            <w:vAlign w:val="center"/>
          </w:tcPr>
          <w:p w:rsidR="008D0BE3" w:rsidRDefault="00B1277C">
            <w:pPr>
              <w:jc w:val="center"/>
            </w:pPr>
            <w:r>
              <w:rPr>
                <w:rFonts w:eastAsiaTheme="minorEastAsia"/>
                <w:color w:val="000000" w:themeColor="text1"/>
                <w:kern w:val="0"/>
              </w:rPr>
              <w:t>0.24%</w:t>
            </w:r>
          </w:p>
        </w:tc>
        <w:tc>
          <w:tcPr>
            <w:tcW w:w="1188" w:type="dxa"/>
            <w:vAlign w:val="center"/>
          </w:tcPr>
          <w:p w:rsidR="008D0BE3" w:rsidRDefault="00B1277C">
            <w:pPr>
              <w:jc w:val="center"/>
            </w:pPr>
            <w:r>
              <w:rPr>
                <w:rFonts w:eastAsiaTheme="minorEastAsia"/>
                <w:color w:val="000000" w:themeColor="text1"/>
                <w:kern w:val="0"/>
              </w:rPr>
              <w:t>1.12%</w:t>
            </w:r>
          </w:p>
        </w:tc>
        <w:tc>
          <w:tcPr>
            <w:tcW w:w="1199" w:type="dxa"/>
            <w:vAlign w:val="center"/>
          </w:tcPr>
          <w:p w:rsidR="008D0BE3" w:rsidRDefault="00B1277C">
            <w:pPr>
              <w:jc w:val="center"/>
            </w:pPr>
            <w:r>
              <w:rPr>
                <w:rFonts w:eastAsiaTheme="minorEastAsia"/>
                <w:color w:val="000000" w:themeColor="text1"/>
                <w:kern w:val="0"/>
              </w:rPr>
              <w:t>9.64%</w:t>
            </w:r>
          </w:p>
        </w:tc>
        <w:tc>
          <w:tcPr>
            <w:tcW w:w="1204" w:type="dxa"/>
            <w:vAlign w:val="center"/>
          </w:tcPr>
          <w:p w:rsidR="008D0BE3" w:rsidRDefault="00B1277C">
            <w:pPr>
              <w:jc w:val="center"/>
            </w:pPr>
            <w:r>
              <w:rPr>
                <w:rFonts w:eastAsiaTheme="minorEastAsia"/>
                <w:color w:val="000000" w:themeColor="text1"/>
                <w:kern w:val="0"/>
              </w:rPr>
              <w:t>0.60%</w:t>
            </w:r>
          </w:p>
        </w:tc>
      </w:tr>
      <w:tr w:rsidR="008D0BE3">
        <w:tc>
          <w:tcPr>
            <w:tcW w:w="1395" w:type="dxa"/>
            <w:vAlign w:val="center"/>
          </w:tcPr>
          <w:p w:rsidR="008D0BE3" w:rsidRDefault="00B1277C">
            <w:pPr>
              <w:jc w:val="left"/>
            </w:pPr>
            <w:r>
              <w:rPr>
                <w:rFonts w:eastAsiaTheme="minorEastAsia"/>
                <w:color w:val="000000" w:themeColor="text1"/>
                <w:kern w:val="0"/>
              </w:rPr>
              <w:t>过去一年</w:t>
            </w:r>
          </w:p>
        </w:tc>
        <w:tc>
          <w:tcPr>
            <w:tcW w:w="1092" w:type="dxa"/>
            <w:vAlign w:val="center"/>
          </w:tcPr>
          <w:p w:rsidR="008D0BE3" w:rsidRDefault="00B1277C">
            <w:pPr>
              <w:jc w:val="center"/>
            </w:pPr>
            <w:r>
              <w:rPr>
                <w:rFonts w:eastAsiaTheme="minorEastAsia"/>
                <w:color w:val="000000" w:themeColor="text1"/>
                <w:kern w:val="0"/>
              </w:rPr>
              <w:t>38.82%</w:t>
            </w:r>
          </w:p>
        </w:tc>
        <w:tc>
          <w:tcPr>
            <w:tcW w:w="1161" w:type="dxa"/>
            <w:vAlign w:val="center"/>
          </w:tcPr>
          <w:p w:rsidR="008D0BE3" w:rsidRDefault="00B1277C">
            <w:pPr>
              <w:jc w:val="center"/>
            </w:pPr>
            <w:r>
              <w:rPr>
                <w:rFonts w:eastAsiaTheme="minorEastAsia"/>
                <w:color w:val="000000" w:themeColor="text1"/>
                <w:kern w:val="0"/>
              </w:rPr>
              <w:t>1.67%</w:t>
            </w:r>
          </w:p>
        </w:tc>
        <w:tc>
          <w:tcPr>
            <w:tcW w:w="1181" w:type="dxa"/>
            <w:vAlign w:val="center"/>
          </w:tcPr>
          <w:p w:rsidR="008D0BE3" w:rsidRDefault="00B1277C">
            <w:pPr>
              <w:jc w:val="center"/>
            </w:pPr>
            <w:r>
              <w:rPr>
                <w:rFonts w:eastAsiaTheme="minorEastAsia"/>
                <w:color w:val="000000" w:themeColor="text1"/>
                <w:kern w:val="0"/>
              </w:rPr>
              <w:t>21.53%</w:t>
            </w:r>
          </w:p>
        </w:tc>
        <w:tc>
          <w:tcPr>
            <w:tcW w:w="1188" w:type="dxa"/>
            <w:vAlign w:val="center"/>
          </w:tcPr>
          <w:p w:rsidR="008D0BE3" w:rsidRDefault="00B1277C">
            <w:pPr>
              <w:jc w:val="center"/>
            </w:pPr>
            <w:r>
              <w:rPr>
                <w:rFonts w:eastAsiaTheme="minorEastAsia"/>
                <w:color w:val="000000" w:themeColor="text1"/>
                <w:kern w:val="0"/>
              </w:rPr>
              <w:t>1.13%</w:t>
            </w:r>
          </w:p>
        </w:tc>
        <w:tc>
          <w:tcPr>
            <w:tcW w:w="1199" w:type="dxa"/>
            <w:vAlign w:val="center"/>
          </w:tcPr>
          <w:p w:rsidR="008D0BE3" w:rsidRDefault="00B1277C">
            <w:pPr>
              <w:jc w:val="center"/>
            </w:pPr>
            <w:r>
              <w:rPr>
                <w:rFonts w:eastAsiaTheme="minorEastAsia"/>
                <w:color w:val="000000" w:themeColor="text1"/>
                <w:kern w:val="0"/>
              </w:rPr>
              <w:t>17.29%</w:t>
            </w:r>
          </w:p>
        </w:tc>
        <w:tc>
          <w:tcPr>
            <w:tcW w:w="1204" w:type="dxa"/>
            <w:vAlign w:val="center"/>
          </w:tcPr>
          <w:p w:rsidR="008D0BE3" w:rsidRDefault="00B1277C">
            <w:pPr>
              <w:jc w:val="center"/>
            </w:pPr>
            <w:r>
              <w:rPr>
                <w:rFonts w:eastAsiaTheme="minorEastAsia"/>
                <w:color w:val="000000" w:themeColor="text1"/>
                <w:kern w:val="0"/>
              </w:rPr>
              <w:t>0.54%</w:t>
            </w:r>
          </w:p>
        </w:tc>
      </w:tr>
      <w:tr w:rsidR="008D0BE3">
        <w:tc>
          <w:tcPr>
            <w:tcW w:w="1395" w:type="dxa"/>
            <w:vAlign w:val="center"/>
          </w:tcPr>
          <w:p w:rsidR="008D0BE3" w:rsidRDefault="00B1277C">
            <w:pPr>
              <w:jc w:val="left"/>
            </w:pPr>
            <w:r>
              <w:rPr>
                <w:rFonts w:eastAsiaTheme="minorEastAsia"/>
                <w:color w:val="000000" w:themeColor="text1"/>
                <w:kern w:val="0"/>
              </w:rPr>
              <w:t>过去三年</w:t>
            </w:r>
          </w:p>
        </w:tc>
        <w:tc>
          <w:tcPr>
            <w:tcW w:w="1092" w:type="dxa"/>
            <w:vAlign w:val="center"/>
          </w:tcPr>
          <w:p w:rsidR="008D0BE3" w:rsidRDefault="00B1277C">
            <w:pPr>
              <w:jc w:val="center"/>
            </w:pPr>
            <w:r>
              <w:rPr>
                <w:rFonts w:eastAsiaTheme="minorEastAsia"/>
                <w:color w:val="000000" w:themeColor="text1"/>
                <w:kern w:val="0"/>
              </w:rPr>
              <w:t>133.79%</w:t>
            </w:r>
          </w:p>
        </w:tc>
        <w:tc>
          <w:tcPr>
            <w:tcW w:w="1161" w:type="dxa"/>
            <w:vAlign w:val="center"/>
          </w:tcPr>
          <w:p w:rsidR="008D0BE3" w:rsidRDefault="00B1277C">
            <w:pPr>
              <w:jc w:val="center"/>
            </w:pPr>
            <w:r>
              <w:rPr>
                <w:rFonts w:eastAsiaTheme="minorEastAsia"/>
                <w:color w:val="000000" w:themeColor="text1"/>
                <w:kern w:val="0"/>
              </w:rPr>
              <w:t>1.65%</w:t>
            </w:r>
          </w:p>
        </w:tc>
        <w:tc>
          <w:tcPr>
            <w:tcW w:w="1181" w:type="dxa"/>
            <w:vAlign w:val="center"/>
          </w:tcPr>
          <w:p w:rsidR="008D0BE3" w:rsidRDefault="00B1277C">
            <w:pPr>
              <w:jc w:val="center"/>
            </w:pPr>
            <w:r>
              <w:rPr>
                <w:rFonts w:eastAsiaTheme="minorEastAsia"/>
                <w:color w:val="000000" w:themeColor="text1"/>
                <w:kern w:val="0"/>
              </w:rPr>
              <w:t>42.12%</w:t>
            </w:r>
          </w:p>
        </w:tc>
        <w:tc>
          <w:tcPr>
            <w:tcW w:w="1188" w:type="dxa"/>
            <w:vAlign w:val="center"/>
          </w:tcPr>
          <w:p w:rsidR="008D0BE3" w:rsidRDefault="00B1277C">
            <w:pPr>
              <w:jc w:val="center"/>
            </w:pPr>
            <w:r>
              <w:rPr>
                <w:rFonts w:eastAsiaTheme="minorEastAsia"/>
                <w:color w:val="000000" w:themeColor="text1"/>
                <w:kern w:val="0"/>
              </w:rPr>
              <w:t>1.16%</w:t>
            </w:r>
          </w:p>
        </w:tc>
        <w:tc>
          <w:tcPr>
            <w:tcW w:w="1199" w:type="dxa"/>
            <w:vAlign w:val="center"/>
          </w:tcPr>
          <w:p w:rsidR="008D0BE3" w:rsidRDefault="00B1277C">
            <w:pPr>
              <w:jc w:val="center"/>
            </w:pPr>
            <w:r>
              <w:rPr>
                <w:rFonts w:eastAsiaTheme="minorEastAsia"/>
                <w:color w:val="000000" w:themeColor="text1"/>
                <w:kern w:val="0"/>
              </w:rPr>
              <w:t>91.67%</w:t>
            </w:r>
          </w:p>
        </w:tc>
        <w:tc>
          <w:tcPr>
            <w:tcW w:w="1204" w:type="dxa"/>
            <w:vAlign w:val="center"/>
          </w:tcPr>
          <w:p w:rsidR="008D0BE3" w:rsidRDefault="00B1277C">
            <w:pPr>
              <w:jc w:val="center"/>
            </w:pPr>
            <w:r>
              <w:rPr>
                <w:rFonts w:eastAsiaTheme="minorEastAsia"/>
                <w:color w:val="000000" w:themeColor="text1"/>
                <w:kern w:val="0"/>
              </w:rPr>
              <w:t>0.49%</w:t>
            </w:r>
          </w:p>
        </w:tc>
      </w:tr>
      <w:tr w:rsidR="008D0BE3">
        <w:tc>
          <w:tcPr>
            <w:tcW w:w="1395" w:type="dxa"/>
            <w:vAlign w:val="center"/>
          </w:tcPr>
          <w:p w:rsidR="008D0BE3" w:rsidRDefault="00B1277C">
            <w:pPr>
              <w:jc w:val="left"/>
            </w:pPr>
            <w:r>
              <w:rPr>
                <w:rFonts w:eastAsiaTheme="minorEastAsia"/>
                <w:color w:val="000000" w:themeColor="text1"/>
                <w:kern w:val="0"/>
              </w:rPr>
              <w:t>过去五年</w:t>
            </w:r>
          </w:p>
        </w:tc>
        <w:tc>
          <w:tcPr>
            <w:tcW w:w="1092" w:type="dxa"/>
            <w:vAlign w:val="center"/>
          </w:tcPr>
          <w:p w:rsidR="008D0BE3" w:rsidRDefault="00B1277C">
            <w:pPr>
              <w:jc w:val="center"/>
            </w:pPr>
            <w:r>
              <w:rPr>
                <w:rFonts w:eastAsiaTheme="minorEastAsia"/>
                <w:color w:val="000000" w:themeColor="text1"/>
                <w:kern w:val="0"/>
              </w:rPr>
              <w:t>89.33%</w:t>
            </w:r>
          </w:p>
        </w:tc>
        <w:tc>
          <w:tcPr>
            <w:tcW w:w="1161" w:type="dxa"/>
            <w:vAlign w:val="center"/>
          </w:tcPr>
          <w:p w:rsidR="008D0BE3" w:rsidRDefault="00B1277C">
            <w:pPr>
              <w:jc w:val="center"/>
            </w:pPr>
            <w:r>
              <w:rPr>
                <w:rFonts w:eastAsiaTheme="minorEastAsia"/>
                <w:color w:val="000000" w:themeColor="text1"/>
                <w:kern w:val="0"/>
              </w:rPr>
              <w:t>1.44%</w:t>
            </w:r>
          </w:p>
        </w:tc>
        <w:tc>
          <w:tcPr>
            <w:tcW w:w="1181" w:type="dxa"/>
            <w:vAlign w:val="center"/>
          </w:tcPr>
          <w:p w:rsidR="008D0BE3" w:rsidRDefault="00B1277C">
            <w:pPr>
              <w:jc w:val="center"/>
            </w:pPr>
            <w:r>
              <w:rPr>
                <w:rFonts w:eastAsiaTheme="minorEastAsia"/>
                <w:color w:val="000000" w:themeColor="text1"/>
                <w:kern w:val="0"/>
              </w:rPr>
              <w:t>56.01%</w:t>
            </w:r>
          </w:p>
        </w:tc>
        <w:tc>
          <w:tcPr>
            <w:tcW w:w="1188" w:type="dxa"/>
            <w:vAlign w:val="center"/>
          </w:tcPr>
          <w:p w:rsidR="008D0BE3" w:rsidRDefault="00B1277C">
            <w:pPr>
              <w:jc w:val="center"/>
            </w:pPr>
            <w:r>
              <w:rPr>
                <w:rFonts w:eastAsiaTheme="minorEastAsia"/>
                <w:color w:val="000000" w:themeColor="text1"/>
                <w:kern w:val="0"/>
              </w:rPr>
              <w:t>1.00%</w:t>
            </w:r>
          </w:p>
        </w:tc>
        <w:tc>
          <w:tcPr>
            <w:tcW w:w="1199" w:type="dxa"/>
            <w:vAlign w:val="center"/>
          </w:tcPr>
          <w:p w:rsidR="008D0BE3" w:rsidRDefault="00B1277C">
            <w:pPr>
              <w:jc w:val="center"/>
            </w:pPr>
            <w:r>
              <w:rPr>
                <w:rFonts w:eastAsiaTheme="minorEastAsia"/>
                <w:color w:val="000000" w:themeColor="text1"/>
                <w:kern w:val="0"/>
              </w:rPr>
              <w:t>33.32%</w:t>
            </w:r>
          </w:p>
        </w:tc>
        <w:tc>
          <w:tcPr>
            <w:tcW w:w="1204" w:type="dxa"/>
            <w:vAlign w:val="center"/>
          </w:tcPr>
          <w:p w:rsidR="008D0BE3" w:rsidRDefault="00B1277C">
            <w:pPr>
              <w:jc w:val="center"/>
            </w:pPr>
            <w:r>
              <w:rPr>
                <w:rFonts w:eastAsiaTheme="minorEastAsia"/>
                <w:color w:val="000000" w:themeColor="text1"/>
                <w:kern w:val="0"/>
              </w:rPr>
              <w:t>0.44%</w:t>
            </w:r>
          </w:p>
        </w:tc>
      </w:tr>
      <w:tr w:rsidR="008D0BE3">
        <w:tc>
          <w:tcPr>
            <w:tcW w:w="1395" w:type="dxa"/>
            <w:vAlign w:val="center"/>
          </w:tcPr>
          <w:p w:rsidR="008D0BE3" w:rsidRDefault="00B1277C">
            <w:pPr>
              <w:jc w:val="left"/>
            </w:pPr>
            <w:r>
              <w:rPr>
                <w:rFonts w:eastAsiaTheme="minorEastAsia"/>
                <w:color w:val="000000" w:themeColor="text1"/>
                <w:kern w:val="0"/>
              </w:rPr>
              <w:t>自基金合同生效起至今</w:t>
            </w:r>
          </w:p>
        </w:tc>
        <w:tc>
          <w:tcPr>
            <w:tcW w:w="1092" w:type="dxa"/>
            <w:vAlign w:val="center"/>
          </w:tcPr>
          <w:p w:rsidR="008D0BE3" w:rsidRDefault="00B1277C">
            <w:pPr>
              <w:jc w:val="center"/>
            </w:pPr>
            <w:r>
              <w:rPr>
                <w:rFonts w:eastAsiaTheme="minorEastAsia"/>
                <w:color w:val="000000" w:themeColor="text1"/>
                <w:kern w:val="0"/>
              </w:rPr>
              <w:t>317.48%</w:t>
            </w:r>
          </w:p>
        </w:tc>
        <w:tc>
          <w:tcPr>
            <w:tcW w:w="1161" w:type="dxa"/>
            <w:vAlign w:val="center"/>
          </w:tcPr>
          <w:p w:rsidR="008D0BE3" w:rsidRDefault="00B1277C">
            <w:pPr>
              <w:jc w:val="center"/>
            </w:pPr>
            <w:r>
              <w:rPr>
                <w:rFonts w:eastAsiaTheme="minorEastAsia"/>
                <w:color w:val="000000" w:themeColor="text1"/>
                <w:kern w:val="0"/>
              </w:rPr>
              <w:t>1.73%</w:t>
            </w:r>
          </w:p>
        </w:tc>
        <w:tc>
          <w:tcPr>
            <w:tcW w:w="1181" w:type="dxa"/>
            <w:vAlign w:val="center"/>
          </w:tcPr>
          <w:p w:rsidR="008D0BE3" w:rsidRDefault="00B1277C">
            <w:pPr>
              <w:jc w:val="center"/>
            </w:pPr>
            <w:r>
              <w:rPr>
                <w:rFonts w:eastAsiaTheme="minorEastAsia"/>
                <w:color w:val="000000" w:themeColor="text1"/>
                <w:kern w:val="0"/>
              </w:rPr>
              <w:t>124.19%</w:t>
            </w:r>
          </w:p>
        </w:tc>
        <w:tc>
          <w:tcPr>
            <w:tcW w:w="1188" w:type="dxa"/>
            <w:vAlign w:val="center"/>
          </w:tcPr>
          <w:p w:rsidR="008D0BE3" w:rsidRDefault="00B1277C">
            <w:pPr>
              <w:jc w:val="center"/>
            </w:pPr>
            <w:r>
              <w:rPr>
                <w:rFonts w:eastAsiaTheme="minorEastAsia"/>
                <w:color w:val="000000" w:themeColor="text1"/>
                <w:kern w:val="0"/>
              </w:rPr>
              <w:t>1.25%</w:t>
            </w:r>
          </w:p>
        </w:tc>
        <w:tc>
          <w:tcPr>
            <w:tcW w:w="1199" w:type="dxa"/>
            <w:vAlign w:val="center"/>
          </w:tcPr>
          <w:p w:rsidR="008D0BE3" w:rsidRDefault="00B1277C">
            <w:pPr>
              <w:jc w:val="center"/>
            </w:pPr>
            <w:r>
              <w:rPr>
                <w:rFonts w:eastAsiaTheme="minorEastAsia"/>
                <w:color w:val="000000" w:themeColor="text1"/>
                <w:kern w:val="0"/>
              </w:rPr>
              <w:t>193.29%</w:t>
            </w:r>
          </w:p>
        </w:tc>
        <w:tc>
          <w:tcPr>
            <w:tcW w:w="1204" w:type="dxa"/>
            <w:vAlign w:val="center"/>
          </w:tcPr>
          <w:p w:rsidR="008D0BE3" w:rsidRDefault="00B1277C">
            <w:pPr>
              <w:jc w:val="center"/>
            </w:pPr>
            <w:r>
              <w:rPr>
                <w:rFonts w:eastAsiaTheme="minorEastAsia"/>
                <w:color w:val="000000" w:themeColor="text1"/>
                <w:kern w:val="0"/>
              </w:rPr>
              <w:t>0.48%</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上投摩根民生需求股票型证券投资基金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(2014</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3</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14</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6</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30</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lastRenderedPageBreak/>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8D0BE3" w:rsidRDefault="00B1277C">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w:t>
      </w:r>
      <w:r>
        <w:rPr>
          <w:rFonts w:eastAsiaTheme="minorEastAsia"/>
          <w:color w:val="000000" w:themeColor="text1"/>
        </w:rPr>
        <w:t>14</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 xml:space="preserve"> 6 </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8D0BE3">
        <w:tc>
          <w:tcPr>
            <w:tcW w:w="851" w:type="dxa"/>
            <w:vAlign w:val="center"/>
          </w:tcPr>
          <w:p w:rsidR="008D0BE3" w:rsidRDefault="00B1277C">
            <w:pPr>
              <w:jc w:val="center"/>
            </w:pPr>
            <w:r>
              <w:rPr>
                <w:rFonts w:eastAsiaTheme="minorEastAsia"/>
                <w:color w:val="000000" w:themeColor="text1"/>
              </w:rPr>
              <w:t>杨景喻</w:t>
            </w:r>
          </w:p>
        </w:tc>
        <w:tc>
          <w:tcPr>
            <w:tcW w:w="850" w:type="dxa"/>
            <w:vAlign w:val="center"/>
          </w:tcPr>
          <w:p w:rsidR="008D0BE3" w:rsidRDefault="00B1277C">
            <w:pPr>
              <w:jc w:val="center"/>
            </w:pPr>
            <w:r>
              <w:rPr>
                <w:rFonts w:eastAsiaTheme="minorEastAsia"/>
                <w:color w:val="000000" w:themeColor="text1"/>
              </w:rPr>
              <w:t>本基金基金经理</w:t>
            </w:r>
          </w:p>
        </w:tc>
        <w:tc>
          <w:tcPr>
            <w:tcW w:w="1560" w:type="dxa"/>
            <w:vAlign w:val="center"/>
          </w:tcPr>
          <w:p w:rsidR="008D0BE3" w:rsidRDefault="00B1277C">
            <w:pPr>
              <w:jc w:val="center"/>
            </w:pPr>
            <w:r>
              <w:rPr>
                <w:rFonts w:eastAsiaTheme="minorEastAsia"/>
                <w:color w:val="000000" w:themeColor="text1"/>
              </w:rPr>
              <w:t>2019-04-26</w:t>
            </w:r>
          </w:p>
        </w:tc>
        <w:tc>
          <w:tcPr>
            <w:tcW w:w="1559" w:type="dxa"/>
            <w:vAlign w:val="center"/>
          </w:tcPr>
          <w:p w:rsidR="008D0BE3" w:rsidRDefault="00B1277C">
            <w:pPr>
              <w:jc w:val="center"/>
            </w:pPr>
            <w:r>
              <w:rPr>
                <w:rFonts w:eastAsiaTheme="minorEastAsia"/>
                <w:color w:val="000000" w:themeColor="text1"/>
              </w:rPr>
              <w:t>-</w:t>
            </w:r>
          </w:p>
        </w:tc>
        <w:tc>
          <w:tcPr>
            <w:tcW w:w="1417" w:type="dxa"/>
            <w:vAlign w:val="center"/>
          </w:tcPr>
          <w:p w:rsidR="008D0BE3" w:rsidRDefault="00B1277C">
            <w:pPr>
              <w:jc w:val="center"/>
            </w:pPr>
            <w:r>
              <w:rPr>
                <w:rFonts w:eastAsiaTheme="minorEastAsia"/>
                <w:color w:val="000000" w:themeColor="text1"/>
              </w:rPr>
              <w:t>12</w:t>
            </w:r>
            <w:r>
              <w:rPr>
                <w:rFonts w:eastAsiaTheme="minorEastAsia"/>
                <w:color w:val="000000" w:themeColor="text1"/>
              </w:rPr>
              <w:t>年</w:t>
            </w:r>
          </w:p>
        </w:tc>
        <w:tc>
          <w:tcPr>
            <w:tcW w:w="2694" w:type="dxa"/>
            <w:vAlign w:val="center"/>
          </w:tcPr>
          <w:p w:rsidR="008D0BE3" w:rsidRDefault="00B1277C">
            <w:r>
              <w:rPr>
                <w:rFonts w:eastAsiaTheme="minorEastAsia"/>
                <w:color w:val="000000" w:themeColor="text1"/>
              </w:rPr>
              <w:t>杨景喻先生，</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07</w:t>
            </w:r>
            <w:r>
              <w:rPr>
                <w:rFonts w:eastAsiaTheme="minorEastAsia"/>
                <w:color w:val="000000" w:themeColor="text1"/>
              </w:rPr>
              <w:t>月至</w:t>
            </w:r>
            <w:r>
              <w:rPr>
                <w:rFonts w:eastAsiaTheme="minorEastAsia"/>
                <w:color w:val="000000" w:themeColor="text1"/>
              </w:rPr>
              <w:t>2011</w:t>
            </w:r>
            <w:r>
              <w:rPr>
                <w:rFonts w:eastAsiaTheme="minorEastAsia"/>
                <w:color w:val="000000" w:themeColor="text1"/>
              </w:rPr>
              <w:t>年</w:t>
            </w:r>
            <w:r>
              <w:rPr>
                <w:rFonts w:eastAsiaTheme="minorEastAsia"/>
                <w:color w:val="000000" w:themeColor="text1"/>
              </w:rPr>
              <w:t>03</w:t>
            </w:r>
            <w:r>
              <w:rPr>
                <w:rFonts w:eastAsiaTheme="minorEastAsia"/>
                <w:color w:val="000000" w:themeColor="text1"/>
              </w:rPr>
              <w:t>月在广发基金管理有限公司担任研究员。自</w:t>
            </w:r>
            <w:r>
              <w:rPr>
                <w:rFonts w:eastAsiaTheme="minorEastAsia"/>
                <w:color w:val="000000" w:themeColor="text1"/>
              </w:rPr>
              <w:t>2011</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月起加入上投摩根基金管理有限公司，先后担任行业专家、基金经理助理、基金经理，</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月担任上投摩根中国优势证券投资基金基金经理，自</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月起担任上投摩根新兴服务股票型证券投资基金基金经理，</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月至</w:t>
            </w:r>
            <w:r>
              <w:rPr>
                <w:rFonts w:eastAsiaTheme="minorEastAsia"/>
                <w:color w:val="000000" w:themeColor="text1"/>
              </w:rPr>
              <w:t>2018</w:t>
            </w:r>
            <w:r>
              <w:rPr>
                <w:rFonts w:eastAsiaTheme="minorEastAsia"/>
                <w:color w:val="000000" w:themeColor="text1"/>
              </w:rPr>
              <w:lastRenderedPageBreak/>
              <w:t>年</w:t>
            </w:r>
            <w:r>
              <w:rPr>
                <w:rFonts w:eastAsiaTheme="minorEastAsia"/>
                <w:color w:val="000000" w:themeColor="text1"/>
              </w:rPr>
              <w:t>8</w:t>
            </w:r>
            <w:r>
              <w:rPr>
                <w:rFonts w:eastAsiaTheme="minorEastAsia"/>
                <w:color w:val="000000" w:themeColor="text1"/>
              </w:rPr>
              <w:t>月同时担任上投摩根智慧生活灵活配置混合型证券投资基金基金经理，自</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月起同时担任上投摩根民生需求股票型证券投资基金基金经理。</w:t>
            </w:r>
          </w:p>
        </w:tc>
      </w:tr>
    </w:tbl>
    <w:p w:rsidR="008D0BE3" w:rsidRDefault="00B1277C">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w:t>
      </w:r>
      <w:r>
        <w:rPr>
          <w:rFonts w:eastAsiaTheme="minorEastAsia"/>
          <w:color w:val="000000" w:themeColor="text1"/>
        </w:rPr>
        <w:t xml:space="preserve">1. </w:t>
      </w:r>
      <w:r>
        <w:rPr>
          <w:rFonts w:eastAsiaTheme="minorEastAsia"/>
          <w:color w:val="000000" w:themeColor="text1"/>
        </w:rPr>
        <w:t>任职日期和离任日期均指根据公司决定确定的聘任日期和解聘日期。</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 xml:space="preserve">2. </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民生需求股票型证券投资基金基金合同》的规定。基金经理对个股和投资组合的比例遵循了投资决策委员会的授权限制，基金投资比例符合基金合同和法律法规的要求。</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8D0BE3" w:rsidRDefault="00B1277C">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D0BE3" w:rsidRDefault="00B1277C">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8D0BE3" w:rsidRDefault="00B1277C">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lastRenderedPageBreak/>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8D0BE3" w:rsidRDefault="00B1277C">
      <w:pPr>
        <w:spacing w:line="360" w:lineRule="auto"/>
        <w:ind w:firstLineChars="200" w:firstLine="420"/>
        <w:rPr>
          <w:rFonts w:eastAsiaTheme="minorEastAsia"/>
          <w:color w:val="000000" w:themeColor="text1"/>
        </w:rPr>
      </w:pPr>
      <w:r>
        <w:rPr>
          <w:rFonts w:eastAsiaTheme="minorEastAsia"/>
          <w:color w:val="000000" w:themeColor="text1"/>
        </w:rPr>
        <w:t>本季度市场显著上涨，尤其是以科技成长股为主的科创板、创业板涨幅为高。行业上，新能源产业链、医药医美、国产芯片产业链表现突出，但高端白酒、家电、免税、汽车等去年表现优异的</w:t>
      </w:r>
      <w:r>
        <w:rPr>
          <w:rFonts w:eastAsiaTheme="minorEastAsia"/>
          <w:color w:val="000000" w:themeColor="text1"/>
        </w:rPr>
        <w:t>“</w:t>
      </w:r>
      <w:r>
        <w:rPr>
          <w:rFonts w:eastAsiaTheme="minorEastAsia"/>
          <w:color w:val="000000" w:themeColor="text1"/>
        </w:rPr>
        <w:t>核心资产</w:t>
      </w:r>
      <w:r>
        <w:rPr>
          <w:rFonts w:eastAsiaTheme="minorEastAsia"/>
          <w:color w:val="000000" w:themeColor="text1"/>
        </w:rPr>
        <w:t>”</w:t>
      </w:r>
      <w:r>
        <w:rPr>
          <w:rFonts w:eastAsiaTheme="minorEastAsia"/>
          <w:color w:val="000000" w:themeColor="text1"/>
        </w:rPr>
        <w:t>则纷纷下跌，和宏观经济强相关的周期性行业毫无表现，市场呈现非常显著的结构分化。本季度我们增加了新能源、医美板块的配置比重，降低了业绩增长遭遇瓶颈的部分消费品公司。</w:t>
      </w:r>
    </w:p>
    <w:p w:rsidR="008D0BE3" w:rsidRDefault="00B1277C">
      <w:pPr>
        <w:spacing w:line="360" w:lineRule="auto"/>
        <w:ind w:firstLineChars="200" w:firstLine="420"/>
        <w:rPr>
          <w:rFonts w:eastAsiaTheme="minorEastAsia"/>
          <w:color w:val="000000" w:themeColor="text1"/>
        </w:rPr>
      </w:pPr>
      <w:r>
        <w:rPr>
          <w:rFonts w:eastAsiaTheme="minorEastAsia"/>
          <w:color w:val="000000" w:themeColor="text1"/>
        </w:rPr>
        <w:t>从市场的结构分化中能够看出，市场极度重视季度级别的高增长以及行业</w:t>
      </w:r>
      <w:r>
        <w:rPr>
          <w:rFonts w:eastAsiaTheme="minorEastAsia"/>
          <w:color w:val="000000" w:themeColor="text1"/>
        </w:rPr>
        <w:t>/</w:t>
      </w:r>
      <w:r>
        <w:rPr>
          <w:rFonts w:eastAsiaTheme="minorEastAsia"/>
          <w:color w:val="000000" w:themeColor="text1"/>
        </w:rPr>
        <w:t>企业发展的长远空间。上半年宏观经济表现一般，对通胀的担忧时隐时现，出口增长的压力逐步显现，财政政策力度</w:t>
      </w:r>
      <w:r>
        <w:rPr>
          <w:rFonts w:eastAsiaTheme="minorEastAsia"/>
          <w:color w:val="000000" w:themeColor="text1"/>
        </w:rPr>
        <w:t>不大，市场整体基调是比较差的，但由于货币政策仍然较为宽松，流动性充裕，因此具有短期</w:t>
      </w:r>
      <w:r>
        <w:rPr>
          <w:rFonts w:eastAsiaTheme="minorEastAsia"/>
          <w:color w:val="000000" w:themeColor="text1"/>
        </w:rPr>
        <w:t>/</w:t>
      </w:r>
      <w:r>
        <w:rPr>
          <w:rFonts w:eastAsiaTheme="minorEastAsia"/>
          <w:color w:val="000000" w:themeColor="text1"/>
        </w:rPr>
        <w:t>中长期亮点的行业和个股表现超预期的好。</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展望未来，一方面由于基数效应，企业季度级别的营收和净利润增速大概率会放缓；另一方面，居高不下的估值将会制约部分行业和个股的表现。因此，行业中长期的景气度将更为重要，估值层面的重要性也进一步提升，当然选股的难度也将会比二季度有所提升。结合我们行业</w:t>
      </w:r>
      <w:r w:rsidRPr="00FF6B9A">
        <w:rPr>
          <w:rFonts w:eastAsiaTheme="minorEastAsia"/>
          <w:color w:val="000000" w:themeColor="text1"/>
        </w:rPr>
        <w:t>/</w:t>
      </w:r>
      <w:r w:rsidRPr="00FF6B9A">
        <w:rPr>
          <w:rFonts w:eastAsiaTheme="minorEastAsia"/>
          <w:color w:val="000000" w:themeColor="text1"/>
        </w:rPr>
        <w:t>企业层面的研究分析，我们认为新能源、医疗服务、芯片产业链、工业高端制造领域仍然具备高景气度，其行业深度、广度都足以选择出符合我们标准的个股，且符合国家经济发展的大方向，我们将继续保持重点关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本报告期上投摩根民生需求股票份额净值增长率为</w:t>
      </w:r>
      <w:r w:rsidRPr="00FF6B9A">
        <w:rPr>
          <w:rFonts w:eastAsiaTheme="minorEastAsia"/>
          <w:color w:val="000000" w:themeColor="text1"/>
        </w:rPr>
        <w:t>:15.93%</w:t>
      </w:r>
      <w:r w:rsidRPr="00FF6B9A">
        <w:rPr>
          <w:rFonts w:eastAsiaTheme="minorEastAsia"/>
          <w:color w:val="000000" w:themeColor="text1"/>
        </w:rPr>
        <w:t>，同期业绩比较基准收益率为</w:t>
      </w:r>
      <w:r w:rsidRPr="00FF6B9A">
        <w:rPr>
          <w:rFonts w:eastAsiaTheme="minorEastAsia"/>
          <w:color w:val="000000" w:themeColor="text1"/>
        </w:rPr>
        <w:t>:3.03%</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lastRenderedPageBreak/>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207,884,822.29</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89.35</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207,884,822.29</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89.35</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883,935.60</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0.38</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883,935.60</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0.38</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23,315,683.36</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10.02</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575,964.69</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0.25</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232,660,405.94</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169,898,839.69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73.67</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13,020.39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1,025,835.37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0.44</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306,699.54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0.13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7,583,379.61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3.29</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lastRenderedPageBreak/>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14,470,952.21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6.27</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3,909,402.70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1.70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10,664,875.13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4.62</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11,817.65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207,884,822.29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90.14</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8D0BE3">
        <w:tc>
          <w:tcPr>
            <w:tcW w:w="817" w:type="dxa"/>
            <w:vAlign w:val="center"/>
          </w:tcPr>
          <w:p w:rsidR="008D0BE3" w:rsidRDefault="00B1277C">
            <w:pPr>
              <w:jc w:val="center"/>
            </w:pPr>
            <w:r>
              <w:rPr>
                <w:rFonts w:eastAsiaTheme="minorEastAsia"/>
                <w:kern w:val="0"/>
                <w:sz w:val="24"/>
                <w:szCs w:val="24"/>
              </w:rPr>
              <w:t>1</w:t>
            </w:r>
          </w:p>
        </w:tc>
        <w:tc>
          <w:tcPr>
            <w:tcW w:w="1276" w:type="dxa"/>
            <w:vAlign w:val="center"/>
          </w:tcPr>
          <w:p w:rsidR="008D0BE3" w:rsidRDefault="00B1277C">
            <w:pPr>
              <w:jc w:val="center"/>
            </w:pPr>
            <w:r>
              <w:rPr>
                <w:rFonts w:eastAsiaTheme="minorEastAsia"/>
                <w:kern w:val="0"/>
                <w:sz w:val="24"/>
                <w:szCs w:val="24"/>
              </w:rPr>
              <w:t>603501</w:t>
            </w:r>
          </w:p>
        </w:tc>
        <w:tc>
          <w:tcPr>
            <w:tcW w:w="1701" w:type="dxa"/>
            <w:vAlign w:val="center"/>
          </w:tcPr>
          <w:p w:rsidR="008D0BE3" w:rsidRDefault="00B1277C">
            <w:pPr>
              <w:jc w:val="center"/>
            </w:pPr>
            <w:r>
              <w:rPr>
                <w:rFonts w:eastAsiaTheme="minorEastAsia"/>
                <w:kern w:val="0"/>
                <w:sz w:val="24"/>
                <w:szCs w:val="24"/>
              </w:rPr>
              <w:t>韦尔股份</w:t>
            </w:r>
          </w:p>
        </w:tc>
        <w:tc>
          <w:tcPr>
            <w:tcW w:w="1276" w:type="dxa"/>
            <w:vAlign w:val="center"/>
          </w:tcPr>
          <w:p w:rsidR="008D0BE3" w:rsidRDefault="00B1277C">
            <w:pPr>
              <w:jc w:val="right"/>
            </w:pPr>
            <w:r>
              <w:rPr>
                <w:rFonts w:eastAsiaTheme="minorEastAsia"/>
                <w:kern w:val="0"/>
                <w:sz w:val="24"/>
                <w:szCs w:val="24"/>
              </w:rPr>
              <w:t>36,251</w:t>
            </w:r>
          </w:p>
        </w:tc>
        <w:tc>
          <w:tcPr>
            <w:tcW w:w="1842" w:type="dxa"/>
            <w:vAlign w:val="center"/>
          </w:tcPr>
          <w:p w:rsidR="008D0BE3" w:rsidRDefault="00B1277C">
            <w:pPr>
              <w:jc w:val="right"/>
            </w:pPr>
            <w:r>
              <w:rPr>
                <w:rFonts w:eastAsiaTheme="minorEastAsia"/>
                <w:kern w:val="0"/>
                <w:sz w:val="24"/>
                <w:szCs w:val="24"/>
              </w:rPr>
              <w:t>11,672,822.00</w:t>
            </w:r>
          </w:p>
        </w:tc>
        <w:tc>
          <w:tcPr>
            <w:tcW w:w="1616" w:type="dxa"/>
            <w:vAlign w:val="center"/>
          </w:tcPr>
          <w:p w:rsidR="008D0BE3" w:rsidRDefault="00B1277C">
            <w:pPr>
              <w:jc w:val="right"/>
            </w:pPr>
            <w:r>
              <w:rPr>
                <w:rFonts w:eastAsiaTheme="minorEastAsia"/>
                <w:kern w:val="0"/>
                <w:sz w:val="24"/>
                <w:szCs w:val="24"/>
              </w:rPr>
              <w:t>5.06</w:t>
            </w:r>
          </w:p>
        </w:tc>
      </w:tr>
      <w:tr w:rsidR="008D0BE3">
        <w:tc>
          <w:tcPr>
            <w:tcW w:w="817" w:type="dxa"/>
            <w:vAlign w:val="center"/>
          </w:tcPr>
          <w:p w:rsidR="008D0BE3" w:rsidRDefault="00B1277C">
            <w:pPr>
              <w:jc w:val="center"/>
            </w:pPr>
            <w:r>
              <w:rPr>
                <w:rFonts w:eastAsiaTheme="minorEastAsia"/>
                <w:kern w:val="0"/>
                <w:sz w:val="24"/>
                <w:szCs w:val="24"/>
              </w:rPr>
              <w:t>2</w:t>
            </w:r>
          </w:p>
        </w:tc>
        <w:tc>
          <w:tcPr>
            <w:tcW w:w="1276" w:type="dxa"/>
            <w:vAlign w:val="center"/>
          </w:tcPr>
          <w:p w:rsidR="008D0BE3" w:rsidRDefault="00B1277C">
            <w:pPr>
              <w:jc w:val="center"/>
            </w:pPr>
            <w:r>
              <w:rPr>
                <w:rFonts w:eastAsiaTheme="minorEastAsia"/>
                <w:kern w:val="0"/>
                <w:sz w:val="24"/>
                <w:szCs w:val="24"/>
              </w:rPr>
              <w:t>688169</w:t>
            </w:r>
          </w:p>
        </w:tc>
        <w:tc>
          <w:tcPr>
            <w:tcW w:w="1701" w:type="dxa"/>
            <w:vAlign w:val="center"/>
          </w:tcPr>
          <w:p w:rsidR="008D0BE3" w:rsidRDefault="00B1277C">
            <w:pPr>
              <w:jc w:val="center"/>
            </w:pPr>
            <w:r>
              <w:rPr>
                <w:rFonts w:eastAsiaTheme="minorEastAsia"/>
                <w:kern w:val="0"/>
                <w:sz w:val="24"/>
                <w:szCs w:val="24"/>
              </w:rPr>
              <w:t>石头科技</w:t>
            </w:r>
          </w:p>
        </w:tc>
        <w:tc>
          <w:tcPr>
            <w:tcW w:w="1276" w:type="dxa"/>
            <w:vAlign w:val="center"/>
          </w:tcPr>
          <w:p w:rsidR="008D0BE3" w:rsidRDefault="00B1277C">
            <w:pPr>
              <w:jc w:val="right"/>
            </w:pPr>
            <w:r>
              <w:rPr>
                <w:rFonts w:eastAsiaTheme="minorEastAsia"/>
                <w:kern w:val="0"/>
                <w:sz w:val="24"/>
                <w:szCs w:val="24"/>
              </w:rPr>
              <w:t>9,087</w:t>
            </w:r>
          </w:p>
        </w:tc>
        <w:tc>
          <w:tcPr>
            <w:tcW w:w="1842" w:type="dxa"/>
            <w:vAlign w:val="center"/>
          </w:tcPr>
          <w:p w:rsidR="008D0BE3" w:rsidRDefault="00B1277C">
            <w:pPr>
              <w:jc w:val="right"/>
            </w:pPr>
            <w:r>
              <w:rPr>
                <w:rFonts w:eastAsiaTheme="minorEastAsia"/>
                <w:kern w:val="0"/>
                <w:sz w:val="24"/>
                <w:szCs w:val="24"/>
              </w:rPr>
              <w:t>11,458,707.00</w:t>
            </w:r>
          </w:p>
        </w:tc>
        <w:tc>
          <w:tcPr>
            <w:tcW w:w="1616" w:type="dxa"/>
            <w:vAlign w:val="center"/>
          </w:tcPr>
          <w:p w:rsidR="008D0BE3" w:rsidRDefault="00B1277C">
            <w:pPr>
              <w:jc w:val="right"/>
            </w:pPr>
            <w:r>
              <w:rPr>
                <w:rFonts w:eastAsiaTheme="minorEastAsia"/>
                <w:kern w:val="0"/>
                <w:sz w:val="24"/>
                <w:szCs w:val="24"/>
              </w:rPr>
              <w:t>4.97</w:t>
            </w:r>
          </w:p>
        </w:tc>
      </w:tr>
      <w:tr w:rsidR="008D0BE3">
        <w:tc>
          <w:tcPr>
            <w:tcW w:w="817" w:type="dxa"/>
            <w:vAlign w:val="center"/>
          </w:tcPr>
          <w:p w:rsidR="008D0BE3" w:rsidRDefault="00B1277C">
            <w:pPr>
              <w:jc w:val="center"/>
            </w:pPr>
            <w:r>
              <w:rPr>
                <w:rFonts w:eastAsiaTheme="minorEastAsia"/>
                <w:kern w:val="0"/>
                <w:sz w:val="24"/>
                <w:szCs w:val="24"/>
              </w:rPr>
              <w:t>3</w:t>
            </w:r>
          </w:p>
        </w:tc>
        <w:tc>
          <w:tcPr>
            <w:tcW w:w="1276" w:type="dxa"/>
            <w:vAlign w:val="center"/>
          </w:tcPr>
          <w:p w:rsidR="008D0BE3" w:rsidRDefault="00B1277C">
            <w:pPr>
              <w:jc w:val="center"/>
            </w:pPr>
            <w:r>
              <w:rPr>
                <w:rFonts w:eastAsiaTheme="minorEastAsia"/>
                <w:kern w:val="0"/>
                <w:sz w:val="24"/>
                <w:szCs w:val="24"/>
              </w:rPr>
              <w:t>603259</w:t>
            </w:r>
          </w:p>
        </w:tc>
        <w:tc>
          <w:tcPr>
            <w:tcW w:w="1701" w:type="dxa"/>
            <w:vAlign w:val="center"/>
          </w:tcPr>
          <w:p w:rsidR="008D0BE3" w:rsidRDefault="00B1277C">
            <w:pPr>
              <w:jc w:val="center"/>
            </w:pPr>
            <w:r>
              <w:rPr>
                <w:rFonts w:eastAsiaTheme="minorEastAsia"/>
                <w:kern w:val="0"/>
                <w:sz w:val="24"/>
                <w:szCs w:val="24"/>
              </w:rPr>
              <w:t>药明康德</w:t>
            </w:r>
          </w:p>
        </w:tc>
        <w:tc>
          <w:tcPr>
            <w:tcW w:w="1276" w:type="dxa"/>
            <w:vAlign w:val="center"/>
          </w:tcPr>
          <w:p w:rsidR="008D0BE3" w:rsidRDefault="00B1277C">
            <w:pPr>
              <w:jc w:val="right"/>
            </w:pPr>
            <w:r>
              <w:rPr>
                <w:rFonts w:eastAsiaTheme="minorEastAsia"/>
                <w:kern w:val="0"/>
                <w:sz w:val="24"/>
                <w:szCs w:val="24"/>
              </w:rPr>
              <w:t>68,107</w:t>
            </w:r>
          </w:p>
        </w:tc>
        <w:tc>
          <w:tcPr>
            <w:tcW w:w="1842" w:type="dxa"/>
            <w:vAlign w:val="center"/>
          </w:tcPr>
          <w:p w:rsidR="008D0BE3" w:rsidRDefault="00B1277C">
            <w:pPr>
              <w:jc w:val="right"/>
            </w:pPr>
            <w:r>
              <w:rPr>
                <w:rFonts w:eastAsiaTheme="minorEastAsia"/>
                <w:kern w:val="0"/>
                <w:sz w:val="24"/>
                <w:szCs w:val="24"/>
              </w:rPr>
              <w:t>10,664,875.13</w:t>
            </w:r>
          </w:p>
        </w:tc>
        <w:tc>
          <w:tcPr>
            <w:tcW w:w="1616" w:type="dxa"/>
            <w:vAlign w:val="center"/>
          </w:tcPr>
          <w:p w:rsidR="008D0BE3" w:rsidRDefault="00B1277C">
            <w:pPr>
              <w:jc w:val="right"/>
            </w:pPr>
            <w:r>
              <w:rPr>
                <w:rFonts w:eastAsiaTheme="minorEastAsia"/>
                <w:kern w:val="0"/>
                <w:sz w:val="24"/>
                <w:szCs w:val="24"/>
              </w:rPr>
              <w:t>4.62</w:t>
            </w:r>
          </w:p>
        </w:tc>
      </w:tr>
      <w:tr w:rsidR="008D0BE3">
        <w:tc>
          <w:tcPr>
            <w:tcW w:w="817" w:type="dxa"/>
            <w:vAlign w:val="center"/>
          </w:tcPr>
          <w:p w:rsidR="008D0BE3" w:rsidRDefault="00B1277C">
            <w:pPr>
              <w:jc w:val="center"/>
            </w:pPr>
            <w:r>
              <w:rPr>
                <w:rFonts w:eastAsiaTheme="minorEastAsia"/>
                <w:kern w:val="0"/>
                <w:sz w:val="24"/>
                <w:szCs w:val="24"/>
              </w:rPr>
              <w:t>4</w:t>
            </w:r>
          </w:p>
        </w:tc>
        <w:tc>
          <w:tcPr>
            <w:tcW w:w="1276" w:type="dxa"/>
            <w:vAlign w:val="center"/>
          </w:tcPr>
          <w:p w:rsidR="008D0BE3" w:rsidRDefault="00B1277C">
            <w:pPr>
              <w:jc w:val="center"/>
            </w:pPr>
            <w:r>
              <w:rPr>
                <w:rFonts w:eastAsiaTheme="minorEastAsia"/>
                <w:kern w:val="0"/>
                <w:sz w:val="24"/>
                <w:szCs w:val="24"/>
              </w:rPr>
              <w:t>000858</w:t>
            </w:r>
          </w:p>
        </w:tc>
        <w:tc>
          <w:tcPr>
            <w:tcW w:w="1701" w:type="dxa"/>
            <w:vAlign w:val="center"/>
          </w:tcPr>
          <w:p w:rsidR="008D0BE3" w:rsidRDefault="00B1277C">
            <w:pPr>
              <w:jc w:val="center"/>
            </w:pPr>
            <w:r>
              <w:rPr>
                <w:rFonts w:eastAsiaTheme="minorEastAsia"/>
                <w:kern w:val="0"/>
                <w:sz w:val="24"/>
                <w:szCs w:val="24"/>
              </w:rPr>
              <w:t>五粮液</w:t>
            </w:r>
          </w:p>
        </w:tc>
        <w:tc>
          <w:tcPr>
            <w:tcW w:w="1276" w:type="dxa"/>
            <w:vAlign w:val="center"/>
          </w:tcPr>
          <w:p w:rsidR="008D0BE3" w:rsidRDefault="00B1277C">
            <w:pPr>
              <w:jc w:val="right"/>
            </w:pPr>
            <w:r>
              <w:rPr>
                <w:rFonts w:eastAsiaTheme="minorEastAsia"/>
                <w:kern w:val="0"/>
                <w:sz w:val="24"/>
                <w:szCs w:val="24"/>
              </w:rPr>
              <w:t>31,164</w:t>
            </w:r>
          </w:p>
        </w:tc>
        <w:tc>
          <w:tcPr>
            <w:tcW w:w="1842" w:type="dxa"/>
            <w:vAlign w:val="center"/>
          </w:tcPr>
          <w:p w:rsidR="008D0BE3" w:rsidRDefault="00B1277C">
            <w:pPr>
              <w:jc w:val="right"/>
            </w:pPr>
            <w:r>
              <w:rPr>
                <w:rFonts w:eastAsiaTheme="minorEastAsia"/>
                <w:kern w:val="0"/>
                <w:sz w:val="24"/>
                <w:szCs w:val="24"/>
              </w:rPr>
              <w:t>9,283,443.96</w:t>
            </w:r>
          </w:p>
        </w:tc>
        <w:tc>
          <w:tcPr>
            <w:tcW w:w="1616" w:type="dxa"/>
            <w:vAlign w:val="center"/>
          </w:tcPr>
          <w:p w:rsidR="008D0BE3" w:rsidRDefault="00B1277C">
            <w:pPr>
              <w:jc w:val="right"/>
            </w:pPr>
            <w:r>
              <w:rPr>
                <w:rFonts w:eastAsiaTheme="minorEastAsia"/>
                <w:kern w:val="0"/>
                <w:sz w:val="24"/>
                <w:szCs w:val="24"/>
              </w:rPr>
              <w:t>4.03</w:t>
            </w:r>
          </w:p>
        </w:tc>
      </w:tr>
      <w:tr w:rsidR="008D0BE3">
        <w:tc>
          <w:tcPr>
            <w:tcW w:w="817" w:type="dxa"/>
            <w:vAlign w:val="center"/>
          </w:tcPr>
          <w:p w:rsidR="008D0BE3" w:rsidRDefault="00B1277C">
            <w:pPr>
              <w:jc w:val="center"/>
            </w:pPr>
            <w:r>
              <w:rPr>
                <w:rFonts w:eastAsiaTheme="minorEastAsia"/>
                <w:kern w:val="0"/>
                <w:sz w:val="24"/>
                <w:szCs w:val="24"/>
              </w:rPr>
              <w:t>5</w:t>
            </w:r>
          </w:p>
        </w:tc>
        <w:tc>
          <w:tcPr>
            <w:tcW w:w="1276" w:type="dxa"/>
            <w:vAlign w:val="center"/>
          </w:tcPr>
          <w:p w:rsidR="008D0BE3" w:rsidRDefault="00B1277C">
            <w:pPr>
              <w:jc w:val="center"/>
            </w:pPr>
            <w:r>
              <w:rPr>
                <w:rFonts w:eastAsiaTheme="minorEastAsia"/>
                <w:kern w:val="0"/>
                <w:sz w:val="24"/>
                <w:szCs w:val="24"/>
              </w:rPr>
              <w:t>002821</w:t>
            </w:r>
          </w:p>
        </w:tc>
        <w:tc>
          <w:tcPr>
            <w:tcW w:w="1701" w:type="dxa"/>
            <w:vAlign w:val="center"/>
          </w:tcPr>
          <w:p w:rsidR="008D0BE3" w:rsidRDefault="00B1277C">
            <w:pPr>
              <w:jc w:val="center"/>
            </w:pPr>
            <w:r>
              <w:rPr>
                <w:rFonts w:eastAsiaTheme="minorEastAsia"/>
                <w:kern w:val="0"/>
                <w:sz w:val="24"/>
                <w:szCs w:val="24"/>
              </w:rPr>
              <w:t>凯莱英</w:t>
            </w:r>
          </w:p>
        </w:tc>
        <w:tc>
          <w:tcPr>
            <w:tcW w:w="1276" w:type="dxa"/>
            <w:vAlign w:val="center"/>
          </w:tcPr>
          <w:p w:rsidR="008D0BE3" w:rsidRDefault="00B1277C">
            <w:pPr>
              <w:jc w:val="right"/>
            </w:pPr>
            <w:r>
              <w:rPr>
                <w:rFonts w:eastAsiaTheme="minorEastAsia"/>
                <w:kern w:val="0"/>
                <w:sz w:val="24"/>
                <w:szCs w:val="24"/>
              </w:rPr>
              <w:t>24,056</w:t>
            </w:r>
          </w:p>
        </w:tc>
        <w:tc>
          <w:tcPr>
            <w:tcW w:w="1842" w:type="dxa"/>
            <w:vAlign w:val="center"/>
          </w:tcPr>
          <w:p w:rsidR="008D0BE3" w:rsidRDefault="00B1277C">
            <w:pPr>
              <w:jc w:val="right"/>
            </w:pPr>
            <w:r>
              <w:rPr>
                <w:rFonts w:eastAsiaTheme="minorEastAsia"/>
                <w:kern w:val="0"/>
                <w:sz w:val="24"/>
                <w:szCs w:val="24"/>
              </w:rPr>
              <w:t>8,963,265.60</w:t>
            </w:r>
          </w:p>
        </w:tc>
        <w:tc>
          <w:tcPr>
            <w:tcW w:w="1616" w:type="dxa"/>
            <w:vAlign w:val="center"/>
          </w:tcPr>
          <w:p w:rsidR="008D0BE3" w:rsidRDefault="00B1277C">
            <w:pPr>
              <w:jc w:val="right"/>
            </w:pPr>
            <w:r>
              <w:rPr>
                <w:rFonts w:eastAsiaTheme="minorEastAsia"/>
                <w:kern w:val="0"/>
                <w:sz w:val="24"/>
                <w:szCs w:val="24"/>
              </w:rPr>
              <w:t>3.89</w:t>
            </w:r>
          </w:p>
        </w:tc>
      </w:tr>
      <w:tr w:rsidR="008D0BE3">
        <w:tc>
          <w:tcPr>
            <w:tcW w:w="817" w:type="dxa"/>
            <w:vAlign w:val="center"/>
          </w:tcPr>
          <w:p w:rsidR="008D0BE3" w:rsidRDefault="00B1277C">
            <w:pPr>
              <w:jc w:val="center"/>
            </w:pPr>
            <w:r>
              <w:rPr>
                <w:rFonts w:eastAsiaTheme="minorEastAsia"/>
                <w:kern w:val="0"/>
                <w:sz w:val="24"/>
                <w:szCs w:val="24"/>
              </w:rPr>
              <w:t>6</w:t>
            </w:r>
          </w:p>
        </w:tc>
        <w:tc>
          <w:tcPr>
            <w:tcW w:w="1276" w:type="dxa"/>
            <w:vAlign w:val="center"/>
          </w:tcPr>
          <w:p w:rsidR="008D0BE3" w:rsidRDefault="00B1277C">
            <w:pPr>
              <w:jc w:val="center"/>
            </w:pPr>
            <w:r>
              <w:rPr>
                <w:rFonts w:eastAsiaTheme="minorEastAsia"/>
                <w:kern w:val="0"/>
                <w:sz w:val="24"/>
                <w:szCs w:val="24"/>
              </w:rPr>
              <w:t>300750</w:t>
            </w:r>
          </w:p>
        </w:tc>
        <w:tc>
          <w:tcPr>
            <w:tcW w:w="1701" w:type="dxa"/>
            <w:vAlign w:val="center"/>
          </w:tcPr>
          <w:p w:rsidR="008D0BE3" w:rsidRDefault="00B1277C">
            <w:pPr>
              <w:jc w:val="center"/>
            </w:pPr>
            <w:r>
              <w:rPr>
                <w:rFonts w:eastAsiaTheme="minorEastAsia"/>
                <w:kern w:val="0"/>
                <w:sz w:val="24"/>
                <w:szCs w:val="24"/>
              </w:rPr>
              <w:t>宁德时代</w:t>
            </w:r>
          </w:p>
        </w:tc>
        <w:tc>
          <w:tcPr>
            <w:tcW w:w="1276" w:type="dxa"/>
            <w:vAlign w:val="center"/>
          </w:tcPr>
          <w:p w:rsidR="008D0BE3" w:rsidRDefault="00B1277C">
            <w:pPr>
              <w:jc w:val="right"/>
            </w:pPr>
            <w:r>
              <w:rPr>
                <w:rFonts w:eastAsiaTheme="minorEastAsia"/>
                <w:kern w:val="0"/>
                <w:sz w:val="24"/>
                <w:szCs w:val="24"/>
              </w:rPr>
              <w:t>16,064</w:t>
            </w:r>
          </w:p>
        </w:tc>
        <w:tc>
          <w:tcPr>
            <w:tcW w:w="1842" w:type="dxa"/>
            <w:vAlign w:val="center"/>
          </w:tcPr>
          <w:p w:rsidR="008D0BE3" w:rsidRDefault="00B1277C">
            <w:pPr>
              <w:jc w:val="right"/>
            </w:pPr>
            <w:r>
              <w:rPr>
                <w:rFonts w:eastAsiaTheme="minorEastAsia"/>
                <w:kern w:val="0"/>
                <w:sz w:val="24"/>
                <w:szCs w:val="24"/>
              </w:rPr>
              <w:t>8,591,027.20</w:t>
            </w:r>
          </w:p>
        </w:tc>
        <w:tc>
          <w:tcPr>
            <w:tcW w:w="1616" w:type="dxa"/>
            <w:vAlign w:val="center"/>
          </w:tcPr>
          <w:p w:rsidR="008D0BE3" w:rsidRDefault="00B1277C">
            <w:pPr>
              <w:jc w:val="right"/>
            </w:pPr>
            <w:r>
              <w:rPr>
                <w:rFonts w:eastAsiaTheme="minorEastAsia"/>
                <w:kern w:val="0"/>
                <w:sz w:val="24"/>
                <w:szCs w:val="24"/>
              </w:rPr>
              <w:t>3.73</w:t>
            </w:r>
          </w:p>
        </w:tc>
      </w:tr>
      <w:tr w:rsidR="008D0BE3">
        <w:tc>
          <w:tcPr>
            <w:tcW w:w="817" w:type="dxa"/>
            <w:vAlign w:val="center"/>
          </w:tcPr>
          <w:p w:rsidR="008D0BE3" w:rsidRDefault="00B1277C">
            <w:pPr>
              <w:jc w:val="center"/>
            </w:pPr>
            <w:r>
              <w:rPr>
                <w:rFonts w:eastAsiaTheme="minorEastAsia"/>
                <w:kern w:val="0"/>
                <w:sz w:val="24"/>
                <w:szCs w:val="24"/>
              </w:rPr>
              <w:t>7</w:t>
            </w:r>
          </w:p>
        </w:tc>
        <w:tc>
          <w:tcPr>
            <w:tcW w:w="1276" w:type="dxa"/>
            <w:vAlign w:val="center"/>
          </w:tcPr>
          <w:p w:rsidR="008D0BE3" w:rsidRDefault="00B1277C">
            <w:pPr>
              <w:jc w:val="center"/>
            </w:pPr>
            <w:r>
              <w:rPr>
                <w:rFonts w:eastAsiaTheme="minorEastAsia"/>
                <w:kern w:val="0"/>
                <w:sz w:val="24"/>
                <w:szCs w:val="24"/>
              </w:rPr>
              <w:t>601012</w:t>
            </w:r>
          </w:p>
        </w:tc>
        <w:tc>
          <w:tcPr>
            <w:tcW w:w="1701" w:type="dxa"/>
            <w:vAlign w:val="center"/>
          </w:tcPr>
          <w:p w:rsidR="008D0BE3" w:rsidRDefault="00B1277C">
            <w:pPr>
              <w:jc w:val="center"/>
            </w:pPr>
            <w:r>
              <w:rPr>
                <w:rFonts w:eastAsiaTheme="minorEastAsia"/>
                <w:kern w:val="0"/>
                <w:sz w:val="24"/>
                <w:szCs w:val="24"/>
              </w:rPr>
              <w:t>隆基股份</w:t>
            </w:r>
          </w:p>
        </w:tc>
        <w:tc>
          <w:tcPr>
            <w:tcW w:w="1276" w:type="dxa"/>
            <w:vAlign w:val="center"/>
          </w:tcPr>
          <w:p w:rsidR="008D0BE3" w:rsidRDefault="00B1277C">
            <w:pPr>
              <w:jc w:val="right"/>
            </w:pPr>
            <w:r>
              <w:rPr>
                <w:rFonts w:eastAsiaTheme="minorEastAsia"/>
                <w:kern w:val="0"/>
                <w:sz w:val="24"/>
                <w:szCs w:val="24"/>
              </w:rPr>
              <w:t>93,117</w:t>
            </w:r>
          </w:p>
        </w:tc>
        <w:tc>
          <w:tcPr>
            <w:tcW w:w="1842" w:type="dxa"/>
            <w:vAlign w:val="center"/>
          </w:tcPr>
          <w:p w:rsidR="008D0BE3" w:rsidRDefault="00B1277C">
            <w:pPr>
              <w:jc w:val="right"/>
            </w:pPr>
            <w:r>
              <w:rPr>
                <w:rFonts w:eastAsiaTheme="minorEastAsia"/>
                <w:kern w:val="0"/>
                <w:sz w:val="24"/>
                <w:szCs w:val="24"/>
              </w:rPr>
              <w:t>8,272,514.28</w:t>
            </w:r>
          </w:p>
        </w:tc>
        <w:tc>
          <w:tcPr>
            <w:tcW w:w="1616" w:type="dxa"/>
            <w:vAlign w:val="center"/>
          </w:tcPr>
          <w:p w:rsidR="008D0BE3" w:rsidRDefault="00B1277C">
            <w:pPr>
              <w:jc w:val="right"/>
            </w:pPr>
            <w:r>
              <w:rPr>
                <w:rFonts w:eastAsiaTheme="minorEastAsia"/>
                <w:kern w:val="0"/>
                <w:sz w:val="24"/>
                <w:szCs w:val="24"/>
              </w:rPr>
              <w:t>3.59</w:t>
            </w:r>
          </w:p>
        </w:tc>
      </w:tr>
      <w:tr w:rsidR="008D0BE3">
        <w:tc>
          <w:tcPr>
            <w:tcW w:w="817" w:type="dxa"/>
            <w:vAlign w:val="center"/>
          </w:tcPr>
          <w:p w:rsidR="008D0BE3" w:rsidRDefault="00B1277C">
            <w:pPr>
              <w:jc w:val="center"/>
            </w:pPr>
            <w:r>
              <w:rPr>
                <w:rFonts w:eastAsiaTheme="minorEastAsia"/>
                <w:kern w:val="0"/>
                <w:sz w:val="24"/>
                <w:szCs w:val="24"/>
              </w:rPr>
              <w:t>8</w:t>
            </w:r>
          </w:p>
        </w:tc>
        <w:tc>
          <w:tcPr>
            <w:tcW w:w="1276" w:type="dxa"/>
            <w:vAlign w:val="center"/>
          </w:tcPr>
          <w:p w:rsidR="008D0BE3" w:rsidRDefault="00B1277C">
            <w:pPr>
              <w:jc w:val="center"/>
            </w:pPr>
            <w:r>
              <w:rPr>
                <w:rFonts w:eastAsiaTheme="minorEastAsia"/>
                <w:kern w:val="0"/>
                <w:sz w:val="24"/>
                <w:szCs w:val="24"/>
              </w:rPr>
              <w:t>300390</w:t>
            </w:r>
          </w:p>
        </w:tc>
        <w:tc>
          <w:tcPr>
            <w:tcW w:w="1701" w:type="dxa"/>
            <w:vAlign w:val="center"/>
          </w:tcPr>
          <w:p w:rsidR="008D0BE3" w:rsidRDefault="00B1277C">
            <w:pPr>
              <w:jc w:val="center"/>
            </w:pPr>
            <w:r>
              <w:rPr>
                <w:rFonts w:eastAsiaTheme="minorEastAsia"/>
                <w:kern w:val="0"/>
                <w:sz w:val="24"/>
                <w:szCs w:val="24"/>
              </w:rPr>
              <w:t>天华超净</w:t>
            </w:r>
          </w:p>
        </w:tc>
        <w:tc>
          <w:tcPr>
            <w:tcW w:w="1276" w:type="dxa"/>
            <w:vAlign w:val="center"/>
          </w:tcPr>
          <w:p w:rsidR="008D0BE3" w:rsidRDefault="00B1277C">
            <w:pPr>
              <w:jc w:val="right"/>
            </w:pPr>
            <w:r>
              <w:rPr>
                <w:rFonts w:eastAsiaTheme="minorEastAsia"/>
                <w:kern w:val="0"/>
                <w:sz w:val="24"/>
                <w:szCs w:val="24"/>
              </w:rPr>
              <w:t>153,700</w:t>
            </w:r>
          </w:p>
        </w:tc>
        <w:tc>
          <w:tcPr>
            <w:tcW w:w="1842" w:type="dxa"/>
            <w:vAlign w:val="center"/>
          </w:tcPr>
          <w:p w:rsidR="008D0BE3" w:rsidRDefault="00B1277C">
            <w:pPr>
              <w:jc w:val="right"/>
            </w:pPr>
            <w:r>
              <w:rPr>
                <w:rFonts w:eastAsiaTheme="minorEastAsia"/>
                <w:kern w:val="0"/>
                <w:sz w:val="24"/>
                <w:szCs w:val="24"/>
              </w:rPr>
              <w:t>7,382,211.00</w:t>
            </w:r>
          </w:p>
        </w:tc>
        <w:tc>
          <w:tcPr>
            <w:tcW w:w="1616" w:type="dxa"/>
            <w:vAlign w:val="center"/>
          </w:tcPr>
          <w:p w:rsidR="008D0BE3" w:rsidRDefault="00B1277C">
            <w:pPr>
              <w:jc w:val="right"/>
            </w:pPr>
            <w:r>
              <w:rPr>
                <w:rFonts w:eastAsiaTheme="minorEastAsia"/>
                <w:kern w:val="0"/>
                <w:sz w:val="24"/>
                <w:szCs w:val="24"/>
              </w:rPr>
              <w:t>3.20</w:t>
            </w:r>
          </w:p>
        </w:tc>
      </w:tr>
      <w:tr w:rsidR="008D0BE3">
        <w:tc>
          <w:tcPr>
            <w:tcW w:w="817" w:type="dxa"/>
            <w:vAlign w:val="center"/>
          </w:tcPr>
          <w:p w:rsidR="008D0BE3" w:rsidRDefault="00B1277C">
            <w:pPr>
              <w:jc w:val="center"/>
            </w:pPr>
            <w:r>
              <w:rPr>
                <w:rFonts w:eastAsiaTheme="minorEastAsia"/>
                <w:kern w:val="0"/>
                <w:sz w:val="24"/>
                <w:szCs w:val="24"/>
              </w:rPr>
              <w:t>9</w:t>
            </w:r>
          </w:p>
        </w:tc>
        <w:tc>
          <w:tcPr>
            <w:tcW w:w="1276" w:type="dxa"/>
            <w:vAlign w:val="center"/>
          </w:tcPr>
          <w:p w:rsidR="008D0BE3" w:rsidRDefault="00B1277C">
            <w:pPr>
              <w:jc w:val="center"/>
            </w:pPr>
            <w:r>
              <w:rPr>
                <w:rFonts w:eastAsiaTheme="minorEastAsia"/>
                <w:kern w:val="0"/>
                <w:sz w:val="24"/>
                <w:szCs w:val="24"/>
              </w:rPr>
              <w:t>603486</w:t>
            </w:r>
          </w:p>
        </w:tc>
        <w:tc>
          <w:tcPr>
            <w:tcW w:w="1701" w:type="dxa"/>
            <w:vAlign w:val="center"/>
          </w:tcPr>
          <w:p w:rsidR="008D0BE3" w:rsidRDefault="00B1277C">
            <w:pPr>
              <w:jc w:val="center"/>
            </w:pPr>
            <w:r>
              <w:rPr>
                <w:rFonts w:eastAsiaTheme="minorEastAsia"/>
                <w:kern w:val="0"/>
                <w:sz w:val="24"/>
                <w:szCs w:val="24"/>
              </w:rPr>
              <w:t>科沃斯</w:t>
            </w:r>
          </w:p>
        </w:tc>
        <w:tc>
          <w:tcPr>
            <w:tcW w:w="1276" w:type="dxa"/>
            <w:vAlign w:val="center"/>
          </w:tcPr>
          <w:p w:rsidR="008D0BE3" w:rsidRDefault="00B1277C">
            <w:pPr>
              <w:jc w:val="right"/>
            </w:pPr>
            <w:r>
              <w:rPr>
                <w:rFonts w:eastAsiaTheme="minorEastAsia"/>
                <w:kern w:val="0"/>
                <w:sz w:val="24"/>
                <w:szCs w:val="24"/>
              </w:rPr>
              <w:t>32,170</w:t>
            </w:r>
          </w:p>
        </w:tc>
        <w:tc>
          <w:tcPr>
            <w:tcW w:w="1842" w:type="dxa"/>
            <w:vAlign w:val="center"/>
          </w:tcPr>
          <w:p w:rsidR="008D0BE3" w:rsidRDefault="00B1277C">
            <w:pPr>
              <w:jc w:val="right"/>
            </w:pPr>
            <w:r>
              <w:rPr>
                <w:rFonts w:eastAsiaTheme="minorEastAsia"/>
                <w:kern w:val="0"/>
                <w:sz w:val="24"/>
                <w:szCs w:val="24"/>
              </w:rPr>
              <w:t>7,337,333.60</w:t>
            </w:r>
          </w:p>
        </w:tc>
        <w:tc>
          <w:tcPr>
            <w:tcW w:w="1616" w:type="dxa"/>
            <w:vAlign w:val="center"/>
          </w:tcPr>
          <w:p w:rsidR="008D0BE3" w:rsidRDefault="00B1277C">
            <w:pPr>
              <w:jc w:val="right"/>
            </w:pPr>
            <w:r>
              <w:rPr>
                <w:rFonts w:eastAsiaTheme="minorEastAsia"/>
                <w:kern w:val="0"/>
                <w:sz w:val="24"/>
                <w:szCs w:val="24"/>
              </w:rPr>
              <w:t>3.18</w:t>
            </w:r>
          </w:p>
        </w:tc>
      </w:tr>
      <w:tr w:rsidR="008D0BE3">
        <w:tc>
          <w:tcPr>
            <w:tcW w:w="817" w:type="dxa"/>
            <w:vAlign w:val="center"/>
          </w:tcPr>
          <w:p w:rsidR="008D0BE3" w:rsidRDefault="00B1277C">
            <w:pPr>
              <w:jc w:val="center"/>
            </w:pPr>
            <w:r>
              <w:rPr>
                <w:rFonts w:eastAsiaTheme="minorEastAsia"/>
                <w:kern w:val="0"/>
                <w:sz w:val="24"/>
                <w:szCs w:val="24"/>
              </w:rPr>
              <w:t>10</w:t>
            </w:r>
          </w:p>
        </w:tc>
        <w:tc>
          <w:tcPr>
            <w:tcW w:w="1276" w:type="dxa"/>
            <w:vAlign w:val="center"/>
          </w:tcPr>
          <w:p w:rsidR="008D0BE3" w:rsidRDefault="00B1277C">
            <w:pPr>
              <w:jc w:val="center"/>
            </w:pPr>
            <w:r>
              <w:rPr>
                <w:rFonts w:eastAsiaTheme="minorEastAsia"/>
                <w:kern w:val="0"/>
                <w:sz w:val="24"/>
                <w:szCs w:val="24"/>
              </w:rPr>
              <w:t>300014</w:t>
            </w:r>
          </w:p>
        </w:tc>
        <w:tc>
          <w:tcPr>
            <w:tcW w:w="1701" w:type="dxa"/>
            <w:vAlign w:val="center"/>
          </w:tcPr>
          <w:p w:rsidR="008D0BE3" w:rsidRDefault="00B1277C">
            <w:pPr>
              <w:jc w:val="center"/>
            </w:pPr>
            <w:r>
              <w:rPr>
                <w:rFonts w:eastAsiaTheme="minorEastAsia"/>
                <w:kern w:val="0"/>
                <w:sz w:val="24"/>
                <w:szCs w:val="24"/>
              </w:rPr>
              <w:t>亿纬锂能</w:t>
            </w:r>
          </w:p>
        </w:tc>
        <w:tc>
          <w:tcPr>
            <w:tcW w:w="1276" w:type="dxa"/>
            <w:vAlign w:val="center"/>
          </w:tcPr>
          <w:p w:rsidR="008D0BE3" w:rsidRDefault="00B1277C">
            <w:pPr>
              <w:jc w:val="right"/>
            </w:pPr>
            <w:r>
              <w:rPr>
                <w:rFonts w:eastAsiaTheme="minorEastAsia"/>
                <w:kern w:val="0"/>
                <w:sz w:val="24"/>
                <w:szCs w:val="24"/>
              </w:rPr>
              <w:t>63,816</w:t>
            </w:r>
          </w:p>
        </w:tc>
        <w:tc>
          <w:tcPr>
            <w:tcW w:w="1842" w:type="dxa"/>
            <w:vAlign w:val="center"/>
          </w:tcPr>
          <w:p w:rsidR="008D0BE3" w:rsidRDefault="00B1277C">
            <w:pPr>
              <w:jc w:val="right"/>
            </w:pPr>
            <w:r>
              <w:rPr>
                <w:rFonts w:eastAsiaTheme="minorEastAsia"/>
                <w:kern w:val="0"/>
                <w:sz w:val="24"/>
                <w:szCs w:val="24"/>
              </w:rPr>
              <w:t>6,632,396.88</w:t>
            </w:r>
          </w:p>
        </w:tc>
        <w:tc>
          <w:tcPr>
            <w:tcW w:w="1616" w:type="dxa"/>
            <w:vAlign w:val="center"/>
          </w:tcPr>
          <w:p w:rsidR="008D0BE3" w:rsidRDefault="00B1277C">
            <w:pPr>
              <w:jc w:val="right"/>
            </w:pPr>
            <w:r>
              <w:rPr>
                <w:rFonts w:eastAsiaTheme="minorEastAsia"/>
                <w:kern w:val="0"/>
                <w:sz w:val="24"/>
                <w:szCs w:val="24"/>
              </w:rPr>
              <w:t>2.88</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tbl>
      <w:tblPr>
        <w:tblStyle w:val="aff4"/>
        <w:tblW w:w="8755" w:type="dxa"/>
        <w:jc w:val="center"/>
        <w:tblLayout w:type="fixed"/>
        <w:tblLook w:val="04A0" w:firstRow="1" w:lastRow="0" w:firstColumn="1" w:lastColumn="0" w:noHBand="0" w:noVBand="1"/>
      </w:tblPr>
      <w:tblGrid>
        <w:gridCol w:w="817"/>
        <w:gridCol w:w="3260"/>
        <w:gridCol w:w="2949"/>
        <w:gridCol w:w="1729"/>
      </w:tblGrid>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26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债券品种</w:t>
            </w:r>
          </w:p>
        </w:tc>
        <w:tc>
          <w:tcPr>
            <w:tcW w:w="294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国家债券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央行票据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其中：政策性金融债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企业短期融资券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中期票据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可转债（可交换债）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883,935.60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0.38</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同业存单</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9</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其他</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10</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合计</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883,935.60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0.38</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tbl>
      <w:tblPr>
        <w:tblStyle w:val="aff4"/>
        <w:tblW w:w="8528" w:type="dxa"/>
        <w:tblLayout w:type="fixed"/>
        <w:tblLook w:val="04A0" w:firstRow="1" w:lastRow="0" w:firstColumn="1" w:lastColumn="0" w:noHBand="0" w:noVBand="1"/>
      </w:tblPr>
      <w:tblGrid>
        <w:gridCol w:w="1252"/>
        <w:gridCol w:w="1310"/>
        <w:gridCol w:w="1282"/>
        <w:gridCol w:w="1426"/>
        <w:gridCol w:w="1646"/>
        <w:gridCol w:w="1612"/>
      </w:tblGrid>
      <w:tr w:rsidR="00D06738" w:rsidRPr="00FF6B9A">
        <w:tc>
          <w:tcPr>
            <w:tcW w:w="125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131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债券代码</w:t>
            </w:r>
          </w:p>
        </w:tc>
        <w:tc>
          <w:tcPr>
            <w:tcW w:w="128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债券名称</w:t>
            </w:r>
          </w:p>
        </w:tc>
        <w:tc>
          <w:tcPr>
            <w:tcW w:w="142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数量</w:t>
            </w:r>
            <w:r w:rsidRPr="00FF6B9A">
              <w:rPr>
                <w:rFonts w:eastAsiaTheme="minorEastAsia"/>
                <w:color w:val="000000" w:themeColor="text1"/>
                <w:kern w:val="0"/>
              </w:rPr>
              <w:t>(</w:t>
            </w:r>
            <w:r w:rsidRPr="00FF6B9A">
              <w:rPr>
                <w:rFonts w:eastAsiaTheme="minorEastAsia"/>
                <w:color w:val="000000" w:themeColor="text1"/>
                <w:kern w:val="0"/>
              </w:rPr>
              <w:t>张</w:t>
            </w:r>
            <w:r w:rsidRPr="00FF6B9A">
              <w:rPr>
                <w:rFonts w:eastAsiaTheme="minorEastAsia"/>
                <w:color w:val="000000" w:themeColor="text1"/>
                <w:kern w:val="0"/>
              </w:rPr>
              <w:t>)</w:t>
            </w:r>
          </w:p>
        </w:tc>
        <w:tc>
          <w:tcPr>
            <w:tcW w:w="164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1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8D0BE3">
        <w:tc>
          <w:tcPr>
            <w:tcW w:w="1252" w:type="dxa"/>
            <w:vAlign w:val="center"/>
          </w:tcPr>
          <w:p w:rsidR="008D0BE3" w:rsidRDefault="00B1277C">
            <w:pPr>
              <w:jc w:val="center"/>
            </w:pPr>
            <w:r>
              <w:rPr>
                <w:rFonts w:eastAsiaTheme="minorEastAsia"/>
                <w:color w:val="000000" w:themeColor="text1"/>
                <w:kern w:val="0"/>
              </w:rPr>
              <w:t>1</w:t>
            </w:r>
          </w:p>
        </w:tc>
        <w:tc>
          <w:tcPr>
            <w:tcW w:w="1310" w:type="dxa"/>
            <w:vAlign w:val="center"/>
          </w:tcPr>
          <w:p w:rsidR="008D0BE3" w:rsidRDefault="00B1277C">
            <w:pPr>
              <w:jc w:val="center"/>
            </w:pPr>
            <w:r>
              <w:rPr>
                <w:rFonts w:eastAsiaTheme="minorEastAsia"/>
                <w:color w:val="000000" w:themeColor="text1"/>
                <w:kern w:val="0"/>
              </w:rPr>
              <w:t>113050</w:t>
            </w:r>
          </w:p>
        </w:tc>
        <w:tc>
          <w:tcPr>
            <w:tcW w:w="1282" w:type="dxa"/>
            <w:vAlign w:val="center"/>
          </w:tcPr>
          <w:p w:rsidR="008D0BE3" w:rsidRDefault="00B1277C">
            <w:pPr>
              <w:jc w:val="center"/>
            </w:pPr>
            <w:r>
              <w:rPr>
                <w:rFonts w:eastAsiaTheme="minorEastAsia"/>
                <w:color w:val="000000" w:themeColor="text1"/>
                <w:kern w:val="0"/>
              </w:rPr>
              <w:t>南银转债</w:t>
            </w:r>
          </w:p>
        </w:tc>
        <w:tc>
          <w:tcPr>
            <w:tcW w:w="1426" w:type="dxa"/>
            <w:vAlign w:val="center"/>
          </w:tcPr>
          <w:p w:rsidR="008D0BE3" w:rsidRDefault="00B1277C">
            <w:pPr>
              <w:jc w:val="right"/>
            </w:pPr>
            <w:r>
              <w:rPr>
                <w:rFonts w:eastAsiaTheme="minorEastAsia"/>
                <w:color w:val="000000" w:themeColor="text1"/>
                <w:kern w:val="0"/>
              </w:rPr>
              <w:t>8,830</w:t>
            </w:r>
          </w:p>
        </w:tc>
        <w:tc>
          <w:tcPr>
            <w:tcW w:w="1646" w:type="dxa"/>
            <w:vAlign w:val="center"/>
          </w:tcPr>
          <w:p w:rsidR="008D0BE3" w:rsidRDefault="00B1277C">
            <w:pPr>
              <w:jc w:val="right"/>
            </w:pPr>
            <w:r>
              <w:rPr>
                <w:rFonts w:eastAsiaTheme="minorEastAsia"/>
                <w:color w:val="000000" w:themeColor="text1"/>
                <w:kern w:val="0"/>
              </w:rPr>
              <w:t>883,000.00</w:t>
            </w:r>
          </w:p>
        </w:tc>
        <w:tc>
          <w:tcPr>
            <w:tcW w:w="1612" w:type="dxa"/>
            <w:vAlign w:val="center"/>
          </w:tcPr>
          <w:p w:rsidR="008D0BE3" w:rsidRDefault="00B1277C">
            <w:pPr>
              <w:jc w:val="right"/>
            </w:pPr>
            <w:r>
              <w:rPr>
                <w:rFonts w:eastAsiaTheme="minorEastAsia"/>
                <w:color w:val="000000" w:themeColor="text1"/>
                <w:kern w:val="0"/>
              </w:rPr>
              <w:t>0.38</w:t>
            </w:r>
          </w:p>
        </w:tc>
      </w:tr>
      <w:tr w:rsidR="008D0BE3">
        <w:tc>
          <w:tcPr>
            <w:tcW w:w="1252" w:type="dxa"/>
            <w:vAlign w:val="center"/>
          </w:tcPr>
          <w:p w:rsidR="008D0BE3" w:rsidRDefault="00B1277C">
            <w:pPr>
              <w:jc w:val="center"/>
            </w:pPr>
            <w:r>
              <w:rPr>
                <w:rFonts w:eastAsiaTheme="minorEastAsia"/>
                <w:color w:val="000000" w:themeColor="text1"/>
                <w:kern w:val="0"/>
              </w:rPr>
              <w:t>2</w:t>
            </w:r>
          </w:p>
        </w:tc>
        <w:tc>
          <w:tcPr>
            <w:tcW w:w="1310" w:type="dxa"/>
            <w:vAlign w:val="center"/>
          </w:tcPr>
          <w:p w:rsidR="008D0BE3" w:rsidRDefault="00B1277C">
            <w:pPr>
              <w:jc w:val="center"/>
            </w:pPr>
            <w:r>
              <w:rPr>
                <w:rFonts w:eastAsiaTheme="minorEastAsia"/>
                <w:color w:val="000000" w:themeColor="text1"/>
                <w:kern w:val="0"/>
              </w:rPr>
              <w:t>128136</w:t>
            </w:r>
          </w:p>
        </w:tc>
        <w:tc>
          <w:tcPr>
            <w:tcW w:w="1282" w:type="dxa"/>
            <w:vAlign w:val="center"/>
          </w:tcPr>
          <w:p w:rsidR="008D0BE3" w:rsidRDefault="00B1277C">
            <w:pPr>
              <w:jc w:val="center"/>
            </w:pPr>
            <w:r>
              <w:rPr>
                <w:rFonts w:eastAsiaTheme="minorEastAsia"/>
                <w:color w:val="000000" w:themeColor="text1"/>
                <w:kern w:val="0"/>
              </w:rPr>
              <w:t>立讯转债</w:t>
            </w:r>
          </w:p>
        </w:tc>
        <w:tc>
          <w:tcPr>
            <w:tcW w:w="1426" w:type="dxa"/>
            <w:vAlign w:val="center"/>
          </w:tcPr>
          <w:p w:rsidR="008D0BE3" w:rsidRDefault="00B1277C">
            <w:pPr>
              <w:jc w:val="right"/>
            </w:pPr>
            <w:r>
              <w:rPr>
                <w:rFonts w:eastAsiaTheme="minorEastAsia"/>
                <w:color w:val="000000" w:themeColor="text1"/>
                <w:kern w:val="0"/>
              </w:rPr>
              <w:t>8</w:t>
            </w:r>
          </w:p>
        </w:tc>
        <w:tc>
          <w:tcPr>
            <w:tcW w:w="1646" w:type="dxa"/>
            <w:vAlign w:val="center"/>
          </w:tcPr>
          <w:p w:rsidR="008D0BE3" w:rsidRDefault="00B1277C">
            <w:pPr>
              <w:jc w:val="right"/>
            </w:pPr>
            <w:r>
              <w:rPr>
                <w:rFonts w:eastAsiaTheme="minorEastAsia"/>
                <w:color w:val="000000" w:themeColor="text1"/>
                <w:kern w:val="0"/>
              </w:rPr>
              <w:t>935.60</w:t>
            </w:r>
          </w:p>
        </w:tc>
        <w:tc>
          <w:tcPr>
            <w:tcW w:w="1612" w:type="dxa"/>
            <w:vAlign w:val="center"/>
          </w:tcPr>
          <w:p w:rsidR="008D0BE3" w:rsidRDefault="00B1277C">
            <w:pPr>
              <w:jc w:val="right"/>
            </w:pPr>
            <w:r>
              <w:rPr>
                <w:rFonts w:eastAsiaTheme="minorEastAsia"/>
                <w:color w:val="000000" w:themeColor="text1"/>
                <w:kern w:val="0"/>
              </w:rPr>
              <w:t>0.00</w:t>
            </w:r>
          </w:p>
        </w:tc>
      </w:tr>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lastRenderedPageBreak/>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本基金投资的前十名证券的发行主体本期未出现被监管部门立案调查，或在报告编制日前一年内受到公开谴责、处罚的情形。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105,194.04</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3,063.53</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467,707.12</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575,964.69</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tbl>
      <w:tblPr>
        <w:tblStyle w:val="aff4"/>
        <w:tblW w:w="8513" w:type="dxa"/>
        <w:tblInd w:w="15" w:type="dxa"/>
        <w:tblLayout w:type="fixed"/>
        <w:tblLook w:val="04A0" w:firstRow="1" w:lastRow="0" w:firstColumn="1" w:lastColumn="0" w:noHBand="0" w:noVBand="1"/>
      </w:tblPr>
      <w:tblGrid>
        <w:gridCol w:w="1808"/>
        <w:gridCol w:w="1729"/>
        <w:gridCol w:w="1658"/>
        <w:gridCol w:w="1697"/>
        <w:gridCol w:w="1621"/>
      </w:tblGrid>
      <w:tr w:rsidR="00D06738" w:rsidRPr="00FF6B9A">
        <w:tc>
          <w:tcPr>
            <w:tcW w:w="1808"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172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债券代码</w:t>
            </w:r>
          </w:p>
        </w:tc>
        <w:tc>
          <w:tcPr>
            <w:tcW w:w="1658"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债券名称</w:t>
            </w:r>
          </w:p>
        </w:tc>
        <w:tc>
          <w:tcPr>
            <w:tcW w:w="169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21"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p>
        </w:tc>
      </w:tr>
      <w:tr w:rsidR="008D0BE3">
        <w:tc>
          <w:tcPr>
            <w:tcW w:w="1808" w:type="dxa"/>
            <w:vAlign w:val="center"/>
          </w:tcPr>
          <w:p w:rsidR="008D0BE3" w:rsidRDefault="00B1277C">
            <w:pPr>
              <w:jc w:val="center"/>
            </w:pPr>
            <w:r>
              <w:rPr>
                <w:rFonts w:eastAsiaTheme="minorEastAsia"/>
                <w:color w:val="000000" w:themeColor="text1"/>
                <w:kern w:val="0"/>
              </w:rPr>
              <w:t>1</w:t>
            </w:r>
          </w:p>
        </w:tc>
        <w:tc>
          <w:tcPr>
            <w:tcW w:w="1729" w:type="dxa"/>
            <w:vAlign w:val="center"/>
          </w:tcPr>
          <w:p w:rsidR="008D0BE3" w:rsidRDefault="00B1277C">
            <w:pPr>
              <w:jc w:val="center"/>
            </w:pPr>
            <w:r>
              <w:rPr>
                <w:rFonts w:eastAsiaTheme="minorEastAsia"/>
                <w:color w:val="000000" w:themeColor="text1"/>
                <w:kern w:val="0"/>
              </w:rPr>
              <w:t>128136</w:t>
            </w:r>
          </w:p>
        </w:tc>
        <w:tc>
          <w:tcPr>
            <w:tcW w:w="1658" w:type="dxa"/>
            <w:vAlign w:val="center"/>
          </w:tcPr>
          <w:p w:rsidR="008D0BE3" w:rsidRDefault="00B1277C">
            <w:pPr>
              <w:jc w:val="center"/>
            </w:pPr>
            <w:r>
              <w:rPr>
                <w:rFonts w:eastAsiaTheme="minorEastAsia"/>
                <w:color w:val="000000" w:themeColor="text1"/>
                <w:kern w:val="0"/>
              </w:rPr>
              <w:t>立讯转债</w:t>
            </w:r>
          </w:p>
        </w:tc>
        <w:tc>
          <w:tcPr>
            <w:tcW w:w="1697" w:type="dxa"/>
            <w:vAlign w:val="center"/>
          </w:tcPr>
          <w:p w:rsidR="008D0BE3" w:rsidRDefault="00B1277C">
            <w:pPr>
              <w:jc w:val="right"/>
            </w:pPr>
            <w:r>
              <w:rPr>
                <w:rFonts w:eastAsiaTheme="minorEastAsia"/>
                <w:color w:val="000000" w:themeColor="text1"/>
                <w:kern w:val="0"/>
              </w:rPr>
              <w:t>935.60</w:t>
            </w:r>
          </w:p>
        </w:tc>
        <w:tc>
          <w:tcPr>
            <w:tcW w:w="1621" w:type="dxa"/>
            <w:vAlign w:val="center"/>
          </w:tcPr>
          <w:p w:rsidR="008D0BE3" w:rsidRDefault="00B1277C">
            <w:pPr>
              <w:jc w:val="right"/>
            </w:pPr>
            <w:r>
              <w:rPr>
                <w:rFonts w:eastAsiaTheme="minorEastAsia"/>
                <w:color w:val="000000" w:themeColor="text1"/>
                <w:kern w:val="0"/>
              </w:rPr>
              <w:t>0.00</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lastRenderedPageBreak/>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72,077,265.99</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3,400,102.90</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6,541,037.90</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68,936,330.99</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8D0BE3" w:rsidRDefault="00B1277C">
      <w:pPr>
        <w:spacing w:line="360" w:lineRule="auto"/>
        <w:ind w:firstLineChars="200" w:firstLine="420"/>
        <w:rPr>
          <w:rFonts w:eastAsiaTheme="minorEastAsia"/>
          <w:color w:val="000000" w:themeColor="text1"/>
        </w:rPr>
      </w:pPr>
      <w:r>
        <w:rPr>
          <w:rFonts w:eastAsiaTheme="minorEastAsia"/>
          <w:color w:val="000000" w:themeColor="text1"/>
        </w:rPr>
        <w:t xml:space="preserve">1. </w:t>
      </w:r>
      <w:r>
        <w:rPr>
          <w:rFonts w:eastAsiaTheme="minorEastAsia"/>
          <w:color w:val="000000" w:themeColor="text1"/>
        </w:rPr>
        <w:t>中国证监会批准上投摩根民生需求股票型证券投资基金设立的文件；</w:t>
      </w:r>
    </w:p>
    <w:p w:rsidR="008D0BE3" w:rsidRDefault="00B1277C">
      <w:pPr>
        <w:spacing w:line="360" w:lineRule="auto"/>
        <w:ind w:firstLineChars="200" w:firstLine="420"/>
        <w:rPr>
          <w:rFonts w:eastAsiaTheme="minorEastAsia"/>
          <w:color w:val="000000" w:themeColor="text1"/>
        </w:rPr>
      </w:pPr>
      <w:r>
        <w:rPr>
          <w:rFonts w:eastAsiaTheme="minorEastAsia"/>
          <w:color w:val="000000" w:themeColor="text1"/>
        </w:rPr>
        <w:t xml:space="preserve">2. </w:t>
      </w:r>
      <w:r>
        <w:rPr>
          <w:rFonts w:eastAsiaTheme="minorEastAsia"/>
          <w:color w:val="000000" w:themeColor="text1"/>
        </w:rPr>
        <w:t>《上投摩根民生需求股票型证券投资基金基金合同》；</w:t>
      </w:r>
    </w:p>
    <w:p w:rsidR="008D0BE3" w:rsidRDefault="00B1277C">
      <w:pPr>
        <w:spacing w:line="360" w:lineRule="auto"/>
        <w:ind w:firstLineChars="200" w:firstLine="420"/>
        <w:rPr>
          <w:rFonts w:eastAsiaTheme="minorEastAsia"/>
          <w:color w:val="000000" w:themeColor="text1"/>
        </w:rPr>
      </w:pPr>
      <w:r>
        <w:rPr>
          <w:rFonts w:eastAsiaTheme="minorEastAsia"/>
          <w:color w:val="000000" w:themeColor="text1"/>
        </w:rPr>
        <w:t xml:space="preserve">3. </w:t>
      </w:r>
      <w:r>
        <w:rPr>
          <w:rFonts w:eastAsiaTheme="minorEastAsia"/>
          <w:color w:val="000000" w:themeColor="text1"/>
        </w:rPr>
        <w:t>《上投摩根民生需求股票型证券投资基金基金托管协议》；</w:t>
      </w:r>
    </w:p>
    <w:p w:rsidR="008D0BE3" w:rsidRDefault="00B1277C">
      <w:pPr>
        <w:spacing w:line="360" w:lineRule="auto"/>
        <w:ind w:firstLineChars="200" w:firstLine="420"/>
        <w:rPr>
          <w:rFonts w:eastAsiaTheme="minorEastAsia"/>
          <w:color w:val="000000" w:themeColor="text1"/>
        </w:rPr>
      </w:pPr>
      <w:r>
        <w:rPr>
          <w:rFonts w:eastAsiaTheme="minorEastAsia"/>
          <w:color w:val="000000" w:themeColor="text1"/>
        </w:rPr>
        <w:t xml:space="preserve">4. </w:t>
      </w:r>
      <w:r>
        <w:rPr>
          <w:rFonts w:eastAsiaTheme="minorEastAsia"/>
          <w:color w:val="000000" w:themeColor="text1"/>
        </w:rPr>
        <w:t>《上投摩根基金管理有限公司开放式基金业务规则》；</w:t>
      </w:r>
    </w:p>
    <w:p w:rsidR="008D0BE3" w:rsidRDefault="00B1277C">
      <w:pPr>
        <w:spacing w:line="360" w:lineRule="auto"/>
        <w:ind w:firstLineChars="200" w:firstLine="420"/>
        <w:rPr>
          <w:rFonts w:eastAsiaTheme="minorEastAsia"/>
          <w:color w:val="000000" w:themeColor="text1"/>
        </w:rPr>
      </w:pPr>
      <w:r>
        <w:rPr>
          <w:rFonts w:eastAsiaTheme="minorEastAsia"/>
          <w:color w:val="000000" w:themeColor="text1"/>
        </w:rPr>
        <w:t xml:space="preserve">5. </w:t>
      </w:r>
      <w:r>
        <w:rPr>
          <w:rFonts w:eastAsiaTheme="minorEastAsia"/>
          <w:color w:val="000000" w:themeColor="text1"/>
        </w:rPr>
        <w:t>基金管理人业务资格批件、营业执照；</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 xml:space="preserve">6. </w:t>
      </w:r>
      <w:r w:rsidRPr="00FF6B9A">
        <w:rPr>
          <w:rFonts w:eastAsiaTheme="minorEastAsia"/>
          <w:color w:val="000000" w:themeColor="text1"/>
        </w:rPr>
        <w:t>基金托管人业务资格批件和营业执照。</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基金管理人或基金托管人处。</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二〇二一年七月二十一日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B1277C" w:rsidRPr="00B1277C">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B1277C">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上投摩根民生需求股票型证券投资基金</w:t>
    </w:r>
    <w:r>
      <w:rPr>
        <w:rFonts w:hint="eastAsia"/>
      </w:rPr>
      <w:t>2021</w:t>
    </w:r>
    <w:r>
      <w:rPr>
        <w:rFonts w:hint="eastAsia"/>
      </w:rPr>
      <w:t>年第</w:t>
    </w:r>
    <w:r>
      <w:rPr>
        <w:rFonts w:hint="eastAsia"/>
      </w:rPr>
      <w:t>2</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D0BE3"/>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77C"/>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615E02-F4A4-4BEC-9793-09C64151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Wentian.Zhou@FA</cp:lastModifiedBy>
  <cp:revision>268</cp:revision>
  <dcterms:created xsi:type="dcterms:W3CDTF">2012-10-16T06:07:00Z</dcterms:created>
  <dcterms:modified xsi:type="dcterms:W3CDTF">2021-07-20T08:04:00Z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