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56890" w:rsidRDefault="00F573E4">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556890" w:rsidRDefault="00F573E4">
      <w:pPr>
        <w:spacing w:line="360" w:lineRule="auto"/>
        <w:rPr>
          <w:rFonts w:ascii="宋体" w:hAnsi="宋体"/>
          <w:sz w:val="48"/>
        </w:rPr>
      </w:pPr>
      <w:r>
        <w:rPr>
          <w:rFonts w:ascii="宋体" w:hAnsi="宋体" w:hint="eastAsia"/>
          <w:sz w:val="48"/>
        </w:rPr>
        <w:t xml:space="preserve">　 </w:t>
      </w:r>
    </w:p>
    <w:p w:rsidR="00556890" w:rsidRDefault="00F573E4">
      <w:pPr>
        <w:spacing w:line="360" w:lineRule="auto"/>
        <w:jc w:val="center"/>
      </w:pPr>
      <w:r>
        <w:rPr>
          <w:rFonts w:ascii="宋体" w:hAnsi="宋体" w:hint="eastAsia"/>
          <w:b/>
          <w:bCs/>
          <w:color w:val="000000" w:themeColor="text1"/>
          <w:sz w:val="48"/>
          <w:szCs w:val="30"/>
        </w:rPr>
        <w:t>摩根核心成长股票型证券投资基金</w:t>
      </w:r>
      <w:r>
        <w:rPr>
          <w:rFonts w:ascii="宋体" w:hAnsi="宋体" w:hint="eastAsia"/>
          <w:b/>
          <w:bCs/>
          <w:color w:val="000000" w:themeColor="text1"/>
          <w:sz w:val="48"/>
          <w:szCs w:val="30"/>
        </w:rPr>
        <w:br/>
        <w:t>2025年第1季度报告</w:t>
      </w:r>
    </w:p>
    <w:p w:rsidR="00556890" w:rsidRDefault="00F573E4">
      <w:pPr>
        <w:spacing w:line="360" w:lineRule="auto"/>
        <w:jc w:val="center"/>
        <w:rPr>
          <w:rFonts w:ascii="宋体" w:hAnsi="宋体"/>
          <w:sz w:val="28"/>
          <w:szCs w:val="30"/>
        </w:rPr>
      </w:pPr>
      <w:r>
        <w:rPr>
          <w:rFonts w:ascii="宋体" w:hAnsi="宋体" w:hint="eastAsia"/>
          <w:sz w:val="28"/>
          <w:szCs w:val="30"/>
        </w:rPr>
        <w:t xml:space="preserve">　 </w:t>
      </w:r>
    </w:p>
    <w:p w:rsidR="00556890" w:rsidRDefault="00F573E4">
      <w:pPr>
        <w:spacing w:line="360" w:lineRule="auto"/>
        <w:jc w:val="center"/>
      </w:pPr>
      <w:r>
        <w:rPr>
          <w:rFonts w:ascii="宋体" w:hAnsi="宋体" w:hint="eastAsia"/>
          <w:b/>
          <w:bCs/>
          <w:sz w:val="28"/>
          <w:szCs w:val="30"/>
        </w:rPr>
        <w:t>2025年3月31日</w:t>
      </w:r>
    </w:p>
    <w:p w:rsidR="00556890" w:rsidRDefault="00F573E4">
      <w:pPr>
        <w:spacing w:line="360" w:lineRule="auto"/>
        <w:jc w:val="center"/>
        <w:rPr>
          <w:rFonts w:ascii="宋体" w:hAnsi="宋体"/>
          <w:sz w:val="28"/>
          <w:szCs w:val="30"/>
        </w:rPr>
      </w:pPr>
      <w:r>
        <w:rPr>
          <w:rFonts w:ascii="宋体" w:hAnsi="宋体" w:hint="eastAsia"/>
          <w:sz w:val="28"/>
          <w:szCs w:val="30"/>
        </w:rPr>
        <w:t xml:space="preserve">　 </w:t>
      </w:r>
    </w:p>
    <w:p w:rsidR="00556890" w:rsidRDefault="00F573E4">
      <w:pPr>
        <w:spacing w:line="360" w:lineRule="auto"/>
        <w:jc w:val="center"/>
        <w:rPr>
          <w:rFonts w:ascii="宋体" w:hAnsi="宋体"/>
          <w:sz w:val="28"/>
          <w:szCs w:val="30"/>
        </w:rPr>
      </w:pPr>
      <w:r>
        <w:rPr>
          <w:rFonts w:ascii="宋体" w:hAnsi="宋体" w:hint="eastAsia"/>
          <w:sz w:val="28"/>
          <w:szCs w:val="30"/>
        </w:rPr>
        <w:t xml:space="preserve">　 </w:t>
      </w:r>
    </w:p>
    <w:p w:rsidR="00556890" w:rsidRDefault="00F573E4">
      <w:pPr>
        <w:spacing w:line="360" w:lineRule="auto"/>
        <w:jc w:val="center"/>
        <w:rPr>
          <w:rFonts w:ascii="宋体" w:hAnsi="宋体"/>
          <w:sz w:val="28"/>
          <w:szCs w:val="30"/>
        </w:rPr>
      </w:pPr>
      <w:r>
        <w:rPr>
          <w:rFonts w:ascii="宋体" w:hAnsi="宋体" w:hint="eastAsia"/>
          <w:sz w:val="28"/>
          <w:szCs w:val="30"/>
        </w:rPr>
        <w:t xml:space="preserve">　 </w:t>
      </w:r>
      <w:bookmarkStart w:id="7" w:name="_GoBack"/>
      <w:bookmarkEnd w:id="7"/>
    </w:p>
    <w:p w:rsidR="00556890" w:rsidRDefault="00F573E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556890" w:rsidRDefault="00F573E4">
      <w:pPr>
        <w:spacing w:line="360" w:lineRule="auto"/>
        <w:jc w:val="center"/>
        <w:rPr>
          <w:rFonts w:ascii="宋体" w:hAnsi="宋体"/>
          <w:sz w:val="28"/>
          <w:szCs w:val="30"/>
        </w:rPr>
      </w:pPr>
      <w:r>
        <w:rPr>
          <w:rFonts w:ascii="宋体" w:hAnsi="宋体" w:hint="eastAsia"/>
          <w:sz w:val="28"/>
          <w:szCs w:val="30"/>
        </w:rPr>
        <w:t xml:space="preserve">　 </w:t>
      </w:r>
    </w:p>
    <w:p w:rsidR="00556890" w:rsidRDefault="00F573E4">
      <w:pPr>
        <w:spacing w:line="360" w:lineRule="auto"/>
        <w:jc w:val="center"/>
        <w:rPr>
          <w:rFonts w:ascii="宋体" w:hAnsi="宋体"/>
          <w:sz w:val="28"/>
          <w:szCs w:val="30"/>
        </w:rPr>
      </w:pPr>
      <w:r>
        <w:rPr>
          <w:rFonts w:ascii="宋体" w:hAnsi="宋体" w:hint="eastAsia"/>
          <w:sz w:val="28"/>
          <w:szCs w:val="30"/>
        </w:rPr>
        <w:t xml:space="preserve">　 </w:t>
      </w:r>
    </w:p>
    <w:p w:rsidR="00556890" w:rsidRDefault="00F573E4">
      <w:pPr>
        <w:spacing w:line="360" w:lineRule="auto"/>
        <w:jc w:val="center"/>
        <w:rPr>
          <w:rFonts w:ascii="宋体" w:hAnsi="宋体"/>
          <w:sz w:val="28"/>
          <w:szCs w:val="30"/>
        </w:rPr>
      </w:pPr>
      <w:r>
        <w:rPr>
          <w:rFonts w:ascii="宋体" w:hAnsi="宋体" w:hint="eastAsia"/>
          <w:sz w:val="28"/>
          <w:szCs w:val="30"/>
        </w:rPr>
        <w:t xml:space="preserve">　 </w:t>
      </w:r>
    </w:p>
    <w:p w:rsidR="00556890" w:rsidRDefault="00F573E4">
      <w:pPr>
        <w:spacing w:line="360" w:lineRule="auto"/>
        <w:jc w:val="center"/>
        <w:rPr>
          <w:rFonts w:ascii="宋体" w:hAnsi="宋体"/>
          <w:sz w:val="28"/>
          <w:szCs w:val="30"/>
        </w:rPr>
      </w:pPr>
      <w:r>
        <w:rPr>
          <w:rFonts w:ascii="宋体" w:hAnsi="宋体" w:hint="eastAsia"/>
          <w:sz w:val="28"/>
          <w:szCs w:val="30"/>
        </w:rPr>
        <w:t xml:space="preserve">　 </w:t>
      </w:r>
    </w:p>
    <w:p w:rsidR="00556890" w:rsidRDefault="00F573E4">
      <w:pPr>
        <w:spacing w:line="360" w:lineRule="auto"/>
        <w:jc w:val="center"/>
        <w:rPr>
          <w:rFonts w:ascii="宋体" w:hAnsi="宋体"/>
          <w:sz w:val="28"/>
          <w:szCs w:val="30"/>
        </w:rPr>
      </w:pPr>
      <w:r>
        <w:rPr>
          <w:rFonts w:ascii="宋体" w:hAnsi="宋体" w:hint="eastAsia"/>
          <w:sz w:val="28"/>
          <w:szCs w:val="30"/>
        </w:rPr>
        <w:t xml:space="preserve">　 </w:t>
      </w:r>
    </w:p>
    <w:p w:rsidR="00556890" w:rsidRDefault="00F573E4">
      <w:pPr>
        <w:spacing w:line="360" w:lineRule="auto"/>
        <w:jc w:val="center"/>
        <w:rPr>
          <w:rFonts w:ascii="宋体" w:hAnsi="宋体"/>
          <w:sz w:val="28"/>
          <w:szCs w:val="30"/>
        </w:rPr>
      </w:pPr>
      <w:r>
        <w:rPr>
          <w:rFonts w:ascii="宋体" w:hAnsi="宋体" w:hint="eastAsia"/>
          <w:sz w:val="28"/>
          <w:szCs w:val="30"/>
        </w:rPr>
        <w:t xml:space="preserve">　 </w:t>
      </w:r>
    </w:p>
    <w:p w:rsidR="00556890" w:rsidRDefault="00F573E4">
      <w:pPr>
        <w:spacing w:line="360" w:lineRule="auto"/>
        <w:jc w:val="center"/>
        <w:rPr>
          <w:rFonts w:ascii="宋体" w:hAnsi="宋体"/>
          <w:sz w:val="28"/>
          <w:szCs w:val="30"/>
        </w:rPr>
      </w:pPr>
      <w:r>
        <w:rPr>
          <w:rFonts w:ascii="宋体" w:hAnsi="宋体" w:hint="eastAsia"/>
          <w:sz w:val="28"/>
          <w:szCs w:val="30"/>
        </w:rPr>
        <w:t xml:space="preserve">　 </w:t>
      </w:r>
    </w:p>
    <w:p w:rsidR="00556890" w:rsidRDefault="00F573E4">
      <w:pPr>
        <w:spacing w:line="360" w:lineRule="auto"/>
        <w:ind w:firstLineChars="800" w:firstLine="2249"/>
        <w:jc w:val="left"/>
      </w:pPr>
      <w:r>
        <w:rPr>
          <w:rFonts w:ascii="宋体" w:hAnsi="宋体" w:hint="eastAsia"/>
          <w:b/>
          <w:bCs/>
          <w:sz w:val="28"/>
          <w:szCs w:val="30"/>
        </w:rPr>
        <w:t>基金管理人：摩根基金管理（中国）有限公司</w:t>
      </w:r>
    </w:p>
    <w:p w:rsidR="00556890" w:rsidRDefault="00F573E4">
      <w:pPr>
        <w:spacing w:line="360" w:lineRule="auto"/>
        <w:ind w:firstLineChars="800" w:firstLine="2249"/>
        <w:jc w:val="left"/>
      </w:pPr>
      <w:r>
        <w:rPr>
          <w:rFonts w:ascii="宋体" w:hAnsi="宋体" w:hint="eastAsia"/>
          <w:b/>
          <w:bCs/>
          <w:sz w:val="28"/>
          <w:szCs w:val="30"/>
        </w:rPr>
        <w:t>基金托管人：中国银行股份有限公司</w:t>
      </w:r>
    </w:p>
    <w:p w:rsidR="00556890" w:rsidRDefault="00F573E4">
      <w:pPr>
        <w:spacing w:line="360" w:lineRule="auto"/>
        <w:ind w:firstLineChars="800" w:firstLine="2249"/>
        <w:jc w:val="left"/>
      </w:pPr>
      <w:r>
        <w:rPr>
          <w:rFonts w:ascii="宋体" w:hAnsi="宋体" w:hint="eastAsia"/>
          <w:b/>
          <w:bCs/>
          <w:sz w:val="28"/>
          <w:szCs w:val="30"/>
        </w:rPr>
        <w:t>报告送出日期：2025年4月22日</w:t>
      </w:r>
    </w:p>
    <w:p w:rsidR="00556890" w:rsidRDefault="00F573E4">
      <w:pPr>
        <w:pStyle w:val="XBRLTitle1"/>
        <w:spacing w:before="156" w:line="360" w:lineRule="auto"/>
        <w:ind w:left="425"/>
      </w:pPr>
      <w:r>
        <w:rPr>
          <w:rFonts w:hAnsi="宋体" w:cs="宋体" w:hint="eastAsia"/>
          <w:color w:val="404040"/>
          <w:kern w:val="0"/>
        </w:rPr>
        <w:br w:type="page"/>
      </w:r>
      <w:bookmarkStart w:id="8" w:name="_Toc17898178"/>
      <w:bookmarkStart w:id="9" w:name="_Toc17897936"/>
      <w:bookmarkStart w:id="10" w:name="_Toc512519480"/>
      <w:bookmarkStart w:id="11" w:name="_Toc481075046"/>
      <w:bookmarkStart w:id="12" w:name="_Toc438646451"/>
      <w:bookmarkStart w:id="13" w:name="_Toc490050000"/>
      <w:bookmarkStart w:id="14" w:name="_Toc513295846"/>
      <w:bookmarkStart w:id="15" w:name="_Toc513295892"/>
      <w:bookmarkStart w:id="16" w:name="m101"/>
      <w:bookmarkStart w:id="17" w:name="m01_01"/>
      <w:bookmarkStart w:id="18" w:name="_Toc194311890"/>
      <w:proofErr w:type="spellStart"/>
      <w:r>
        <w:rPr>
          <w:rFonts w:hAnsi="宋体" w:hint="eastAsia"/>
        </w:rPr>
        <w:lastRenderedPageBreak/>
        <w:t>重要提示</w:t>
      </w:r>
      <w:bookmarkEnd w:id="8"/>
      <w:bookmarkEnd w:id="9"/>
      <w:bookmarkEnd w:id="10"/>
      <w:bookmarkEnd w:id="11"/>
      <w:bookmarkEnd w:id="12"/>
      <w:bookmarkEnd w:id="13"/>
      <w:bookmarkEnd w:id="14"/>
      <w:bookmarkEnd w:id="15"/>
      <w:proofErr w:type="spellEnd"/>
      <w:r>
        <w:rPr>
          <w:rFonts w:hAnsi="宋体" w:hint="eastAsia"/>
        </w:rPr>
        <w:t xml:space="preserve"> </w:t>
      </w:r>
    </w:p>
    <w:p w:rsidR="00556890" w:rsidRDefault="00F573E4">
      <w:pPr>
        <w:spacing w:line="360" w:lineRule="auto"/>
        <w:ind w:firstLineChars="200" w:firstLine="420"/>
      </w:pPr>
      <w:bookmarkStart w:id="19" w:name="m502"/>
      <w:bookmarkStart w:id="20" w:name="_Toc438646470"/>
      <w:bookmarkStart w:id="21" w:name="m504"/>
      <w:bookmarkStart w:id="22" w:name="m08QD_01"/>
      <w:bookmarkStart w:id="23" w:name="m201"/>
      <w:bookmarkStart w:id="24"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556890" w:rsidRDefault="00F573E4">
      <w:pPr>
        <w:pStyle w:val="XBRLTitle1"/>
        <w:spacing w:before="156" w:line="360" w:lineRule="auto"/>
        <w:ind w:left="425"/>
      </w:pPr>
      <w:bookmarkStart w:id="25" w:name="_Toc17898179"/>
      <w:bookmarkStart w:id="26" w:name="_Toc17897937"/>
      <w:bookmarkStart w:id="27" w:name="_Toc512519481"/>
      <w:bookmarkStart w:id="28" w:name="_Toc481075047"/>
      <w:bookmarkStart w:id="29" w:name="_Toc438646452"/>
      <w:bookmarkStart w:id="30" w:name="_Toc490050001"/>
      <w:bookmarkStart w:id="31" w:name="_Toc513295847"/>
      <w:bookmarkStart w:id="32" w:name="_Toc513295893"/>
      <w:proofErr w:type="spellStart"/>
      <w:r>
        <w:rPr>
          <w:rFonts w:hAnsi="宋体" w:hint="eastAsia"/>
        </w:rPr>
        <w:t>基金产品概况</w:t>
      </w:r>
      <w:bookmarkEnd w:id="25"/>
      <w:bookmarkEnd w:id="26"/>
      <w:bookmarkEnd w:id="27"/>
      <w:bookmarkEnd w:id="28"/>
      <w:bookmarkEnd w:id="29"/>
      <w:bookmarkEnd w:id="30"/>
      <w:bookmarkEnd w:id="31"/>
      <w:bookmarkEnd w:id="32"/>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556890">
        <w:trPr>
          <w:divId w:val="2136021502"/>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6"/>
          <w:p w:rsidR="00556890" w:rsidRDefault="00F573E4">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szCs w:val="24"/>
                <w:lang w:eastAsia="zh-Hans"/>
              </w:rPr>
              <w:t>摩根核心成长股票</w:t>
            </w:r>
            <w:r>
              <w:rPr>
                <w:rFonts w:ascii="宋体" w:hAnsi="宋体" w:hint="eastAsia"/>
                <w:lang w:eastAsia="zh-Hans"/>
              </w:rPr>
              <w:t xml:space="preserve"> </w:t>
            </w:r>
          </w:p>
        </w:tc>
      </w:tr>
      <w:tr w:rsidR="00556890">
        <w:trPr>
          <w:divId w:val="213602150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lang w:eastAsia="zh-Hans"/>
              </w:rPr>
              <w:t>000457</w:t>
            </w:r>
          </w:p>
        </w:tc>
      </w:tr>
      <w:tr w:rsidR="00556890">
        <w:trPr>
          <w:divId w:val="213602150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bookmarkStart w:id="33"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lang w:eastAsia="zh-Hans"/>
              </w:rPr>
              <w:t>契约型开放式</w:t>
            </w:r>
          </w:p>
        </w:tc>
      </w:tr>
      <w:tr w:rsidR="00556890">
        <w:trPr>
          <w:divId w:val="213602150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lang w:eastAsia="zh-Hans"/>
              </w:rPr>
              <w:t>2014年2月10日</w:t>
            </w:r>
          </w:p>
        </w:tc>
      </w:tr>
      <w:tr w:rsidR="00556890">
        <w:trPr>
          <w:divId w:val="213602150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lang w:eastAsia="zh-Hans"/>
              </w:rPr>
              <w:t>371,279,093.45</w:t>
            </w:r>
            <w:r>
              <w:rPr>
                <w:rFonts w:hint="eastAsia"/>
              </w:rPr>
              <w:t>份</w:t>
            </w:r>
            <w:r>
              <w:rPr>
                <w:rFonts w:ascii="宋体" w:hAnsi="宋体" w:hint="eastAsia"/>
                <w:lang w:eastAsia="zh-Hans"/>
              </w:rPr>
              <w:t xml:space="preserve"> </w:t>
            </w:r>
          </w:p>
        </w:tc>
      </w:tr>
      <w:tr w:rsidR="00556890">
        <w:trPr>
          <w:divId w:val="213602150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lang w:eastAsia="zh-Hans"/>
              </w:rPr>
              <w:t>本基金将充分利用管理人的投资研究平台，通过系统和深入的基本面研究，选择公司治理良好且具有较高增长潜力的公司进行投资，力争实现基金资产的长期稳定增值。</w:t>
            </w:r>
          </w:p>
        </w:tc>
      </w:tr>
      <w:tr w:rsidR="00556890">
        <w:trPr>
          <w:divId w:val="213602150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lang w:eastAsia="zh-Hans"/>
              </w:rPr>
              <w:t>1、资产配置策略</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重点关注包括、GDP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r>
              <w:rPr>
                <w:rFonts w:ascii="宋体" w:hAnsi="宋体" w:hint="eastAsia"/>
                <w:lang w:eastAsia="zh-Hans"/>
              </w:rPr>
              <w:br/>
              <w:t>2、股票投资策略</w:t>
            </w:r>
            <w:r>
              <w:rPr>
                <w:rFonts w:ascii="宋体" w:hAnsi="宋体" w:hint="eastAsia"/>
                <w:lang w:eastAsia="zh-Hans"/>
              </w:rPr>
              <w:br/>
              <w:t>本基金采用“自下而上”的个股精选策略，综合运用定量分析与定性分析的手段，基于公司内部研究团队对于个股基本面的深入研究和细致的实地调研，重点投资于公司治理良好且具有较高增长潜力的公司。在</w:t>
            </w:r>
            <w:r>
              <w:rPr>
                <w:rFonts w:ascii="宋体" w:hAnsi="宋体" w:hint="eastAsia"/>
                <w:lang w:eastAsia="zh-Hans"/>
              </w:rPr>
              <w:lastRenderedPageBreak/>
              <w:t>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r>
              <w:rPr>
                <w:rFonts w:ascii="宋体" w:hAnsi="宋体" w:hint="eastAsia"/>
                <w:lang w:eastAsia="zh-Hans"/>
              </w:rPr>
              <w:br/>
              <w:t>3、行业配置策略</w:t>
            </w:r>
            <w:r>
              <w:rPr>
                <w:rFonts w:ascii="宋体" w:hAnsi="宋体" w:hint="eastAsia"/>
                <w:lang w:eastAsia="zh-Hans"/>
              </w:rPr>
              <w:br/>
              <w:t>本基金在精选个股的基础上，对股票投资组合进行适度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r>
              <w:rPr>
                <w:rFonts w:ascii="宋体" w:hAnsi="宋体" w:hint="eastAsia"/>
                <w:lang w:eastAsia="zh-Hans"/>
              </w:rPr>
              <w:br/>
              <w:t>4、其他投资策略：包括固定收益类投资策略、可转换债券投资策略、中小企业私募债投资策略、股指期货投资策略、存托凭证投资策略。</w:t>
            </w:r>
          </w:p>
        </w:tc>
      </w:tr>
      <w:tr w:rsidR="00556890">
        <w:trPr>
          <w:divId w:val="213602150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lang w:eastAsia="zh-Hans"/>
              </w:rPr>
              <w:t>沪深300指数收益率×85%+中债总指数收益率×15%</w:t>
            </w:r>
          </w:p>
        </w:tc>
      </w:tr>
      <w:tr w:rsidR="00556890">
        <w:trPr>
          <w:divId w:val="213602150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lang w:eastAsia="zh-Hans"/>
              </w:rPr>
              <w:t>本基金属于股票型基金产品，预期风险和收益水平高于混合型基金、债券型基金和货币市场基金 ，属于较高风险收益水平的基金产品。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56890">
        <w:trPr>
          <w:divId w:val="213602150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lang w:eastAsia="zh-Hans"/>
              </w:rPr>
              <w:t>摩根基金管理（中国）有限公司</w:t>
            </w:r>
          </w:p>
        </w:tc>
      </w:tr>
      <w:tr w:rsidR="00556890">
        <w:trPr>
          <w:divId w:val="213602150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lang w:eastAsia="zh-Hans"/>
              </w:rPr>
              <w:t>中国银行股份有限公司</w:t>
            </w:r>
          </w:p>
        </w:tc>
      </w:tr>
      <w:tr w:rsidR="00556890">
        <w:trPr>
          <w:divId w:val="2136021502"/>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bookmarkStart w:id="34"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lang w:eastAsia="zh-Hans"/>
              </w:rPr>
              <w:t>摩根核心成长股票A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lang w:eastAsia="zh-Hans"/>
              </w:rPr>
              <w:t>摩根核心成长股票C</w:t>
            </w:r>
            <w:r>
              <w:rPr>
                <w:rFonts w:ascii="宋体" w:hAnsi="宋体" w:hint="eastAsia"/>
                <w:kern w:val="0"/>
                <w:sz w:val="20"/>
                <w:lang w:eastAsia="zh-Hans"/>
              </w:rPr>
              <w:t xml:space="preserve"> </w:t>
            </w:r>
          </w:p>
        </w:tc>
      </w:tr>
      <w:tr w:rsidR="00556890">
        <w:trPr>
          <w:divId w:val="2136021502"/>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lang w:eastAsia="zh-Hans"/>
              </w:rPr>
              <w:t>000457</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lang w:eastAsia="zh-Hans"/>
              </w:rPr>
              <w:t>015170</w:t>
            </w:r>
            <w:r>
              <w:rPr>
                <w:rFonts w:ascii="宋体" w:hAnsi="宋体" w:hint="eastAsia"/>
                <w:kern w:val="0"/>
                <w:sz w:val="20"/>
                <w:lang w:eastAsia="zh-Hans"/>
              </w:rPr>
              <w:t xml:space="preserve"> </w:t>
            </w:r>
          </w:p>
        </w:tc>
      </w:tr>
      <w:bookmarkEnd w:id="34"/>
      <w:bookmarkEnd w:id="33"/>
      <w:tr w:rsidR="00556890">
        <w:trPr>
          <w:divId w:val="2136021502"/>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556890" w:rsidRDefault="00F573E4">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lang w:eastAsia="zh-Hans"/>
              </w:rPr>
              <w:t>329,615,036.57</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lang w:eastAsia="zh-Hans"/>
              </w:rPr>
              <w:t>41,664,056.88</w:t>
            </w:r>
            <w:r>
              <w:rPr>
                <w:rFonts w:hint="eastAsia"/>
              </w:rPr>
              <w:t>份</w:t>
            </w:r>
            <w:r>
              <w:rPr>
                <w:rFonts w:ascii="宋体" w:hAnsi="宋体" w:hint="eastAsia"/>
                <w:lang w:eastAsia="zh-Hans"/>
              </w:rPr>
              <w:t xml:space="preserve"> </w:t>
            </w:r>
          </w:p>
        </w:tc>
      </w:tr>
    </w:tbl>
    <w:p w:rsidR="00556890" w:rsidRDefault="00F573E4">
      <w:pPr>
        <w:pStyle w:val="XBRLTitle1"/>
        <w:spacing w:before="156" w:line="360" w:lineRule="auto"/>
        <w:ind w:left="425"/>
      </w:pPr>
      <w:bookmarkStart w:id="35" w:name="_Toc17898180"/>
      <w:bookmarkStart w:id="36" w:name="_Toc17897938"/>
      <w:bookmarkStart w:id="37" w:name="_Toc512519482"/>
      <w:bookmarkStart w:id="38" w:name="_Toc481075049"/>
      <w:bookmarkStart w:id="39" w:name="_Toc438646455"/>
      <w:bookmarkStart w:id="40" w:name="_Toc490050003"/>
      <w:bookmarkStart w:id="41" w:name="_Toc513295848"/>
      <w:bookmarkStart w:id="42" w:name="_Toc513295894"/>
      <w:bookmarkStart w:id="43" w:name="m401_tab"/>
      <w:bookmarkStart w:id="44" w:name="m401"/>
      <w:proofErr w:type="spellStart"/>
      <w:r>
        <w:rPr>
          <w:rFonts w:hAnsi="宋体" w:hint="eastAsia"/>
        </w:rPr>
        <w:t>主要财务指标和基金净值表现</w:t>
      </w:r>
      <w:bookmarkEnd w:id="35"/>
      <w:bookmarkEnd w:id="36"/>
      <w:bookmarkEnd w:id="37"/>
      <w:bookmarkEnd w:id="38"/>
      <w:bookmarkEnd w:id="39"/>
      <w:bookmarkEnd w:id="40"/>
      <w:bookmarkEnd w:id="41"/>
      <w:bookmarkEnd w:id="42"/>
      <w:proofErr w:type="spellEnd"/>
      <w:r>
        <w:rPr>
          <w:rFonts w:hAnsi="宋体" w:hint="eastAsia"/>
        </w:rPr>
        <w:t xml:space="preserve"> </w:t>
      </w:r>
    </w:p>
    <w:p w:rsidR="00556890" w:rsidRDefault="00F573E4">
      <w:pPr>
        <w:pStyle w:val="XBRLTitle2"/>
        <w:spacing w:before="156" w:line="360" w:lineRule="auto"/>
        <w:ind w:left="454"/>
      </w:pPr>
      <w:bookmarkStart w:id="45" w:name="_Toc17898181"/>
      <w:bookmarkStart w:id="46" w:name="_Toc17897939"/>
      <w:bookmarkStart w:id="47" w:name="_Toc512519483"/>
      <w:bookmarkStart w:id="48" w:name="_Toc481075050"/>
      <w:bookmarkStart w:id="49" w:name="_Toc438646456"/>
      <w:bookmarkStart w:id="50" w:name="_Toc490050004"/>
      <w:bookmarkStart w:id="51" w:name="_Toc513295849"/>
      <w:bookmarkStart w:id="52" w:name="_Toc513295895"/>
      <w:proofErr w:type="spellStart"/>
      <w:r>
        <w:rPr>
          <w:rFonts w:hAnsi="宋体" w:hint="eastAsia"/>
        </w:rPr>
        <w:t>主要财务指标</w:t>
      </w:r>
      <w:bookmarkEnd w:id="45"/>
      <w:bookmarkEnd w:id="46"/>
      <w:bookmarkEnd w:id="47"/>
      <w:bookmarkEnd w:id="48"/>
      <w:bookmarkEnd w:id="49"/>
      <w:bookmarkEnd w:id="50"/>
      <w:bookmarkEnd w:id="51"/>
      <w:bookmarkEnd w:id="52"/>
      <w:proofErr w:type="spellEnd"/>
      <w:r>
        <w:rPr>
          <w:rFonts w:hAnsi="宋体" w:hint="eastAsia"/>
        </w:rPr>
        <w:t xml:space="preserve"> </w:t>
      </w:r>
    </w:p>
    <w:p w:rsidR="00556890" w:rsidRDefault="00F573E4">
      <w:pPr>
        <w:jc w:val="right"/>
        <w:divId w:val="1069423533"/>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556890">
        <w:trPr>
          <w:divId w:val="1069423533"/>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556890" w:rsidRDefault="00F573E4">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556890" w:rsidRDefault="00F573E4">
            <w:pPr>
              <w:pStyle w:val="a5"/>
              <w:jc w:val="center"/>
            </w:pPr>
            <w:r>
              <w:rPr>
                <w:rFonts w:hint="eastAsia"/>
                <w:kern w:val="2"/>
                <w:sz w:val="21"/>
                <w:szCs w:val="24"/>
                <w:lang w:eastAsia="zh-Hans"/>
              </w:rPr>
              <w:t xml:space="preserve">报告期（2025年1月1日-2025年3月31日） </w:t>
            </w:r>
          </w:p>
        </w:tc>
      </w:tr>
      <w:tr w:rsidR="00556890">
        <w:trPr>
          <w:divId w:val="106942353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6890" w:rsidRDefault="00556890">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556890" w:rsidRDefault="00F573E4">
            <w:pPr>
              <w:jc w:val="center"/>
            </w:pPr>
            <w:r>
              <w:rPr>
                <w:rFonts w:ascii="宋体" w:hAnsi="宋体" w:hint="eastAsia"/>
                <w:szCs w:val="24"/>
                <w:lang w:eastAsia="zh-Hans"/>
              </w:rPr>
              <w:t>摩根核心成长股票A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556890" w:rsidRDefault="00F573E4">
            <w:pPr>
              <w:jc w:val="center"/>
            </w:pPr>
            <w:r>
              <w:rPr>
                <w:rFonts w:ascii="宋体" w:hAnsi="宋体" w:hint="eastAsia"/>
                <w:szCs w:val="24"/>
                <w:lang w:eastAsia="zh-Hans"/>
              </w:rPr>
              <w:t>摩根核心成长股票C</w:t>
            </w:r>
          </w:p>
        </w:tc>
      </w:tr>
      <w:tr w:rsidR="00556890">
        <w:trPr>
          <w:divId w:val="106942353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6890" w:rsidRDefault="00F573E4">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6890" w:rsidRDefault="00F573E4">
            <w:pPr>
              <w:jc w:val="right"/>
            </w:pPr>
            <w:r>
              <w:rPr>
                <w:rFonts w:ascii="宋体" w:hAnsi="宋体" w:hint="eastAsia"/>
                <w:szCs w:val="24"/>
                <w:lang w:eastAsia="zh-Hans"/>
              </w:rPr>
              <w:t>7,454,899.50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6890" w:rsidRDefault="00F573E4">
            <w:pPr>
              <w:jc w:val="right"/>
            </w:pPr>
            <w:r>
              <w:rPr>
                <w:rFonts w:ascii="宋体" w:hAnsi="宋体" w:hint="eastAsia"/>
                <w:szCs w:val="24"/>
                <w:lang w:eastAsia="zh-Hans"/>
              </w:rPr>
              <w:t>15,479.33</w:t>
            </w:r>
          </w:p>
        </w:tc>
      </w:tr>
      <w:tr w:rsidR="00556890">
        <w:trPr>
          <w:divId w:val="106942353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6890" w:rsidRDefault="00F573E4">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6890" w:rsidRDefault="00F573E4">
            <w:pPr>
              <w:jc w:val="right"/>
            </w:pPr>
            <w:r>
              <w:rPr>
                <w:rFonts w:ascii="宋体" w:hAnsi="宋体" w:hint="eastAsia"/>
                <w:szCs w:val="24"/>
                <w:lang w:eastAsia="zh-Hans"/>
              </w:rPr>
              <w:t>42,526,122.11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6890" w:rsidRDefault="00F573E4">
            <w:pPr>
              <w:jc w:val="right"/>
            </w:pPr>
            <w:r>
              <w:rPr>
                <w:rFonts w:ascii="宋体" w:hAnsi="宋体" w:hint="eastAsia"/>
                <w:szCs w:val="24"/>
                <w:lang w:eastAsia="zh-Hans"/>
              </w:rPr>
              <w:t>-1,436,238.58</w:t>
            </w:r>
          </w:p>
        </w:tc>
      </w:tr>
      <w:tr w:rsidR="00556890">
        <w:trPr>
          <w:divId w:val="106942353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6890" w:rsidRDefault="00F573E4">
            <w:pPr>
              <w:pStyle w:val="a5"/>
            </w:pPr>
            <w:r>
              <w:rPr>
                <w:rFonts w:hint="eastAsia"/>
                <w:kern w:val="2"/>
                <w:sz w:val="21"/>
              </w:rPr>
              <w:lastRenderedPageBreak/>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6890" w:rsidRDefault="00F573E4">
            <w:pPr>
              <w:jc w:val="right"/>
            </w:pPr>
            <w:r>
              <w:rPr>
                <w:rFonts w:ascii="宋体" w:hAnsi="宋体" w:hint="eastAsia"/>
                <w:szCs w:val="24"/>
                <w:lang w:eastAsia="zh-Hans"/>
              </w:rPr>
              <w:t>0.1259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6890" w:rsidRDefault="00F573E4">
            <w:pPr>
              <w:jc w:val="right"/>
            </w:pPr>
            <w:r>
              <w:rPr>
                <w:rFonts w:ascii="宋体" w:hAnsi="宋体" w:hint="eastAsia"/>
                <w:szCs w:val="24"/>
                <w:lang w:eastAsia="zh-Hans"/>
              </w:rPr>
              <w:t>-0.1314</w:t>
            </w:r>
          </w:p>
        </w:tc>
      </w:tr>
      <w:tr w:rsidR="00556890">
        <w:trPr>
          <w:divId w:val="106942353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6890" w:rsidRDefault="00F573E4">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6890" w:rsidRDefault="00F573E4">
            <w:pPr>
              <w:jc w:val="right"/>
            </w:pPr>
            <w:r>
              <w:rPr>
                <w:rFonts w:ascii="宋体" w:hAnsi="宋体" w:hint="eastAsia"/>
                <w:szCs w:val="24"/>
                <w:lang w:eastAsia="zh-Hans"/>
              </w:rPr>
              <w:t>752,750,323.73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6890" w:rsidRDefault="00F573E4">
            <w:pPr>
              <w:jc w:val="right"/>
            </w:pPr>
            <w:r>
              <w:rPr>
                <w:rFonts w:ascii="宋体" w:hAnsi="宋体" w:hint="eastAsia"/>
                <w:szCs w:val="24"/>
                <w:lang w:eastAsia="zh-Hans"/>
              </w:rPr>
              <w:t>93,669,941.67</w:t>
            </w:r>
          </w:p>
        </w:tc>
      </w:tr>
      <w:tr w:rsidR="00556890">
        <w:trPr>
          <w:divId w:val="106942353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6890" w:rsidRDefault="00F573E4">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6890" w:rsidRDefault="00F573E4">
            <w:pPr>
              <w:jc w:val="right"/>
            </w:pPr>
            <w:r>
              <w:rPr>
                <w:rFonts w:ascii="宋体" w:hAnsi="宋体" w:hint="eastAsia"/>
                <w:szCs w:val="24"/>
                <w:lang w:eastAsia="zh-Hans"/>
              </w:rPr>
              <w:t>2.2837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556890" w:rsidRDefault="00F573E4">
            <w:pPr>
              <w:jc w:val="right"/>
            </w:pPr>
            <w:r>
              <w:rPr>
                <w:rFonts w:ascii="宋体" w:hAnsi="宋体" w:hint="eastAsia"/>
                <w:szCs w:val="24"/>
                <w:lang w:eastAsia="zh-Hans"/>
              </w:rPr>
              <w:t>2.2482</w:t>
            </w:r>
          </w:p>
        </w:tc>
      </w:tr>
    </w:tbl>
    <w:p w:rsidR="00556890" w:rsidRDefault="00F573E4">
      <w:pPr>
        <w:wordWrap w:val="0"/>
        <w:spacing w:line="360" w:lineRule="auto"/>
        <w:jc w:val="left"/>
        <w:divId w:val="1029182246"/>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556890" w:rsidRDefault="00F573E4">
      <w:pPr>
        <w:pStyle w:val="XBRLTitle2"/>
        <w:spacing w:before="156" w:line="360" w:lineRule="auto"/>
        <w:ind w:left="454"/>
      </w:pPr>
      <w:bookmarkStart w:id="53" w:name="_Toc17898182"/>
      <w:bookmarkStart w:id="54" w:name="_Toc17897940"/>
      <w:bookmarkStart w:id="55" w:name="_Toc512519484"/>
      <w:bookmarkStart w:id="56" w:name="_Toc481075051"/>
      <w:bookmarkStart w:id="57" w:name="_Toc438646457"/>
      <w:bookmarkStart w:id="58" w:name="_Toc490050005"/>
      <w:bookmarkStart w:id="59" w:name="_Toc513295850"/>
      <w:bookmarkStart w:id="60" w:name="_Toc513295896"/>
      <w:proofErr w:type="spellStart"/>
      <w:r>
        <w:rPr>
          <w:rFonts w:hAnsi="宋体" w:hint="eastAsia"/>
        </w:rPr>
        <w:t>基金净值表现</w:t>
      </w:r>
      <w:bookmarkEnd w:id="53"/>
      <w:bookmarkEnd w:id="54"/>
      <w:bookmarkEnd w:id="55"/>
      <w:bookmarkEnd w:id="56"/>
      <w:bookmarkEnd w:id="57"/>
      <w:bookmarkEnd w:id="58"/>
      <w:bookmarkEnd w:id="59"/>
      <w:bookmarkEnd w:id="60"/>
      <w:proofErr w:type="spellEnd"/>
      <w:r>
        <w:rPr>
          <w:rFonts w:hAnsi="宋体" w:hint="eastAsia"/>
        </w:rPr>
        <w:t xml:space="preserve"> </w:t>
      </w:r>
    </w:p>
    <w:p w:rsidR="00556890" w:rsidRDefault="00F573E4">
      <w:pPr>
        <w:pStyle w:val="XBRLTitle3"/>
        <w:spacing w:before="156"/>
        <w:ind w:left="0"/>
      </w:pPr>
      <w:bookmarkStart w:id="61" w:name="_Toc17898183"/>
      <w:bookmarkStart w:id="62" w:name="_Toc512519485"/>
      <w:bookmarkStart w:id="63" w:name="_Toc481075052"/>
      <w:bookmarkStart w:id="64" w:name="_Toc490050006"/>
      <w:bookmarkStart w:id="65" w:name="_Toc513295897"/>
      <w:proofErr w:type="spellStart"/>
      <w:r>
        <w:rPr>
          <w:rFonts w:hint="eastAsia"/>
        </w:rPr>
        <w:t>基金份额净值增长率及其与同期业绩比较基准收益率的比较</w:t>
      </w:r>
      <w:bookmarkEnd w:id="61"/>
      <w:bookmarkEnd w:id="62"/>
      <w:bookmarkEnd w:id="63"/>
      <w:bookmarkEnd w:id="64"/>
      <w:bookmarkEnd w:id="65"/>
      <w:proofErr w:type="spellEnd"/>
      <w:r>
        <w:rPr>
          <w:rFonts w:hint="eastAsia"/>
          <w:lang w:eastAsia="zh-CN"/>
        </w:rPr>
        <w:t xml:space="preserve"> </w:t>
      </w:r>
    </w:p>
    <w:p w:rsidR="00556890" w:rsidRDefault="00F573E4">
      <w:pPr>
        <w:spacing w:line="360" w:lineRule="auto"/>
        <w:jc w:val="center"/>
        <w:divId w:val="1930236430"/>
      </w:pPr>
      <w:r>
        <w:rPr>
          <w:rFonts w:ascii="宋体" w:hAnsi="宋体" w:hint="eastAsia"/>
        </w:rPr>
        <w:t>摩根核心成长股票A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556890">
        <w:trPr>
          <w:divId w:val="193023643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6890" w:rsidRDefault="00F573E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 xml:space="preserve">②－④ </w:t>
            </w:r>
          </w:p>
        </w:tc>
      </w:tr>
      <w:tr w:rsidR="00556890">
        <w:trPr>
          <w:divId w:val="193023643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5.78%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rsidR="00556890" w:rsidRDefault="00F573E4">
            <w:pPr>
              <w:spacing w:line="360" w:lineRule="auto"/>
              <w:jc w:val="right"/>
            </w:pPr>
            <w:r>
              <w:rPr>
                <w:rFonts w:ascii="宋体" w:hAnsi="宋体" w:hint="eastAsia"/>
              </w:rPr>
              <w:t xml:space="preserve">7.03%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0.37% </w:t>
            </w:r>
          </w:p>
        </w:tc>
      </w:tr>
      <w:tr w:rsidR="00556890">
        <w:trPr>
          <w:divId w:val="193023643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4.38%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-2.59%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1.19% </w:t>
            </w:r>
          </w:p>
        </w:tc>
        <w:tc>
          <w:tcPr>
            <w:tcW w:w="728" w:type="pct"/>
            <w:tcBorders>
              <w:top w:val="single" w:sz="4" w:space="0" w:color="auto"/>
              <w:left w:val="single" w:sz="4" w:space="0" w:color="auto"/>
              <w:bottom w:val="single" w:sz="4" w:space="0" w:color="auto"/>
              <w:right w:val="single" w:sz="4" w:space="0" w:color="auto"/>
            </w:tcBorders>
            <w:vAlign w:val="center"/>
            <w:hideMark/>
          </w:tcPr>
          <w:p w:rsidR="00556890" w:rsidRDefault="00F573E4">
            <w:pPr>
              <w:spacing w:line="360" w:lineRule="auto"/>
              <w:jc w:val="right"/>
            </w:pPr>
            <w:r>
              <w:rPr>
                <w:rFonts w:ascii="宋体" w:hAnsi="宋体" w:hint="eastAsia"/>
              </w:rPr>
              <w:t xml:space="preserve">6.97%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0.59% </w:t>
            </w:r>
          </w:p>
        </w:tc>
      </w:tr>
      <w:tr w:rsidR="00556890">
        <w:trPr>
          <w:divId w:val="193023643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21.44%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8.80%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556890" w:rsidRDefault="00F573E4">
            <w:pPr>
              <w:spacing w:line="360" w:lineRule="auto"/>
              <w:jc w:val="right"/>
            </w:pPr>
            <w:r>
              <w:rPr>
                <w:rFonts w:ascii="宋体" w:hAnsi="宋体" w:hint="eastAsia"/>
              </w:rPr>
              <w:t xml:space="preserve">12.64%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0.56% </w:t>
            </w:r>
          </w:p>
        </w:tc>
      </w:tr>
      <w:tr w:rsidR="00556890">
        <w:trPr>
          <w:divId w:val="193023643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-7.04%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-5.83%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rsidR="00556890" w:rsidRDefault="00F573E4">
            <w:pPr>
              <w:spacing w:line="360" w:lineRule="auto"/>
              <w:jc w:val="right"/>
            </w:pPr>
            <w:r>
              <w:rPr>
                <w:rFonts w:ascii="宋体" w:hAnsi="宋体" w:hint="eastAsia"/>
              </w:rPr>
              <w:t xml:space="preserve">-1.21%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0.46% </w:t>
            </w:r>
          </w:p>
        </w:tc>
      </w:tr>
      <w:tr w:rsidR="00556890">
        <w:trPr>
          <w:divId w:val="193023643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36.18%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5.44%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rsidR="00556890" w:rsidRDefault="00F573E4">
            <w:pPr>
              <w:spacing w:line="360" w:lineRule="auto"/>
              <w:jc w:val="right"/>
            </w:pPr>
            <w:r>
              <w:rPr>
                <w:rFonts w:ascii="宋体" w:hAnsi="宋体" w:hint="eastAsia"/>
              </w:rPr>
              <w:t xml:space="preserve">30.74%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0.33% </w:t>
            </w:r>
          </w:p>
        </w:tc>
      </w:tr>
      <w:tr w:rsidR="00556890">
        <w:trPr>
          <w:divId w:val="193023643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166.19%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1.56%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67.51%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vAlign w:val="center"/>
            <w:hideMark/>
          </w:tcPr>
          <w:p w:rsidR="00556890" w:rsidRDefault="00F573E4">
            <w:pPr>
              <w:spacing w:line="360" w:lineRule="auto"/>
              <w:jc w:val="right"/>
            </w:pPr>
            <w:r>
              <w:rPr>
                <w:rFonts w:ascii="宋体" w:hAnsi="宋体" w:hint="eastAsia"/>
              </w:rPr>
              <w:t xml:space="preserve">98.68%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0.39% </w:t>
            </w:r>
          </w:p>
        </w:tc>
      </w:tr>
    </w:tbl>
    <w:p w:rsidR="00556890" w:rsidRDefault="00F573E4">
      <w:pPr>
        <w:spacing w:line="360" w:lineRule="auto"/>
        <w:jc w:val="center"/>
        <w:divId w:val="1063605616"/>
      </w:pPr>
      <w:r>
        <w:rPr>
          <w:rFonts w:ascii="宋体" w:hAnsi="宋体" w:hint="eastAsia"/>
        </w:rPr>
        <w:t>摩根核心成长股票C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556890">
        <w:trPr>
          <w:divId w:val="106360561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6890" w:rsidRDefault="00F573E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 xml:space="preserve">②－④ </w:t>
            </w:r>
          </w:p>
        </w:tc>
      </w:tr>
      <w:tr w:rsidR="00556890">
        <w:trPr>
          <w:divId w:val="10636056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5.65%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rsidR="00556890" w:rsidRDefault="00F573E4">
            <w:pPr>
              <w:spacing w:line="360" w:lineRule="auto"/>
              <w:jc w:val="right"/>
            </w:pPr>
            <w:r>
              <w:rPr>
                <w:rFonts w:ascii="宋体" w:hAnsi="宋体" w:hint="eastAsia"/>
              </w:rPr>
              <w:t xml:space="preserve">6.90%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0.37% </w:t>
            </w:r>
          </w:p>
        </w:tc>
      </w:tr>
      <w:tr w:rsidR="00556890">
        <w:trPr>
          <w:divId w:val="10636056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4.07%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-2.59%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1.19% </w:t>
            </w:r>
          </w:p>
        </w:tc>
        <w:tc>
          <w:tcPr>
            <w:tcW w:w="728" w:type="pct"/>
            <w:tcBorders>
              <w:top w:val="single" w:sz="4" w:space="0" w:color="auto"/>
              <w:left w:val="single" w:sz="4" w:space="0" w:color="auto"/>
              <w:bottom w:val="single" w:sz="4" w:space="0" w:color="auto"/>
              <w:right w:val="single" w:sz="4" w:space="0" w:color="auto"/>
            </w:tcBorders>
            <w:vAlign w:val="center"/>
            <w:hideMark/>
          </w:tcPr>
          <w:p w:rsidR="00556890" w:rsidRDefault="00F573E4">
            <w:pPr>
              <w:spacing w:line="360" w:lineRule="auto"/>
              <w:jc w:val="right"/>
            </w:pPr>
            <w:r>
              <w:rPr>
                <w:rFonts w:ascii="宋体" w:hAnsi="宋体" w:hint="eastAsia"/>
              </w:rPr>
              <w:t xml:space="preserve">6.66%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0.59% </w:t>
            </w:r>
          </w:p>
        </w:tc>
      </w:tr>
      <w:tr w:rsidR="00556890">
        <w:trPr>
          <w:divId w:val="10636056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20.79%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8.80%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556890" w:rsidRDefault="00F573E4">
            <w:pPr>
              <w:spacing w:line="360" w:lineRule="auto"/>
              <w:jc w:val="right"/>
            </w:pPr>
            <w:r>
              <w:rPr>
                <w:rFonts w:ascii="宋体" w:hAnsi="宋体" w:hint="eastAsia"/>
              </w:rPr>
              <w:t xml:space="preserve">11.99%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0.56% </w:t>
            </w:r>
          </w:p>
        </w:tc>
      </w:tr>
      <w:tr w:rsidR="00556890">
        <w:trPr>
          <w:divId w:val="10636056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-8.47%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-5.83%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rsidR="00556890" w:rsidRDefault="00F573E4">
            <w:pPr>
              <w:spacing w:line="360" w:lineRule="auto"/>
              <w:jc w:val="right"/>
            </w:pPr>
            <w:r>
              <w:rPr>
                <w:rFonts w:ascii="宋体" w:hAnsi="宋体" w:hint="eastAsia"/>
              </w:rPr>
              <w:t xml:space="preserve">-2.64%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0.46% </w:t>
            </w:r>
          </w:p>
        </w:tc>
      </w:tr>
      <w:tr w:rsidR="00556890">
        <w:trPr>
          <w:divId w:val="10636056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自基金合同</w:t>
            </w:r>
            <w:r>
              <w:rPr>
                <w:rFonts w:ascii="宋体" w:hAnsi="宋体" w:hint="eastAsia"/>
              </w:rPr>
              <w:lastRenderedPageBreak/>
              <w:t>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lastRenderedPageBreak/>
              <w:t xml:space="preserve">-11.27%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1.43%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-7.09%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0.98% </w:t>
            </w:r>
          </w:p>
        </w:tc>
        <w:tc>
          <w:tcPr>
            <w:tcW w:w="728" w:type="pct"/>
            <w:tcBorders>
              <w:top w:val="single" w:sz="4" w:space="0" w:color="auto"/>
              <w:left w:val="single" w:sz="4" w:space="0" w:color="auto"/>
              <w:bottom w:val="single" w:sz="4" w:space="0" w:color="auto"/>
              <w:right w:val="single" w:sz="4" w:space="0" w:color="auto"/>
            </w:tcBorders>
            <w:vAlign w:val="center"/>
            <w:hideMark/>
          </w:tcPr>
          <w:p w:rsidR="00556890" w:rsidRDefault="00F573E4">
            <w:pPr>
              <w:spacing w:line="360" w:lineRule="auto"/>
              <w:jc w:val="right"/>
            </w:pPr>
            <w:r>
              <w:rPr>
                <w:rFonts w:ascii="宋体" w:hAnsi="宋体" w:hint="eastAsia"/>
              </w:rPr>
              <w:t xml:space="preserve">-4.18%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 xml:space="preserve">0.45% </w:t>
            </w:r>
          </w:p>
        </w:tc>
      </w:tr>
    </w:tbl>
    <w:p w:rsidR="00556890" w:rsidRDefault="00F573E4">
      <w:pPr>
        <w:pStyle w:val="XBRLTitle3"/>
        <w:spacing w:before="156"/>
        <w:ind w:left="0"/>
      </w:pPr>
      <w:bookmarkStart w:id="66" w:name="_Toc17898184"/>
      <w:bookmarkStart w:id="67" w:name="_Toc512519486"/>
      <w:bookmarkStart w:id="68" w:name="_Toc481075053"/>
      <w:bookmarkStart w:id="69" w:name="_Toc490050007"/>
      <w:bookmarkStart w:id="70" w:name="_Toc513295898"/>
      <w:proofErr w:type="spellStart"/>
      <w:r>
        <w:rPr>
          <w:rFonts w:hint="eastAsia"/>
        </w:rPr>
        <w:t>自基金合同生效以来基金累计净值增长率变动及其与同期业绩比较基准收益率变动的比较</w:t>
      </w:r>
      <w:bookmarkEnd w:id="66"/>
      <w:bookmarkEnd w:id="67"/>
      <w:bookmarkEnd w:id="68"/>
      <w:bookmarkEnd w:id="69"/>
      <w:bookmarkEnd w:id="70"/>
      <w:proofErr w:type="spellEnd"/>
    </w:p>
    <w:p w:rsidR="00556890" w:rsidRDefault="00F573E4">
      <w:pPr>
        <w:spacing w:line="360" w:lineRule="auto"/>
        <w:jc w:val="left"/>
        <w:divId w:val="1110474110"/>
      </w:pPr>
      <w:bookmarkStart w:id="71" w:name="m07_04_07_09"/>
      <w:bookmarkStart w:id="72"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556890" w:rsidRDefault="00F573E4">
      <w:pPr>
        <w:spacing w:line="360" w:lineRule="auto"/>
        <w:jc w:val="left"/>
        <w:divId w:val="1874999097"/>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556890" w:rsidRDefault="00F573E4">
      <w:pPr>
        <w:spacing w:line="360" w:lineRule="auto"/>
      </w:pPr>
      <w:r>
        <w:rPr>
          <w:rFonts w:ascii="宋体" w:hAnsi="宋体" w:hint="eastAsia"/>
        </w:rPr>
        <w:t>注：</w:t>
      </w:r>
      <w:r>
        <w:rPr>
          <w:rFonts w:ascii="宋体" w:hAnsi="宋体" w:hint="eastAsia"/>
          <w:lang w:eastAsia="zh-Hans"/>
        </w:rPr>
        <w:t>本基金合同生效日为2014年2月10日，图示的时间段为合同生效日至本报告期末。</w:t>
      </w:r>
      <w:r>
        <w:rPr>
          <w:rFonts w:ascii="宋体" w:hAnsi="宋体" w:hint="eastAsia"/>
          <w:lang w:eastAsia="zh-Hans"/>
        </w:rPr>
        <w:br/>
        <w:t xml:space="preserve">　　本基金自2022 年2月23日起增加C类份额，相关数据按实际存续期计算。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rsidR="00556890" w:rsidRDefault="00F573E4">
      <w:pPr>
        <w:pStyle w:val="XBRLTitle1"/>
        <w:spacing w:before="156" w:line="360" w:lineRule="auto"/>
        <w:ind w:left="425"/>
      </w:pPr>
      <w:bookmarkStart w:id="73" w:name="_Toc17898186"/>
      <w:bookmarkStart w:id="74" w:name="_Toc17897942"/>
      <w:bookmarkStart w:id="75" w:name="_Toc481075054"/>
      <w:bookmarkStart w:id="76" w:name="_Toc438646458"/>
      <w:bookmarkStart w:id="77" w:name="_Toc490050008"/>
      <w:bookmarkStart w:id="78" w:name="_Toc512519487"/>
      <w:bookmarkStart w:id="79" w:name="_Toc513295851"/>
      <w:bookmarkStart w:id="80" w:name="_Toc513295899"/>
      <w:proofErr w:type="spellStart"/>
      <w:r>
        <w:rPr>
          <w:rFonts w:hAnsi="宋体" w:hint="eastAsia"/>
        </w:rPr>
        <w:t>管理人报告</w:t>
      </w:r>
      <w:bookmarkEnd w:id="73"/>
      <w:bookmarkEnd w:id="74"/>
      <w:bookmarkEnd w:id="75"/>
      <w:bookmarkEnd w:id="76"/>
      <w:bookmarkEnd w:id="77"/>
      <w:bookmarkEnd w:id="78"/>
      <w:bookmarkEnd w:id="79"/>
      <w:bookmarkEnd w:id="80"/>
      <w:proofErr w:type="spellEnd"/>
      <w:r>
        <w:rPr>
          <w:rFonts w:hAnsi="宋体" w:hint="eastAsia"/>
        </w:rPr>
        <w:t xml:space="preserve"> </w:t>
      </w:r>
    </w:p>
    <w:p w:rsidR="00556890" w:rsidRDefault="00F573E4">
      <w:pPr>
        <w:pStyle w:val="XBRLTitle2"/>
        <w:spacing w:before="156" w:line="360" w:lineRule="auto"/>
        <w:ind w:left="454"/>
      </w:pPr>
      <w:bookmarkStart w:id="81" w:name="_Toc17898187"/>
      <w:bookmarkStart w:id="82" w:name="_Toc17897943"/>
      <w:bookmarkStart w:id="83" w:name="_Toc481075055"/>
      <w:bookmarkStart w:id="84" w:name="_Toc438646459"/>
      <w:bookmarkStart w:id="85" w:name="_Toc490050009"/>
      <w:bookmarkStart w:id="86" w:name="_Toc512519488"/>
      <w:bookmarkStart w:id="87" w:name="_Toc513295852"/>
      <w:bookmarkStart w:id="88" w:name="_Toc513295900"/>
      <w:proofErr w:type="spellStart"/>
      <w:r>
        <w:rPr>
          <w:rFonts w:hAnsi="宋体" w:hint="eastAsia"/>
        </w:rPr>
        <w:lastRenderedPageBreak/>
        <w:t>基金经理（或基金经理小组）简介</w:t>
      </w:r>
      <w:bookmarkEnd w:id="81"/>
      <w:bookmarkEnd w:id="82"/>
      <w:bookmarkEnd w:id="83"/>
      <w:bookmarkEnd w:id="84"/>
      <w:bookmarkEnd w:id="85"/>
      <w:bookmarkEnd w:id="86"/>
      <w:bookmarkEnd w:id="87"/>
      <w:bookmarkEnd w:id="88"/>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556890">
        <w:trPr>
          <w:divId w:val="215941957"/>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6890" w:rsidRDefault="00F573E4">
            <w:pPr>
              <w:snapToGrid w:val="0"/>
              <w:jc w:val="center"/>
            </w:pPr>
            <w:bookmarkStart w:id="89" w:name="m04_02"/>
            <w:bookmarkEnd w:id="8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6890" w:rsidRDefault="00F573E4">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6890" w:rsidRDefault="00F573E4">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6890" w:rsidRDefault="00F573E4">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6890" w:rsidRDefault="00F573E4">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556890">
        <w:trPr>
          <w:divId w:val="215941957"/>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6890" w:rsidRDefault="0055689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6890" w:rsidRDefault="00556890">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6890" w:rsidRDefault="00F573E4">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6890" w:rsidRDefault="00F573E4">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6890" w:rsidRDefault="0055689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6890" w:rsidRDefault="00556890">
            <w:pPr>
              <w:widowControl/>
              <w:jc w:val="left"/>
            </w:pPr>
          </w:p>
        </w:tc>
      </w:tr>
      <w:tr w:rsidR="00556890">
        <w:trPr>
          <w:divId w:val="215941957"/>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李博</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2014年12月31日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left"/>
            </w:pPr>
            <w:r>
              <w:rPr>
                <w:rFonts w:ascii="宋体" w:hAnsi="宋体" w:hint="eastAsia"/>
                <w:szCs w:val="24"/>
                <w:lang w:eastAsia="zh-Hans"/>
              </w:rPr>
              <w:t>李博先生曾任中银国际证券有限公司研究员。2010年11月起加入摩根基金管理（中国）有限公司（原上投摩根基金管理有限公司），历任行业专家、基金经理，现任国内权益投资部价值成长组组长兼资深基金经理。</w:t>
            </w:r>
          </w:p>
        </w:tc>
      </w:tr>
    </w:tbl>
    <w:p w:rsidR="00556890" w:rsidRDefault="00F573E4">
      <w:pPr>
        <w:wordWrap w:val="0"/>
        <w:spacing w:line="360" w:lineRule="auto"/>
        <w:jc w:val="left"/>
        <w:divId w:val="25446991"/>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556890" w:rsidRDefault="00F573E4">
      <w:pPr>
        <w:pStyle w:val="XBRLTitle2"/>
        <w:spacing w:before="156" w:line="360" w:lineRule="auto"/>
        <w:ind w:left="454"/>
      </w:pPr>
      <w:bookmarkStart w:id="90" w:name="_Toc17898188"/>
      <w:bookmarkStart w:id="91" w:name="_Toc17897944"/>
      <w:bookmarkStart w:id="92" w:name="_Toc481075056"/>
      <w:bookmarkStart w:id="93" w:name="_Toc438646460"/>
      <w:bookmarkStart w:id="94" w:name="_Toc490050010"/>
      <w:bookmarkStart w:id="95" w:name="_Toc512519489"/>
      <w:bookmarkStart w:id="96" w:name="_Toc513295853"/>
      <w:bookmarkStart w:id="97" w:name="_Toc513295901"/>
      <w:bookmarkStart w:id="98" w:name="m402"/>
      <w:proofErr w:type="spellStart"/>
      <w:r>
        <w:rPr>
          <w:rFonts w:hAnsi="宋体" w:hint="eastAsia"/>
        </w:rPr>
        <w:t>管理人对报告期内本基金运作遵规守信情况的说明</w:t>
      </w:r>
      <w:bookmarkEnd w:id="90"/>
      <w:bookmarkEnd w:id="91"/>
      <w:bookmarkEnd w:id="92"/>
      <w:bookmarkEnd w:id="93"/>
      <w:bookmarkEnd w:id="94"/>
      <w:bookmarkEnd w:id="95"/>
      <w:bookmarkEnd w:id="96"/>
      <w:bookmarkEnd w:id="97"/>
      <w:proofErr w:type="spellEnd"/>
      <w:r>
        <w:rPr>
          <w:rFonts w:hAnsi="宋体" w:hint="eastAsia"/>
        </w:rPr>
        <w:t xml:space="preserve"> </w:t>
      </w:r>
    </w:p>
    <w:p w:rsidR="00556890" w:rsidRDefault="00F573E4">
      <w:pPr>
        <w:spacing w:line="360" w:lineRule="auto"/>
        <w:ind w:firstLineChars="200" w:firstLine="420"/>
        <w:jc w:val="left"/>
      </w:pPr>
      <w:bookmarkStart w:id="99" w:name="m403"/>
      <w:bookmarkEnd w:id="98"/>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556890" w:rsidRDefault="00F573E4">
      <w:pPr>
        <w:pStyle w:val="XBRLTitle2"/>
        <w:spacing w:before="156" w:line="360" w:lineRule="auto"/>
        <w:ind w:left="454"/>
      </w:pPr>
      <w:bookmarkStart w:id="100" w:name="_Toc17898189"/>
      <w:bookmarkStart w:id="101" w:name="_Toc17897945"/>
      <w:bookmarkStart w:id="102" w:name="_Toc481075057"/>
      <w:bookmarkStart w:id="103" w:name="_Toc438646462"/>
      <w:bookmarkStart w:id="104" w:name="_Toc490050011"/>
      <w:bookmarkStart w:id="105" w:name="_Toc512519490"/>
      <w:bookmarkStart w:id="106" w:name="_Toc513295854"/>
      <w:bookmarkStart w:id="107" w:name="_Toc513295902"/>
      <w:bookmarkEnd w:id="99"/>
      <w:proofErr w:type="spellStart"/>
      <w:r>
        <w:rPr>
          <w:rFonts w:hAnsi="宋体" w:hint="eastAsia"/>
        </w:rPr>
        <w:t>公平交易专项说明</w:t>
      </w:r>
      <w:bookmarkEnd w:id="100"/>
      <w:bookmarkEnd w:id="101"/>
      <w:bookmarkEnd w:id="102"/>
      <w:bookmarkEnd w:id="103"/>
      <w:bookmarkEnd w:id="104"/>
      <w:bookmarkEnd w:id="105"/>
      <w:bookmarkEnd w:id="106"/>
      <w:bookmarkEnd w:id="107"/>
      <w:proofErr w:type="spellEnd"/>
      <w:r>
        <w:rPr>
          <w:rFonts w:hAnsi="宋体" w:hint="eastAsia"/>
        </w:rPr>
        <w:t xml:space="preserve"> </w:t>
      </w:r>
    </w:p>
    <w:p w:rsidR="00556890" w:rsidRDefault="00F573E4">
      <w:pPr>
        <w:pStyle w:val="XBRLTitle3"/>
        <w:spacing w:before="156"/>
        <w:ind w:left="0"/>
      </w:pPr>
      <w:bookmarkStart w:id="108" w:name="_Toc17898190"/>
      <w:bookmarkStart w:id="109" w:name="_Toc481075058"/>
      <w:bookmarkStart w:id="110" w:name="_Toc490050012"/>
      <w:bookmarkStart w:id="111" w:name="_Toc512519491"/>
      <w:bookmarkStart w:id="112" w:name="_Toc513295903"/>
      <w:bookmarkStart w:id="113" w:name="m404_01_0570"/>
      <w:proofErr w:type="spellStart"/>
      <w:r>
        <w:rPr>
          <w:rFonts w:hint="eastAsia"/>
        </w:rPr>
        <w:t>公平交易制度的执行情况</w:t>
      </w:r>
      <w:bookmarkEnd w:id="108"/>
      <w:bookmarkEnd w:id="109"/>
      <w:bookmarkEnd w:id="110"/>
      <w:bookmarkEnd w:id="111"/>
      <w:bookmarkEnd w:id="112"/>
      <w:proofErr w:type="spellEnd"/>
    </w:p>
    <w:p w:rsidR="00556890" w:rsidRDefault="00F573E4">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556890" w:rsidRDefault="00F573E4">
      <w:pPr>
        <w:pStyle w:val="XBRLTitle3"/>
        <w:spacing w:before="156"/>
        <w:ind w:left="0"/>
      </w:pPr>
      <w:bookmarkStart w:id="114" w:name="_Toc17898191"/>
      <w:bookmarkStart w:id="115" w:name="_Toc481075059"/>
      <w:bookmarkStart w:id="116" w:name="_Toc490050013"/>
      <w:bookmarkStart w:id="117" w:name="_Toc512519492"/>
      <w:bookmarkStart w:id="118" w:name="_Toc513295904"/>
      <w:bookmarkStart w:id="119" w:name="m404_01_0578"/>
      <w:bookmarkEnd w:id="113"/>
      <w:proofErr w:type="spellStart"/>
      <w:r>
        <w:rPr>
          <w:rFonts w:hint="eastAsia"/>
        </w:rPr>
        <w:lastRenderedPageBreak/>
        <w:t>异常交易行为的专项说明</w:t>
      </w:r>
      <w:bookmarkEnd w:id="114"/>
      <w:bookmarkEnd w:id="115"/>
      <w:bookmarkEnd w:id="116"/>
      <w:bookmarkEnd w:id="117"/>
      <w:bookmarkEnd w:id="118"/>
      <w:proofErr w:type="spellEnd"/>
    </w:p>
    <w:p w:rsidR="00556890" w:rsidRDefault="00F573E4">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556890" w:rsidRDefault="00F573E4">
      <w:pPr>
        <w:pStyle w:val="XBRLTitle2"/>
        <w:spacing w:before="156" w:line="360" w:lineRule="auto"/>
        <w:ind w:left="454"/>
      </w:pPr>
      <w:bookmarkStart w:id="120" w:name="_Toc17898192"/>
      <w:bookmarkStart w:id="121" w:name="_Toc17897946"/>
      <w:bookmarkStart w:id="122" w:name="_Toc481075061"/>
      <w:bookmarkStart w:id="123" w:name="_Toc490050014"/>
      <w:bookmarkStart w:id="124" w:name="_Toc512519493"/>
      <w:bookmarkStart w:id="125" w:name="_Toc513295855"/>
      <w:bookmarkStart w:id="126" w:name="_Toc513295905"/>
      <w:bookmarkStart w:id="127" w:name="m405_01_2550"/>
      <w:bookmarkEnd w:id="119"/>
      <w:proofErr w:type="spellStart"/>
      <w:r>
        <w:rPr>
          <w:rFonts w:hAnsi="宋体" w:hint="eastAsia"/>
        </w:rPr>
        <w:t>报告期内基金的投资策略和运作分析</w:t>
      </w:r>
      <w:bookmarkEnd w:id="120"/>
      <w:bookmarkEnd w:id="121"/>
      <w:bookmarkEnd w:id="122"/>
      <w:bookmarkEnd w:id="123"/>
      <w:bookmarkEnd w:id="124"/>
      <w:bookmarkEnd w:id="125"/>
      <w:bookmarkEnd w:id="126"/>
      <w:proofErr w:type="spellEnd"/>
      <w:r>
        <w:rPr>
          <w:rFonts w:hAnsi="宋体" w:hint="eastAsia"/>
        </w:rPr>
        <w:t xml:space="preserve"> </w:t>
      </w:r>
    </w:p>
    <w:p w:rsidR="00556890" w:rsidRDefault="00F573E4">
      <w:pPr>
        <w:spacing w:line="360" w:lineRule="auto"/>
        <w:ind w:firstLineChars="200" w:firstLine="420"/>
        <w:jc w:val="left"/>
      </w:pPr>
      <w:r>
        <w:rPr>
          <w:rFonts w:ascii="宋体" w:hAnsi="宋体" w:cs="宋体" w:hint="eastAsia"/>
          <w:color w:val="000000"/>
          <w:kern w:val="0"/>
        </w:rPr>
        <w:t>一季度，市场小幅下跌，其中沪深300下跌1.21%，创业</w:t>
      </w:r>
      <w:proofErr w:type="gramStart"/>
      <w:r>
        <w:rPr>
          <w:rFonts w:ascii="宋体" w:hAnsi="宋体" w:cs="宋体" w:hint="eastAsia"/>
          <w:color w:val="000000"/>
          <w:kern w:val="0"/>
        </w:rPr>
        <w:t>板下跌</w:t>
      </w:r>
      <w:proofErr w:type="gramEnd"/>
      <w:r>
        <w:rPr>
          <w:rFonts w:ascii="宋体" w:hAnsi="宋体" w:cs="宋体" w:hint="eastAsia"/>
          <w:color w:val="000000"/>
          <w:kern w:val="0"/>
        </w:rPr>
        <w:t>1.77%。板块方面，有色金属、汽车和机械领涨，煤炭、商贸零售和非银行金融领跌。今年1-2月，经济稳步增长，全国规模以上工业增加值同比增长5.9%，其中2月环比增长0.5%，社会消费品零售总额同比增长4.0%；2024年12月份，制造业PMI（采购经理指数）为50.2%，比上月上升1.1个百分点。本基金重点配置了估值和成长相匹配的个股，此外，本季度还减持了部分前期超额收益较多个股，增持了部分市场关注度不高的成长股。</w:t>
      </w:r>
      <w:r>
        <w:rPr>
          <w:rFonts w:ascii="宋体" w:hAnsi="宋体" w:cs="宋体" w:hint="eastAsia"/>
          <w:color w:val="000000"/>
          <w:kern w:val="0"/>
        </w:rPr>
        <w:br/>
        <w:t xml:space="preserve">　　进入二季度，我们判断市场机会或将大于风险，A股有望呈现结构性的投资机会。市场整体估值仍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56890" w:rsidRDefault="00F573E4">
      <w:pPr>
        <w:pStyle w:val="XBRLTitle2"/>
        <w:spacing w:before="156" w:line="360" w:lineRule="auto"/>
        <w:ind w:left="454"/>
      </w:pPr>
      <w:bookmarkStart w:id="128" w:name="_Toc17898193"/>
      <w:bookmarkStart w:id="129" w:name="_Toc17897947"/>
      <w:bookmarkStart w:id="130" w:name="_Toc490050015"/>
      <w:bookmarkStart w:id="131" w:name="_Toc481075062"/>
      <w:bookmarkStart w:id="132" w:name="_Toc512519494"/>
      <w:bookmarkStart w:id="133" w:name="_Toc513295856"/>
      <w:bookmarkStart w:id="134" w:name="_Toc513295906"/>
      <w:bookmarkStart w:id="135" w:name="m405_01_2549"/>
      <w:bookmarkEnd w:id="127"/>
      <w:proofErr w:type="spellStart"/>
      <w:r>
        <w:rPr>
          <w:rFonts w:hAnsi="宋体" w:hint="eastAsia"/>
        </w:rPr>
        <w:t>报告期内基金的业绩表现</w:t>
      </w:r>
      <w:bookmarkEnd w:id="128"/>
      <w:bookmarkEnd w:id="129"/>
      <w:bookmarkEnd w:id="130"/>
      <w:bookmarkEnd w:id="131"/>
      <w:bookmarkEnd w:id="132"/>
      <w:bookmarkEnd w:id="133"/>
      <w:bookmarkEnd w:id="134"/>
      <w:proofErr w:type="spellEnd"/>
      <w:r>
        <w:rPr>
          <w:rFonts w:hAnsi="宋体" w:hint="eastAsia"/>
        </w:rPr>
        <w:t xml:space="preserve"> </w:t>
      </w:r>
      <w:bookmarkEnd w:id="135"/>
    </w:p>
    <w:p w:rsidR="00556890" w:rsidRDefault="00F573E4">
      <w:pPr>
        <w:spacing w:line="360" w:lineRule="auto"/>
        <w:ind w:firstLineChars="200" w:firstLine="420"/>
      </w:pPr>
      <w:r>
        <w:rPr>
          <w:rFonts w:ascii="宋体" w:hAnsi="宋体" w:hint="eastAsia"/>
        </w:rPr>
        <w:t>本报告期摩根核心成长股票A份额净值增长率为：5.78%，同期业绩比较基准收益率为：-1.25%；</w:t>
      </w:r>
      <w:r>
        <w:rPr>
          <w:rFonts w:ascii="宋体" w:hAnsi="宋体" w:hint="eastAsia"/>
        </w:rPr>
        <w:br/>
        <w:t xml:space="preserve">　　摩根核心成长股票C份额净值增长率为：5.65%，同期业绩比较基准收益率为：-1.25%。</w:t>
      </w:r>
    </w:p>
    <w:p w:rsidR="00556890" w:rsidRDefault="00F573E4">
      <w:pPr>
        <w:pStyle w:val="XBRLTitle2"/>
        <w:spacing w:before="156" w:line="360" w:lineRule="auto"/>
        <w:ind w:left="454"/>
      </w:pPr>
      <w:bookmarkStart w:id="136" w:name="m406"/>
      <w:bookmarkStart w:id="137" w:name="_Toc17898194"/>
      <w:bookmarkStart w:id="138" w:name="_Toc17897948"/>
      <w:bookmarkStart w:id="139" w:name="_Toc490050016"/>
      <w:bookmarkStart w:id="140" w:name="_Toc481075063"/>
      <w:bookmarkStart w:id="141" w:name="_Toc438646465"/>
      <w:bookmarkStart w:id="142" w:name="_Toc512519495"/>
      <w:bookmarkStart w:id="143" w:name="_Toc513295857"/>
      <w:bookmarkStart w:id="144" w:name="_Toc513295907"/>
      <w:bookmarkStart w:id="145" w:name="m407"/>
      <w:bookmarkEnd w:id="136"/>
      <w:proofErr w:type="spellStart"/>
      <w:r>
        <w:rPr>
          <w:rFonts w:hAnsi="宋体" w:hint="eastAsia"/>
        </w:rPr>
        <w:t>报告期内基金持有人数或基金资产净值预警说明</w:t>
      </w:r>
      <w:bookmarkEnd w:id="137"/>
      <w:bookmarkEnd w:id="138"/>
      <w:bookmarkEnd w:id="139"/>
      <w:bookmarkEnd w:id="140"/>
      <w:bookmarkEnd w:id="141"/>
      <w:bookmarkEnd w:id="142"/>
      <w:bookmarkEnd w:id="143"/>
      <w:bookmarkEnd w:id="144"/>
      <w:proofErr w:type="spellEnd"/>
      <w:r>
        <w:rPr>
          <w:rFonts w:hAnsi="宋体" w:hint="eastAsia"/>
        </w:rPr>
        <w:t xml:space="preserve"> </w:t>
      </w:r>
    </w:p>
    <w:p w:rsidR="00556890" w:rsidRDefault="00F573E4">
      <w:pPr>
        <w:spacing w:line="360" w:lineRule="auto"/>
        <w:ind w:firstLineChars="200" w:firstLine="420"/>
        <w:jc w:val="left"/>
      </w:pPr>
      <w:r>
        <w:rPr>
          <w:rFonts w:ascii="宋体" w:hAnsi="宋体" w:hint="eastAsia"/>
        </w:rPr>
        <w:t>无。</w:t>
      </w:r>
    </w:p>
    <w:p w:rsidR="00556890" w:rsidRDefault="00F573E4">
      <w:pPr>
        <w:pStyle w:val="XBRLTitle1"/>
        <w:spacing w:before="156" w:line="360" w:lineRule="auto"/>
        <w:ind w:left="425"/>
      </w:pPr>
      <w:bookmarkStart w:id="146" w:name="_Toc17898195"/>
      <w:bookmarkStart w:id="147" w:name="_Toc17897949"/>
      <w:bookmarkStart w:id="148" w:name="_Toc512519496"/>
      <w:bookmarkStart w:id="149" w:name="_Toc481075064"/>
      <w:bookmarkStart w:id="150" w:name="_Toc438646466"/>
      <w:bookmarkStart w:id="151" w:name="_Toc490050017"/>
      <w:bookmarkStart w:id="152" w:name="_Toc513295858"/>
      <w:bookmarkStart w:id="153" w:name="_Toc513295908"/>
      <w:bookmarkEnd w:id="145"/>
      <w:proofErr w:type="spellStart"/>
      <w:r>
        <w:rPr>
          <w:rFonts w:hAnsi="宋体" w:hint="eastAsia"/>
        </w:rPr>
        <w:t>投资组合报告</w:t>
      </w:r>
      <w:bookmarkEnd w:id="146"/>
      <w:bookmarkEnd w:id="147"/>
      <w:bookmarkEnd w:id="148"/>
      <w:bookmarkEnd w:id="149"/>
      <w:bookmarkEnd w:id="150"/>
      <w:bookmarkEnd w:id="151"/>
      <w:bookmarkEnd w:id="152"/>
      <w:bookmarkEnd w:id="153"/>
      <w:proofErr w:type="spellEnd"/>
      <w:r>
        <w:rPr>
          <w:rFonts w:hAnsi="宋体" w:hint="eastAsia"/>
        </w:rPr>
        <w:t xml:space="preserve"> </w:t>
      </w:r>
    </w:p>
    <w:p w:rsidR="00556890" w:rsidRDefault="00F573E4">
      <w:pPr>
        <w:pStyle w:val="XBRLTitle2"/>
        <w:spacing w:before="156" w:line="360" w:lineRule="auto"/>
        <w:ind w:left="454"/>
      </w:pPr>
      <w:bookmarkStart w:id="154" w:name="_Toc17898196"/>
      <w:bookmarkStart w:id="155" w:name="_Toc17897950"/>
      <w:bookmarkStart w:id="156" w:name="_Toc481075065"/>
      <w:bookmarkStart w:id="157" w:name="_Toc438646467"/>
      <w:bookmarkStart w:id="158" w:name="_Toc490050018"/>
      <w:bookmarkStart w:id="159" w:name="_Toc512519497"/>
      <w:bookmarkStart w:id="160" w:name="_Toc513295859"/>
      <w:bookmarkStart w:id="161" w:name="_Toc513295909"/>
      <w:bookmarkStart w:id="162" w:name="m501"/>
      <w:proofErr w:type="spellStart"/>
      <w:r>
        <w:rPr>
          <w:rFonts w:hAnsi="宋体" w:hint="eastAsia"/>
        </w:rPr>
        <w:t>报告期末基金资产组合情况</w:t>
      </w:r>
      <w:bookmarkEnd w:id="154"/>
      <w:bookmarkEnd w:id="155"/>
      <w:bookmarkEnd w:id="156"/>
      <w:bookmarkEnd w:id="157"/>
      <w:bookmarkEnd w:id="158"/>
      <w:bookmarkEnd w:id="159"/>
      <w:bookmarkEnd w:id="160"/>
      <w:bookmarkEnd w:id="161"/>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556890">
        <w:trPr>
          <w:divId w:val="858661538"/>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6890" w:rsidRDefault="00F573E4">
            <w:pPr>
              <w:jc w:val="center"/>
            </w:pPr>
            <w:bookmarkStart w:id="163" w:name="m08QD_01_tab"/>
            <w:bookmarkEnd w:id="163"/>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556890" w:rsidRDefault="00F573E4">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556890" w:rsidRDefault="00F573E4">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556890" w:rsidRDefault="00F573E4">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556890">
        <w:trPr>
          <w:divId w:val="85866153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556890" w:rsidRDefault="00F573E4">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703,976,589.20</w:t>
            </w:r>
          </w:p>
        </w:tc>
        <w:tc>
          <w:tcPr>
            <w:tcW w:w="1333"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83.01</w:t>
            </w:r>
          </w:p>
        </w:tc>
      </w:tr>
      <w:tr w:rsidR="00556890">
        <w:trPr>
          <w:divId w:val="85866153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556890" w:rsidRDefault="00F573E4">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703,976,589.20</w:t>
            </w:r>
          </w:p>
        </w:tc>
        <w:tc>
          <w:tcPr>
            <w:tcW w:w="1333"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83.01</w:t>
            </w:r>
          </w:p>
        </w:tc>
      </w:tr>
      <w:tr w:rsidR="00556890">
        <w:trPr>
          <w:divId w:val="85866153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556890" w:rsidRDefault="00F573E4">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r>
      <w:tr w:rsidR="00556890">
        <w:trPr>
          <w:divId w:val="85866153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556890" w:rsidRDefault="00F573E4">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739,325.93</w:t>
            </w:r>
          </w:p>
        </w:tc>
        <w:tc>
          <w:tcPr>
            <w:tcW w:w="1333"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0.09</w:t>
            </w:r>
          </w:p>
        </w:tc>
      </w:tr>
      <w:tr w:rsidR="00556890">
        <w:trPr>
          <w:divId w:val="85866153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rPr>
                <w:rFonts w:ascii="宋体" w:hAnsi="宋体"/>
                <w:color w:val="000000"/>
                <w:lang w:eastAsia="zh-Hans"/>
              </w:rPr>
            </w:pPr>
            <w:r>
              <w:rPr>
                <w:rFonts w:ascii="宋体" w:hAnsi="宋体" w:hint="eastAsia"/>
                <w:color w:val="000000"/>
                <w:lang w:eastAsia="zh-Hans"/>
              </w:rPr>
              <w:lastRenderedPageBreak/>
              <w:t xml:space="preserve">　 </w:t>
            </w:r>
          </w:p>
        </w:tc>
        <w:tc>
          <w:tcPr>
            <w:tcW w:w="1979" w:type="pct"/>
            <w:tcBorders>
              <w:top w:val="single" w:sz="4" w:space="0" w:color="auto"/>
              <w:left w:val="nil"/>
              <w:bottom w:val="single" w:sz="4" w:space="0" w:color="auto"/>
              <w:right w:val="single" w:sz="4" w:space="0" w:color="auto"/>
            </w:tcBorders>
            <w:vAlign w:val="center"/>
            <w:hideMark/>
          </w:tcPr>
          <w:p w:rsidR="00556890" w:rsidRDefault="00F573E4">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739,325.93</w:t>
            </w:r>
          </w:p>
        </w:tc>
        <w:tc>
          <w:tcPr>
            <w:tcW w:w="1333"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0.09</w:t>
            </w:r>
          </w:p>
        </w:tc>
      </w:tr>
      <w:tr w:rsidR="00556890">
        <w:trPr>
          <w:divId w:val="85866153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556890" w:rsidRDefault="00F573E4">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r>
      <w:tr w:rsidR="00556890">
        <w:trPr>
          <w:divId w:val="85866153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556890" w:rsidRDefault="00F573E4">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r>
      <w:tr w:rsidR="00556890">
        <w:trPr>
          <w:divId w:val="85866153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556890" w:rsidRDefault="00F573E4">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r>
      <w:tr w:rsidR="00556890">
        <w:trPr>
          <w:divId w:val="85866153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556890" w:rsidRDefault="00F573E4">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r>
      <w:tr w:rsidR="00556890">
        <w:trPr>
          <w:divId w:val="85866153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556890" w:rsidRDefault="00F573E4">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r>
      <w:tr w:rsidR="00556890">
        <w:trPr>
          <w:divId w:val="85866153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556890" w:rsidRDefault="00F573E4">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139,617,731.33</w:t>
            </w:r>
          </w:p>
        </w:tc>
        <w:tc>
          <w:tcPr>
            <w:tcW w:w="1333"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16.46</w:t>
            </w:r>
          </w:p>
        </w:tc>
      </w:tr>
      <w:tr w:rsidR="00556890">
        <w:trPr>
          <w:divId w:val="85866153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556890" w:rsidRDefault="00F573E4">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3,737,106.49</w:t>
            </w:r>
          </w:p>
        </w:tc>
        <w:tc>
          <w:tcPr>
            <w:tcW w:w="1333"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0.44</w:t>
            </w:r>
          </w:p>
        </w:tc>
      </w:tr>
      <w:tr w:rsidR="00556890">
        <w:trPr>
          <w:divId w:val="85866153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556890" w:rsidRDefault="00F573E4">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848,070,752.95</w:t>
            </w:r>
          </w:p>
        </w:tc>
        <w:tc>
          <w:tcPr>
            <w:tcW w:w="1333" w:type="pct"/>
            <w:tcBorders>
              <w:top w:val="single" w:sz="4" w:space="0" w:color="auto"/>
              <w:left w:val="nil"/>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100.00</w:t>
            </w:r>
          </w:p>
        </w:tc>
      </w:tr>
    </w:tbl>
    <w:p w:rsidR="00556890" w:rsidRDefault="00F573E4">
      <w:pPr>
        <w:pStyle w:val="XBRLTitle2"/>
        <w:spacing w:before="156" w:line="360" w:lineRule="auto"/>
        <w:ind w:left="454"/>
      </w:pPr>
      <w:bookmarkStart w:id="164" w:name="_Toc17898197"/>
      <w:bookmarkStart w:id="165" w:name="_Toc17897951"/>
      <w:bookmarkStart w:id="166" w:name="_Toc512519498"/>
      <w:bookmarkStart w:id="167" w:name="_Toc481075066"/>
      <w:bookmarkStart w:id="168" w:name="_Toc438646468"/>
      <w:bookmarkStart w:id="169" w:name="_Toc490050019"/>
      <w:bookmarkStart w:id="170" w:name="_Toc513295860"/>
      <w:bookmarkStart w:id="171" w:name="_Toc513295910"/>
      <w:bookmarkEnd w:id="162"/>
      <w:proofErr w:type="spellStart"/>
      <w:r>
        <w:rPr>
          <w:rFonts w:hAnsi="宋体" w:hint="eastAsia"/>
        </w:rPr>
        <w:t>报告期末按行业分类的股票投资组合</w:t>
      </w:r>
      <w:bookmarkEnd w:id="164"/>
      <w:bookmarkEnd w:id="165"/>
      <w:bookmarkEnd w:id="166"/>
      <w:bookmarkEnd w:id="167"/>
      <w:bookmarkEnd w:id="168"/>
      <w:bookmarkEnd w:id="169"/>
      <w:bookmarkEnd w:id="170"/>
      <w:bookmarkEnd w:id="171"/>
      <w:proofErr w:type="spellEnd"/>
      <w:r>
        <w:rPr>
          <w:rFonts w:hAnsi="宋体" w:hint="eastAsia"/>
          <w:lang w:eastAsia="zh-CN"/>
        </w:rPr>
        <w:t xml:space="preserve"> </w:t>
      </w:r>
    </w:p>
    <w:p w:rsidR="00556890" w:rsidRDefault="00F573E4">
      <w:pPr>
        <w:pStyle w:val="XBRLTitle3"/>
        <w:spacing w:before="156"/>
        <w:ind w:left="0"/>
      </w:pPr>
      <w:bookmarkStart w:id="172" w:name="_Toc17898198"/>
      <w:bookmarkStart w:id="173" w:name="_Toc481075067"/>
      <w:bookmarkStart w:id="174" w:name="_Toc490050020"/>
      <w:bookmarkStart w:id="175" w:name="_Toc512519499"/>
      <w:bookmarkStart w:id="176" w:name="_Toc513295911"/>
      <w:proofErr w:type="spellStart"/>
      <w:r>
        <w:rPr>
          <w:rFonts w:hint="eastAsia"/>
        </w:rPr>
        <w:t>报告期末按行业分类的境内股票投资组合</w:t>
      </w:r>
      <w:bookmarkEnd w:id="172"/>
      <w:bookmarkEnd w:id="173"/>
      <w:bookmarkEnd w:id="174"/>
      <w:bookmarkEnd w:id="175"/>
      <w:bookmarkEnd w:id="176"/>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556890">
        <w:trPr>
          <w:divId w:val="1067260950"/>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56890" w:rsidRDefault="00F573E4">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556890" w:rsidRDefault="00F573E4">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556890" w:rsidRDefault="00F573E4">
            <w:pPr>
              <w:jc w:val="center"/>
            </w:pPr>
            <w:r>
              <w:rPr>
                <w:rFonts w:ascii="宋体" w:hAnsi="宋体" w:hint="eastAsia"/>
                <w:color w:val="000000"/>
              </w:rPr>
              <w:t xml:space="preserve">占基金资产净值比例（%） </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28,726,242.00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3.39</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3,895,800.00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0.46</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619,007,192.67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73.13</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2,349,056.16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0.28</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4,368,056.00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0.52</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8,243,265.60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0.97</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20,512,576.89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2.42</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5,437,305.00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0.64</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2,178,306.00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0.26</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9,258,788.88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1.09</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w:t>
            </w:r>
          </w:p>
        </w:tc>
      </w:tr>
      <w:tr w:rsidR="00556890">
        <w:trPr>
          <w:divId w:val="10672609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556890" w:rsidRDefault="00F573E4">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556890" w:rsidRDefault="00F573E4">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556890" w:rsidRDefault="00F573E4">
            <w:pPr>
              <w:jc w:val="right"/>
            </w:pPr>
            <w:r>
              <w:rPr>
                <w:rFonts w:ascii="宋体" w:hAnsi="宋体" w:hint="eastAsia"/>
                <w:szCs w:val="24"/>
                <w:lang w:eastAsia="zh-Hans"/>
              </w:rPr>
              <w:t>703,976,589.20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556890" w:rsidRDefault="00F573E4">
            <w:pPr>
              <w:jc w:val="right"/>
            </w:pPr>
            <w:r>
              <w:rPr>
                <w:rFonts w:ascii="宋体" w:hAnsi="宋体" w:hint="eastAsia"/>
                <w:szCs w:val="24"/>
                <w:lang w:eastAsia="zh-Hans"/>
              </w:rPr>
              <w:t>83.17</w:t>
            </w:r>
          </w:p>
        </w:tc>
      </w:tr>
    </w:tbl>
    <w:p w:rsidR="00556890" w:rsidRDefault="00F573E4">
      <w:pPr>
        <w:pStyle w:val="XBRLTitle3"/>
        <w:spacing w:before="156"/>
        <w:ind w:left="0"/>
      </w:pPr>
      <w:bookmarkStart w:id="177" w:name="_Toc17898199"/>
      <w:bookmarkStart w:id="178" w:name="_Toc481075068"/>
      <w:bookmarkStart w:id="179" w:name="_Toc490050021"/>
      <w:bookmarkStart w:id="180" w:name="_Toc512519500"/>
      <w:bookmarkStart w:id="181" w:name="_Toc513295912"/>
      <w:bookmarkStart w:id="182" w:name="m502_tab"/>
      <w:proofErr w:type="spellStart"/>
      <w:r>
        <w:rPr>
          <w:rFonts w:hint="eastAsia"/>
        </w:rPr>
        <w:t>报告期末按行业分类的港股通投资股票投资组合</w:t>
      </w:r>
      <w:bookmarkEnd w:id="177"/>
      <w:bookmarkEnd w:id="178"/>
      <w:bookmarkEnd w:id="179"/>
      <w:bookmarkEnd w:id="180"/>
      <w:bookmarkEnd w:id="181"/>
      <w:proofErr w:type="spellEnd"/>
      <w:r>
        <w:rPr>
          <w:rFonts w:hint="eastAsia"/>
          <w:szCs w:val="24"/>
        </w:rPr>
        <w:t xml:space="preserve"> </w:t>
      </w:r>
    </w:p>
    <w:p w:rsidR="00556890" w:rsidRDefault="00F573E4">
      <w:pPr>
        <w:spacing w:line="360" w:lineRule="auto"/>
        <w:ind w:firstLineChars="200" w:firstLine="420"/>
        <w:divId w:val="744641899"/>
      </w:pPr>
      <w:r>
        <w:rPr>
          <w:rFonts w:ascii="宋体" w:hAnsi="宋体" w:hint="eastAsia"/>
          <w:szCs w:val="21"/>
          <w:lang w:eastAsia="zh-Hans"/>
        </w:rPr>
        <w:t>本基金本报告期末未持有港股通股票 。</w:t>
      </w:r>
    </w:p>
    <w:p w:rsidR="00556890" w:rsidRDefault="00F573E4">
      <w:pPr>
        <w:pStyle w:val="XBRLTitle2"/>
        <w:spacing w:before="156"/>
        <w:ind w:left="454"/>
      </w:pPr>
      <w:bookmarkStart w:id="183" w:name="_Toc178982961"/>
      <w:bookmarkStart w:id="184" w:name="_Toc17897958"/>
      <w:bookmarkStart w:id="185" w:name="_Toc485300375"/>
      <w:bookmarkStart w:id="186" w:name="_Toc453852755"/>
      <w:bookmarkStart w:id="187" w:name="_Toc452398761"/>
      <w:bookmarkStart w:id="188" w:name="_Toc454983410"/>
      <w:bookmarkStart w:id="189" w:name="_Toc497398255"/>
      <w:bookmarkStart w:id="190" w:name="_Toc506208451"/>
      <w:bookmarkStart w:id="191" w:name="m08QD_10"/>
      <w:proofErr w:type="spellStart"/>
      <w:r>
        <w:rPr>
          <w:rFonts w:hint="eastAsia"/>
        </w:rPr>
        <w:t>期末按公允价值占基金资产净值比例大小排序的股票投资明细</w:t>
      </w:r>
      <w:bookmarkEnd w:id="183"/>
      <w:proofErr w:type="spellEnd"/>
    </w:p>
    <w:p w:rsidR="00556890" w:rsidRDefault="00F573E4">
      <w:pPr>
        <w:pStyle w:val="XBRLTitle3"/>
        <w:spacing w:before="156"/>
        <w:ind w:left="0"/>
      </w:pPr>
      <w:bookmarkStart w:id="192" w:name="_Toc178982962"/>
      <w:bookmarkStart w:id="193" w:name="_Toc485300376"/>
      <w:bookmarkStart w:id="194" w:name="_Toc497398256"/>
      <w:bookmarkStart w:id="195" w:name="_Toc453852756"/>
      <w:bookmarkStart w:id="196" w:name="_Toc454983411"/>
      <w:proofErr w:type="spellStart"/>
      <w:r>
        <w:rPr>
          <w:rFonts w:hAnsi="宋体" w:hint="eastAsia"/>
        </w:rPr>
        <w:lastRenderedPageBreak/>
        <w:t>报告期末按公允价值占基金资产净值比例大小排序的前十名股票投资明细</w:t>
      </w:r>
      <w:bookmarkEnd w:id="192"/>
      <w:bookmarkEnd w:id="193"/>
      <w:bookmarkEnd w:id="194"/>
      <w:bookmarkEnd w:id="195"/>
      <w:bookmarkEnd w:id="19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556890">
        <w:trPr>
          <w:divId w:val="44646690"/>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6890" w:rsidRDefault="00F573E4">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6890" w:rsidRDefault="00F573E4">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6890" w:rsidRDefault="00F573E4">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6890" w:rsidRDefault="00F573E4">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6890" w:rsidRDefault="00F573E4">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6890" w:rsidRDefault="00F573E4">
            <w:pPr>
              <w:jc w:val="center"/>
            </w:pPr>
            <w:r>
              <w:rPr>
                <w:rFonts w:ascii="宋体" w:hAnsi="宋体" w:hint="eastAsia"/>
                <w:color w:val="000000"/>
              </w:rPr>
              <w:t xml:space="preserve">占基金资产净值比例（%） </w:t>
            </w:r>
          </w:p>
        </w:tc>
      </w:tr>
      <w:tr w:rsidR="00556890">
        <w:trPr>
          <w:divId w:val="4464669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873,577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70,768,472.77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8.36</w:t>
            </w:r>
          </w:p>
        </w:tc>
      </w:tr>
      <w:tr w:rsidR="00556890">
        <w:trPr>
          <w:divId w:val="4464669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1,635,431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66,872,773.59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7.90</w:t>
            </w:r>
          </w:p>
        </w:tc>
      </w:tr>
      <w:tr w:rsidR="00556890">
        <w:trPr>
          <w:divId w:val="4464669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1,827,100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59,819,254.00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7.07</w:t>
            </w:r>
          </w:p>
        </w:tc>
      </w:tr>
      <w:tr w:rsidR="00556890">
        <w:trPr>
          <w:divId w:val="4464669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236,223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59,750,245.62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7.06</w:t>
            </w:r>
          </w:p>
        </w:tc>
      </w:tr>
      <w:tr w:rsidR="00556890">
        <w:trPr>
          <w:divId w:val="4464669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126,600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47,462,340.00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5.61</w:t>
            </w:r>
          </w:p>
        </w:tc>
      </w:tr>
      <w:tr w:rsidR="00556890">
        <w:trPr>
          <w:divId w:val="4464669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300433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蓝思科技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921,900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23,351,727.00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2.76</w:t>
            </w:r>
          </w:p>
        </w:tc>
      </w:tr>
      <w:tr w:rsidR="00556890">
        <w:trPr>
          <w:divId w:val="4464669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600519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贵州茅台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13,700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21,385,700.00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2.53</w:t>
            </w:r>
          </w:p>
        </w:tc>
      </w:tr>
      <w:tr w:rsidR="00556890">
        <w:trPr>
          <w:divId w:val="4464669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473,841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20,512,576.89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2.42</w:t>
            </w:r>
          </w:p>
        </w:tc>
      </w:tr>
      <w:tr w:rsidR="00556890">
        <w:trPr>
          <w:divId w:val="4464669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002714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牧原股份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527,900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20,445,567.00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2.42</w:t>
            </w:r>
          </w:p>
        </w:tc>
      </w:tr>
      <w:tr w:rsidR="00556890">
        <w:trPr>
          <w:divId w:val="4464669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000651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格力电器</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376,129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17,098,824.34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2.02</w:t>
            </w:r>
          </w:p>
        </w:tc>
      </w:tr>
    </w:tbl>
    <w:p w:rsidR="00556890" w:rsidRDefault="00F573E4">
      <w:pPr>
        <w:pStyle w:val="XBRLTitle2"/>
        <w:spacing w:before="156" w:line="360" w:lineRule="auto"/>
        <w:ind w:left="454"/>
      </w:pPr>
      <w:bookmarkStart w:id="197" w:name="_Toc17898201"/>
      <w:bookmarkStart w:id="198" w:name="_Toc17897953"/>
      <w:bookmarkStart w:id="199" w:name="_Toc481075070"/>
      <w:bookmarkStart w:id="200" w:name="_Toc438646471"/>
      <w:bookmarkStart w:id="201" w:name="_Toc490050023"/>
      <w:bookmarkStart w:id="202" w:name="_Toc512519502"/>
      <w:bookmarkStart w:id="203" w:name="_Toc513295862"/>
      <w:bookmarkStart w:id="204" w:name="_Toc513295914"/>
      <w:bookmarkStart w:id="205" w:name="m505"/>
      <w:proofErr w:type="spellStart"/>
      <w:r>
        <w:rPr>
          <w:rFonts w:hAnsi="宋体" w:hint="eastAsia"/>
        </w:rPr>
        <w:t>报告期末按债券品种分类的债券投资组合</w:t>
      </w:r>
      <w:bookmarkEnd w:id="197"/>
      <w:bookmarkEnd w:id="198"/>
      <w:bookmarkEnd w:id="199"/>
      <w:bookmarkEnd w:id="200"/>
      <w:bookmarkEnd w:id="201"/>
      <w:bookmarkEnd w:id="202"/>
      <w:bookmarkEnd w:id="203"/>
      <w:bookmarkEnd w:id="20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556890">
        <w:trPr>
          <w:divId w:val="1726101580"/>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6890" w:rsidRDefault="00F573E4">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6890" w:rsidRDefault="00F573E4">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6890" w:rsidRDefault="00F573E4">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6890" w:rsidRDefault="00F573E4">
            <w:pPr>
              <w:jc w:val="center"/>
            </w:pPr>
            <w:r>
              <w:rPr>
                <w:rFonts w:ascii="宋体" w:hAnsi="宋体" w:hint="eastAsia"/>
                <w:color w:val="000000"/>
              </w:rPr>
              <w:t xml:space="preserve">占基金资产净值比例（%） </w:t>
            </w:r>
          </w:p>
        </w:tc>
      </w:tr>
      <w:tr w:rsidR="00556890">
        <w:trPr>
          <w:divId w:val="172610158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r>
      <w:tr w:rsidR="00556890">
        <w:trPr>
          <w:divId w:val="172610158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r>
      <w:tr w:rsidR="00556890">
        <w:trPr>
          <w:divId w:val="172610158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r>
      <w:tr w:rsidR="00556890">
        <w:trPr>
          <w:divId w:val="172610158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r>
      <w:tr w:rsidR="00556890">
        <w:trPr>
          <w:divId w:val="172610158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r>
      <w:tr w:rsidR="00556890">
        <w:trPr>
          <w:divId w:val="172610158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r>
      <w:tr w:rsidR="00556890">
        <w:trPr>
          <w:divId w:val="172610158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r>
      <w:tr w:rsidR="00556890">
        <w:trPr>
          <w:divId w:val="172610158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739,325.93</w:t>
            </w:r>
          </w:p>
        </w:tc>
        <w:tc>
          <w:tcPr>
            <w:tcW w:w="1932"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0.09</w:t>
            </w:r>
          </w:p>
        </w:tc>
      </w:tr>
      <w:tr w:rsidR="00556890">
        <w:trPr>
          <w:divId w:val="172610158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r>
      <w:tr w:rsidR="00556890">
        <w:trPr>
          <w:divId w:val="172610158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w:t>
            </w:r>
          </w:p>
        </w:tc>
      </w:tr>
      <w:tr w:rsidR="00556890">
        <w:trPr>
          <w:divId w:val="172610158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rsidR="00556890" w:rsidRDefault="00F573E4">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739,325.93</w:t>
            </w:r>
          </w:p>
        </w:tc>
        <w:tc>
          <w:tcPr>
            <w:tcW w:w="1932" w:type="pct"/>
            <w:tcBorders>
              <w:top w:val="single" w:sz="4" w:space="0" w:color="auto"/>
              <w:left w:val="single" w:sz="4" w:space="0" w:color="auto"/>
              <w:bottom w:val="single" w:sz="4" w:space="0" w:color="auto"/>
              <w:right w:val="single" w:sz="4" w:space="0" w:color="auto"/>
            </w:tcBorders>
            <w:vAlign w:val="center"/>
            <w:hideMark/>
          </w:tcPr>
          <w:p w:rsidR="00556890" w:rsidRDefault="00F573E4">
            <w:pPr>
              <w:jc w:val="right"/>
            </w:pPr>
            <w:r>
              <w:rPr>
                <w:rFonts w:ascii="宋体" w:hAnsi="宋体" w:hint="eastAsia"/>
                <w:szCs w:val="24"/>
                <w:lang w:eastAsia="zh-Hans"/>
              </w:rPr>
              <w:t>0.09</w:t>
            </w:r>
          </w:p>
        </w:tc>
      </w:tr>
    </w:tbl>
    <w:p w:rsidR="00556890" w:rsidRDefault="00F573E4">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5"/>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556890">
        <w:trPr>
          <w:divId w:val="503282007"/>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6890" w:rsidRDefault="00F573E4">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6890" w:rsidRDefault="00F573E4">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6890" w:rsidRDefault="00F573E4">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6890" w:rsidRDefault="00F573E4">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6890" w:rsidRDefault="00F573E4">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56890" w:rsidRDefault="00F573E4">
            <w:pPr>
              <w:jc w:val="center"/>
            </w:pPr>
            <w:r>
              <w:rPr>
                <w:rFonts w:ascii="宋体" w:hAnsi="宋体" w:hint="eastAsia"/>
                <w:color w:val="000000"/>
              </w:rPr>
              <w:t xml:space="preserve">占基金资产净值比例（%） </w:t>
            </w:r>
          </w:p>
        </w:tc>
      </w:tr>
      <w:tr w:rsidR="00556890">
        <w:trPr>
          <w:divId w:val="5032820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123254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szCs w:val="24"/>
                <w:lang w:eastAsia="zh-Hans"/>
              </w:rPr>
              <w:t>亿纬转债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7,393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739,325.93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0.09</w:t>
            </w:r>
          </w:p>
        </w:tc>
      </w:tr>
    </w:tbl>
    <w:p w:rsidR="00556890" w:rsidRDefault="00F573E4">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rsidR="00556890" w:rsidRDefault="00F573E4">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556890" w:rsidRDefault="00F573E4">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rsidR="00556890" w:rsidRDefault="00F573E4">
      <w:pPr>
        <w:spacing w:line="360" w:lineRule="auto"/>
        <w:ind w:firstLineChars="200" w:firstLine="420"/>
        <w:divId w:val="852305812"/>
      </w:pPr>
      <w:r>
        <w:rPr>
          <w:rFonts w:ascii="宋体" w:hAnsi="宋体" w:hint="eastAsia"/>
          <w:szCs w:val="21"/>
          <w:lang w:eastAsia="zh-Hans"/>
        </w:rPr>
        <w:t>本基金本报告期末未持有贵金属。</w:t>
      </w:r>
    </w:p>
    <w:p w:rsidR="00556890" w:rsidRDefault="00F573E4">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rsidR="00556890" w:rsidRDefault="00F573E4">
      <w:pPr>
        <w:spacing w:line="360" w:lineRule="auto"/>
        <w:ind w:firstLineChars="200" w:firstLine="420"/>
        <w:divId w:val="1694959388"/>
      </w:pPr>
      <w:r>
        <w:rPr>
          <w:rFonts w:ascii="宋体" w:hAnsi="宋体" w:hint="eastAsia"/>
          <w:szCs w:val="21"/>
          <w:lang w:eastAsia="zh-Hans"/>
        </w:rPr>
        <w:t>本基金本报告期末未持有权证。</w:t>
      </w:r>
    </w:p>
    <w:p w:rsidR="00556890" w:rsidRDefault="00F573E4">
      <w:pPr>
        <w:pStyle w:val="XBRLTitle2"/>
        <w:spacing w:before="156"/>
        <w:ind w:left="454"/>
      </w:pPr>
      <w:bookmarkStart w:id="242" w:name="_Toc17898206"/>
      <w:proofErr w:type="spellStart"/>
      <w:r>
        <w:rPr>
          <w:rFonts w:hint="eastAsia"/>
        </w:rPr>
        <w:lastRenderedPageBreak/>
        <w:t>报告期末本基金投资的股指期货交易情况说明</w:t>
      </w:r>
      <w:bookmarkEnd w:id="242"/>
      <w:bookmarkEnd w:id="184"/>
      <w:bookmarkEnd w:id="185"/>
      <w:bookmarkEnd w:id="186"/>
      <w:bookmarkEnd w:id="187"/>
      <w:bookmarkEnd w:id="188"/>
      <w:bookmarkEnd w:id="189"/>
      <w:bookmarkEnd w:id="190"/>
      <w:bookmarkEnd w:id="191"/>
      <w:bookmarkEnd w:id="71"/>
      <w:bookmarkEnd w:id="72"/>
      <w:bookmarkEnd w:id="17"/>
      <w:proofErr w:type="spellEnd"/>
    </w:p>
    <w:p w:rsidR="00556890" w:rsidRDefault="00F573E4">
      <w:pPr>
        <w:spacing w:line="360" w:lineRule="auto"/>
        <w:ind w:firstLineChars="200" w:firstLine="420"/>
        <w:divId w:val="1327853885"/>
      </w:pPr>
      <w:r>
        <w:rPr>
          <w:rFonts w:ascii="宋体" w:hAnsi="宋体" w:hint="eastAsia"/>
          <w:szCs w:val="21"/>
          <w:lang w:eastAsia="zh-Hans"/>
        </w:rPr>
        <w:t>本基金本报告期末未持有股指期货。</w:t>
      </w:r>
    </w:p>
    <w:p w:rsidR="00556890" w:rsidRDefault="00F573E4">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rsidR="00556890" w:rsidRDefault="00F573E4">
      <w:pPr>
        <w:spacing w:line="360" w:lineRule="auto"/>
        <w:ind w:firstLineChars="200" w:firstLine="420"/>
        <w:divId w:val="1363869974"/>
      </w:pPr>
      <w:bookmarkStart w:id="251" w:name="m510_01_1597"/>
      <w:bookmarkStart w:id="252" w:name="m510_01_1598"/>
      <w:bookmarkEnd w:id="251"/>
      <w:r>
        <w:rPr>
          <w:rFonts w:ascii="宋体" w:hAnsi="宋体" w:hint="eastAsia"/>
          <w:szCs w:val="21"/>
          <w:lang w:eastAsia="zh-Hans"/>
        </w:rPr>
        <w:t>本基金本报告期末未持有国债期货。</w:t>
      </w:r>
    </w:p>
    <w:p w:rsidR="00556890" w:rsidRDefault="00F573E4">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rsidR="00556890" w:rsidRDefault="00F573E4">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rsidR="00556890" w:rsidRDefault="00F573E4">
      <w:pPr>
        <w:spacing w:line="360" w:lineRule="auto"/>
        <w:ind w:firstLineChars="200" w:firstLine="420"/>
      </w:pPr>
      <w:r>
        <w:rPr>
          <w:rFonts w:ascii="宋体" w:hAnsi="宋体" w:hint="eastAsia"/>
        </w:rPr>
        <w:t>本基金投资的前十名证券的发行主体中，招商银行股份有限公司报告编制日前一年内曾受到国家金融监督管理总局的处罚。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556890" w:rsidRDefault="00F573E4">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rsidR="00556890" w:rsidRDefault="00F573E4">
      <w:pPr>
        <w:spacing w:line="360" w:lineRule="auto"/>
        <w:ind w:firstLineChars="200" w:firstLine="420"/>
      </w:pPr>
      <w:r>
        <w:rPr>
          <w:rFonts w:ascii="宋体" w:hAnsi="宋体" w:hint="eastAsia"/>
        </w:rPr>
        <w:t>报告期内本基金投资的前十名股票中没有在基金合同规定备选股票库之外的股票。</w:t>
      </w:r>
    </w:p>
    <w:p w:rsidR="00556890" w:rsidRDefault="00F573E4">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556890">
        <w:trPr>
          <w:divId w:val="421685789"/>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6890" w:rsidRDefault="00F573E4">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6890" w:rsidRDefault="00F573E4">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6890" w:rsidRDefault="00F573E4">
            <w:pPr>
              <w:jc w:val="center"/>
            </w:pPr>
            <w:r>
              <w:rPr>
                <w:rFonts w:ascii="宋体" w:hAnsi="宋体" w:hint="eastAsia"/>
              </w:rPr>
              <w:t>金额（元）</w:t>
            </w:r>
            <w:r>
              <w:t xml:space="preserve"> </w:t>
            </w:r>
          </w:p>
        </w:tc>
      </w:tr>
      <w:tr w:rsidR="00556890">
        <w:trPr>
          <w:divId w:val="4216857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rPr>
              <w:t>137,401.08</w:t>
            </w:r>
          </w:p>
        </w:tc>
      </w:tr>
      <w:tr w:rsidR="00556890">
        <w:trPr>
          <w:divId w:val="4216857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rPr>
              <w:t>3,252,558.87</w:t>
            </w:r>
          </w:p>
        </w:tc>
      </w:tr>
      <w:tr w:rsidR="00556890">
        <w:trPr>
          <w:divId w:val="4216857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rPr>
              <w:t>-</w:t>
            </w:r>
          </w:p>
        </w:tc>
      </w:tr>
      <w:tr w:rsidR="00556890">
        <w:trPr>
          <w:divId w:val="4216857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rPr>
              <w:t>-</w:t>
            </w:r>
          </w:p>
        </w:tc>
      </w:tr>
      <w:tr w:rsidR="00556890">
        <w:trPr>
          <w:divId w:val="4216857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rPr>
              <w:t>347,146.54</w:t>
            </w:r>
          </w:p>
        </w:tc>
      </w:tr>
      <w:tr w:rsidR="00556890">
        <w:trPr>
          <w:divId w:val="4216857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rPr>
              <w:t>-</w:t>
            </w:r>
          </w:p>
        </w:tc>
      </w:tr>
      <w:tr w:rsidR="00556890">
        <w:trPr>
          <w:divId w:val="4216857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rPr>
              <w:t>-</w:t>
            </w:r>
          </w:p>
        </w:tc>
      </w:tr>
      <w:tr w:rsidR="00556890">
        <w:trPr>
          <w:divId w:val="4216857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rPr>
              <w:t>3,737,106.49</w:t>
            </w:r>
          </w:p>
        </w:tc>
      </w:tr>
    </w:tbl>
    <w:p w:rsidR="00556890" w:rsidRDefault="00F573E4">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p w:rsidR="00556890" w:rsidRDefault="00F573E4">
      <w:pPr>
        <w:spacing w:line="360" w:lineRule="auto"/>
        <w:ind w:firstLineChars="200" w:firstLine="420"/>
        <w:jc w:val="left"/>
      </w:pPr>
      <w:r>
        <w:rPr>
          <w:rFonts w:ascii="宋体" w:hAnsi="宋体" w:hint="eastAsia"/>
        </w:rPr>
        <w:t xml:space="preserve">本基金本报告期末未持有处于转股期的可转换债券。 </w:t>
      </w:r>
    </w:p>
    <w:p w:rsidR="00556890" w:rsidRDefault="00F573E4">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rsidR="00556890" w:rsidRDefault="00F573E4">
      <w:pPr>
        <w:spacing w:line="360" w:lineRule="auto"/>
        <w:ind w:firstLineChars="200" w:firstLine="420"/>
        <w:jc w:val="left"/>
        <w:divId w:val="1909608344"/>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9"/>
      <w:bookmarkEnd w:id="20"/>
      <w:bookmarkEnd w:id="21"/>
      <w:bookmarkEnd w:id="22"/>
      <w:bookmarkEnd w:id="18"/>
    </w:p>
    <w:p w:rsidR="00556890" w:rsidRDefault="00F573E4">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rsidR="00556890" w:rsidRDefault="00F573E4">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rsidR="00556890" w:rsidRDefault="00F573E4">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2"/>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rsidR="00556890" w:rsidRDefault="00F573E4">
      <w:pPr>
        <w:wordWrap w:val="0"/>
        <w:spacing w:line="360" w:lineRule="auto"/>
        <w:jc w:val="right"/>
        <w:divId w:val="1023364301"/>
      </w:pPr>
      <w:bookmarkStart w:id="304" w:name="m10_01_tab"/>
      <w:r>
        <w:rPr>
          <w:rFonts w:ascii="宋体" w:hAnsi="宋体" w:hint="eastAsia"/>
          <w:lang w:val="x-none"/>
        </w:rPr>
        <w:lastRenderedPageBreak/>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556890">
        <w:trPr>
          <w:divId w:val="1023364301"/>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556890" w:rsidRDefault="00F573E4">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6890" w:rsidRDefault="00F573E4">
            <w:pPr>
              <w:ind w:right="3"/>
              <w:jc w:val="center"/>
            </w:pPr>
            <w:r>
              <w:rPr>
                <w:rFonts w:ascii="宋体" w:hAnsi="宋体" w:hint="eastAsia"/>
                <w:lang w:eastAsia="zh-Hans"/>
              </w:rPr>
              <w:t>摩根核心成长股票A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6890" w:rsidRDefault="00F573E4">
            <w:pPr>
              <w:ind w:right="3"/>
              <w:jc w:val="center"/>
            </w:pPr>
            <w:r>
              <w:rPr>
                <w:rFonts w:ascii="宋体" w:hAnsi="宋体" w:hint="eastAsia"/>
                <w:lang w:eastAsia="zh-Hans"/>
              </w:rPr>
              <w:t>摩根核心成长股票C</w:t>
            </w:r>
            <w:r>
              <w:rPr>
                <w:rFonts w:ascii="宋体" w:hAnsi="宋体" w:hint="eastAsia"/>
                <w:kern w:val="0"/>
                <w:szCs w:val="24"/>
                <w:lang w:eastAsia="zh-Hans"/>
              </w:rPr>
              <w:t xml:space="preserve"> </w:t>
            </w:r>
          </w:p>
        </w:tc>
      </w:tr>
      <w:tr w:rsidR="00556890">
        <w:trPr>
          <w:divId w:val="102336430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6890" w:rsidRDefault="00F573E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6890" w:rsidRDefault="00F573E4">
            <w:pPr>
              <w:jc w:val="right"/>
            </w:pPr>
            <w:r>
              <w:rPr>
                <w:rFonts w:ascii="宋体" w:hAnsi="宋体" w:hint="eastAsia"/>
              </w:rPr>
              <w:t>341,221,319.72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6890" w:rsidRDefault="00F573E4">
            <w:pPr>
              <w:jc w:val="right"/>
            </w:pPr>
            <w:r>
              <w:rPr>
                <w:rFonts w:ascii="宋体" w:hAnsi="宋体" w:hint="eastAsia"/>
              </w:rPr>
              <w:t>5,704,130.74</w:t>
            </w:r>
          </w:p>
        </w:tc>
      </w:tr>
      <w:tr w:rsidR="00556890">
        <w:trPr>
          <w:divId w:val="102336430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6890" w:rsidRDefault="00F573E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6890" w:rsidRDefault="00F573E4">
            <w:pPr>
              <w:jc w:val="right"/>
            </w:pPr>
            <w:r>
              <w:rPr>
                <w:rFonts w:ascii="宋体" w:hAnsi="宋体" w:hint="eastAsia"/>
              </w:rPr>
              <w:t>9,249,804.38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6890" w:rsidRDefault="00F573E4">
            <w:pPr>
              <w:jc w:val="right"/>
            </w:pPr>
            <w:r>
              <w:rPr>
                <w:rFonts w:ascii="宋体" w:hAnsi="宋体" w:hint="eastAsia"/>
              </w:rPr>
              <w:t>36,491,096.98</w:t>
            </w:r>
          </w:p>
        </w:tc>
      </w:tr>
      <w:tr w:rsidR="00556890">
        <w:trPr>
          <w:divId w:val="102336430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6890" w:rsidRDefault="00F573E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6890" w:rsidRDefault="00F573E4">
            <w:pPr>
              <w:jc w:val="right"/>
            </w:pPr>
            <w:r>
              <w:rPr>
                <w:rFonts w:ascii="宋体" w:hAnsi="宋体" w:hint="eastAsia"/>
              </w:rPr>
              <w:t>20,856,087.53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6890" w:rsidRDefault="00F573E4">
            <w:pPr>
              <w:jc w:val="right"/>
            </w:pPr>
            <w:r>
              <w:rPr>
                <w:rFonts w:ascii="宋体" w:hAnsi="宋体" w:hint="eastAsia"/>
              </w:rPr>
              <w:t>531,170.84</w:t>
            </w:r>
          </w:p>
        </w:tc>
      </w:tr>
      <w:tr w:rsidR="00556890">
        <w:trPr>
          <w:divId w:val="102336430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6890" w:rsidRDefault="00F573E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6890" w:rsidRDefault="00F573E4">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6890" w:rsidRDefault="00F573E4">
            <w:pPr>
              <w:jc w:val="right"/>
            </w:pPr>
            <w:r>
              <w:rPr>
                <w:rFonts w:ascii="宋体" w:hAnsi="宋体" w:hint="eastAsia"/>
              </w:rPr>
              <w:t>-</w:t>
            </w:r>
          </w:p>
        </w:tc>
      </w:tr>
      <w:tr w:rsidR="00556890">
        <w:trPr>
          <w:divId w:val="102336430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6890" w:rsidRDefault="00F573E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6890" w:rsidRDefault="00F573E4">
            <w:pPr>
              <w:jc w:val="right"/>
            </w:pPr>
            <w:r>
              <w:rPr>
                <w:rFonts w:ascii="宋体" w:hAnsi="宋体" w:hint="eastAsia"/>
              </w:rPr>
              <w:t>329,615,036.57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556890" w:rsidRDefault="00F573E4">
            <w:pPr>
              <w:jc w:val="right"/>
            </w:pPr>
            <w:r>
              <w:rPr>
                <w:rFonts w:ascii="宋体" w:hAnsi="宋体" w:hint="eastAsia"/>
              </w:rPr>
              <w:t>41,664,056.88</w:t>
            </w:r>
          </w:p>
        </w:tc>
      </w:tr>
    </w:tbl>
    <w:p w:rsidR="00556890" w:rsidRDefault="00F573E4">
      <w:pPr>
        <w:spacing w:line="360" w:lineRule="auto"/>
        <w:jc w:val="left"/>
        <w:divId w:val="1023364301"/>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rsidR="00556890" w:rsidRDefault="00F573E4">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rsidR="00556890" w:rsidRDefault="00F573E4">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rsidR="00556890" w:rsidRDefault="00F573E4">
      <w:pPr>
        <w:wordWrap w:val="0"/>
        <w:spacing w:line="360" w:lineRule="auto"/>
        <w:jc w:val="right"/>
        <w:divId w:val="1256478710"/>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556890">
        <w:trPr>
          <w:divId w:val="1256478710"/>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jc w:val="center"/>
            </w:pPr>
            <w:r>
              <w:rPr>
                <w:rFonts w:ascii="宋体" w:hAnsi="宋体" w:hint="eastAsia"/>
                <w:lang w:eastAsia="zh-Hans"/>
              </w:rPr>
              <w:t>摩根核心成长股票A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jc w:val="center"/>
            </w:pPr>
            <w:r>
              <w:rPr>
                <w:rFonts w:ascii="宋体" w:hAnsi="宋体" w:hint="eastAsia"/>
                <w:lang w:eastAsia="zh-Hans"/>
              </w:rPr>
              <w:t>摩根核心成长股票C</w:t>
            </w:r>
            <w:r>
              <w:rPr>
                <w:rFonts w:ascii="宋体" w:hAnsi="宋体" w:hint="eastAsia"/>
                <w:color w:val="000000"/>
              </w:rPr>
              <w:t xml:space="preserve"> </w:t>
            </w:r>
          </w:p>
        </w:tc>
      </w:tr>
      <w:tr w:rsidR="00556890">
        <w:trPr>
          <w:divId w:val="125647871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kern w:val="0"/>
                <w:szCs w:val="24"/>
                <w:lang w:eastAsia="zh-Hans"/>
              </w:rPr>
              <w:t>705,694.23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kern w:val="0"/>
                <w:szCs w:val="24"/>
                <w:lang w:eastAsia="zh-Hans"/>
              </w:rPr>
              <w:t>-</w:t>
            </w:r>
          </w:p>
        </w:tc>
      </w:tr>
      <w:tr w:rsidR="00556890">
        <w:trPr>
          <w:divId w:val="125647871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411,721.48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szCs w:val="24"/>
                <w:lang w:eastAsia="zh-Hans"/>
              </w:rPr>
              <w:t>-</w:t>
            </w:r>
          </w:p>
        </w:tc>
      </w:tr>
      <w:tr w:rsidR="00556890">
        <w:trPr>
          <w:divId w:val="125647871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lang w:eastAsia="zh-Hans"/>
              </w:rPr>
              <w:t>-</w:t>
            </w:r>
          </w:p>
        </w:tc>
      </w:tr>
      <w:tr w:rsidR="00556890">
        <w:trPr>
          <w:divId w:val="125647871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lang w:eastAsia="zh-Hans"/>
              </w:rPr>
              <w:t>1,117,415.71</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lang w:eastAsia="zh-Hans"/>
              </w:rPr>
              <w:t>-</w:t>
            </w:r>
          </w:p>
        </w:tc>
      </w:tr>
      <w:tr w:rsidR="00556890">
        <w:trPr>
          <w:divId w:val="125647871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lang w:eastAsia="zh-Hans"/>
              </w:rPr>
              <w:t>0.30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jc w:val="right"/>
            </w:pPr>
            <w:r>
              <w:rPr>
                <w:rFonts w:ascii="宋体" w:hAnsi="宋体" w:hint="eastAsia"/>
                <w:lang w:eastAsia="zh-Hans"/>
              </w:rPr>
              <w:t>-</w:t>
            </w:r>
          </w:p>
        </w:tc>
      </w:tr>
    </w:tbl>
    <w:p w:rsidR="00556890" w:rsidRDefault="00F573E4">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556890">
        <w:trPr>
          <w:divId w:val="269316857"/>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 xml:space="preserve">适用费率(%) </w:t>
            </w:r>
          </w:p>
        </w:tc>
      </w:tr>
      <w:tr w:rsidR="00556890">
        <w:trPr>
          <w:divId w:val="269316857"/>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411,721.48</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896,400.00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w:t>
            </w:r>
            <w:r>
              <w:t xml:space="preserve"> </w:t>
            </w:r>
          </w:p>
        </w:tc>
      </w:tr>
      <w:tr w:rsidR="00556890">
        <w:trPr>
          <w:divId w:val="269316857"/>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556890"/>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556890">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411,721.48</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F573E4">
            <w:pPr>
              <w:spacing w:line="360" w:lineRule="auto"/>
              <w:jc w:val="right"/>
            </w:pPr>
            <w:r>
              <w:rPr>
                <w:rFonts w:ascii="宋体" w:hAnsi="宋体" w:hint="eastAsia"/>
              </w:rPr>
              <w:t>896,400.00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56890" w:rsidRDefault="00556890"/>
        </w:tc>
      </w:tr>
    </w:tbl>
    <w:p w:rsidR="00556890" w:rsidRDefault="00F573E4">
      <w:pPr>
        <w:spacing w:line="360" w:lineRule="auto"/>
        <w:jc w:val="left"/>
        <w:divId w:val="1621718315"/>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rsidR="00556890" w:rsidRDefault="00F573E4">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rsidR="00556890" w:rsidRDefault="00F573E4">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3"/>
    <w:bookmarkEnd w:id="43"/>
    <w:bookmarkEnd w:id="44"/>
    <w:p w:rsidR="00556890" w:rsidRDefault="00F573E4">
      <w:pPr>
        <w:spacing w:line="360" w:lineRule="auto"/>
        <w:ind w:firstLineChars="200" w:firstLine="420"/>
        <w:divId w:val="328682336"/>
        <w:rPr>
          <w:rFonts w:ascii="宋体" w:hAnsi="宋体"/>
          <w:szCs w:val="21"/>
          <w:lang w:eastAsia="zh-Hans"/>
        </w:rPr>
      </w:pPr>
      <w:r>
        <w:rPr>
          <w:rFonts w:ascii="宋体" w:hAnsi="宋体" w:hint="eastAsia"/>
          <w:szCs w:val="21"/>
          <w:lang w:eastAsia="zh-Hans"/>
        </w:rPr>
        <w:t>无。</w:t>
      </w:r>
    </w:p>
    <w:p w:rsidR="00556890" w:rsidRDefault="00F573E4">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proofErr w:type="spellStart"/>
      <w:r>
        <w:rPr>
          <w:rFonts w:hAnsi="宋体" w:hint="eastAsia"/>
        </w:rPr>
        <w:t>备查文件目录</w:t>
      </w:r>
      <w:bookmarkEnd w:id="347"/>
      <w:bookmarkEnd w:id="348"/>
      <w:bookmarkEnd w:id="349"/>
      <w:bookmarkEnd w:id="350"/>
      <w:bookmarkEnd w:id="351"/>
      <w:bookmarkEnd w:id="352"/>
      <w:bookmarkEnd w:id="353"/>
      <w:bookmarkEnd w:id="354"/>
      <w:proofErr w:type="spellEnd"/>
      <w:r>
        <w:rPr>
          <w:rFonts w:hAnsi="宋体" w:hint="eastAsia"/>
        </w:rPr>
        <w:t xml:space="preserve"> </w:t>
      </w:r>
    </w:p>
    <w:p w:rsidR="00556890" w:rsidRDefault="00F573E4">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proofErr w:type="spellStart"/>
      <w:r>
        <w:rPr>
          <w:rFonts w:hAnsi="宋体" w:hint="eastAsia"/>
        </w:rPr>
        <w:t>备查文件目录</w:t>
      </w:r>
      <w:bookmarkEnd w:id="355"/>
      <w:bookmarkEnd w:id="356"/>
      <w:bookmarkEnd w:id="357"/>
      <w:bookmarkEnd w:id="358"/>
      <w:bookmarkEnd w:id="359"/>
      <w:bookmarkEnd w:id="360"/>
      <w:bookmarkEnd w:id="361"/>
      <w:bookmarkEnd w:id="362"/>
      <w:proofErr w:type="spellEnd"/>
      <w:r>
        <w:rPr>
          <w:rFonts w:hAnsi="宋体" w:hint="eastAsia"/>
        </w:rPr>
        <w:t xml:space="preserve"> </w:t>
      </w:r>
    </w:p>
    <w:p w:rsidR="00556890" w:rsidRDefault="00F573E4">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)中国证监会批准本基金募集的文件</w:t>
      </w:r>
      <w:r>
        <w:rPr>
          <w:rFonts w:ascii="宋体" w:hAnsi="宋体" w:cs="宋体" w:hint="eastAsia"/>
          <w:color w:val="000000"/>
          <w:kern w:val="0"/>
        </w:rPr>
        <w:br/>
        <w:t xml:space="preserve">　　(二)摩根核心成长股票型证券投资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r>
      <w:r>
        <w:rPr>
          <w:rFonts w:ascii="宋体" w:hAnsi="宋体" w:cs="宋体" w:hint="eastAsia"/>
          <w:color w:val="000000"/>
          <w:kern w:val="0"/>
        </w:rPr>
        <w:lastRenderedPageBreak/>
        <w:t xml:space="preserve">　　(三)摩根核心成长股票型证券投资基金托管协议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rsidR="00556890" w:rsidRDefault="00F573E4">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proofErr w:type="spellStart"/>
      <w:r>
        <w:rPr>
          <w:rFonts w:hAnsi="宋体" w:hint="eastAsia"/>
        </w:rPr>
        <w:t>存放地点</w:t>
      </w:r>
      <w:bookmarkEnd w:id="364"/>
      <w:bookmarkEnd w:id="365"/>
      <w:bookmarkEnd w:id="366"/>
      <w:bookmarkEnd w:id="367"/>
      <w:bookmarkEnd w:id="368"/>
      <w:bookmarkEnd w:id="369"/>
      <w:bookmarkEnd w:id="370"/>
      <w:bookmarkEnd w:id="371"/>
      <w:proofErr w:type="spellEnd"/>
      <w:r>
        <w:rPr>
          <w:rFonts w:hAnsi="宋体" w:hint="eastAsia"/>
        </w:rPr>
        <w:t xml:space="preserve"> </w:t>
      </w:r>
    </w:p>
    <w:p w:rsidR="00556890" w:rsidRDefault="00F573E4">
      <w:pPr>
        <w:spacing w:line="360" w:lineRule="auto"/>
        <w:ind w:firstLineChars="200" w:firstLine="420"/>
        <w:jc w:val="left"/>
      </w:pPr>
      <w:r>
        <w:rPr>
          <w:rFonts w:ascii="宋体" w:hAnsi="宋体" w:cs="宋体" w:hint="eastAsia"/>
          <w:color w:val="000000"/>
          <w:kern w:val="0"/>
        </w:rPr>
        <w:t>基金管理人或基金托管人住所。</w:t>
      </w:r>
    </w:p>
    <w:p w:rsidR="00556890" w:rsidRDefault="00F573E4">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proofErr w:type="spellStart"/>
      <w:r>
        <w:rPr>
          <w:rFonts w:hAnsi="宋体" w:hint="eastAsia"/>
        </w:rPr>
        <w:t>查阅方式</w:t>
      </w:r>
      <w:bookmarkEnd w:id="373"/>
      <w:bookmarkEnd w:id="374"/>
      <w:bookmarkEnd w:id="375"/>
      <w:bookmarkEnd w:id="376"/>
      <w:bookmarkEnd w:id="377"/>
      <w:bookmarkEnd w:id="378"/>
      <w:bookmarkEnd w:id="379"/>
      <w:bookmarkEnd w:id="380"/>
      <w:proofErr w:type="spellEnd"/>
      <w:r>
        <w:rPr>
          <w:rFonts w:hAnsi="宋体" w:hint="eastAsia"/>
        </w:rPr>
        <w:t xml:space="preserve"> </w:t>
      </w:r>
    </w:p>
    <w:p w:rsidR="00556890" w:rsidRDefault="00F573E4">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rsidR="00556890" w:rsidRDefault="00F573E4">
      <w:pPr>
        <w:spacing w:line="360" w:lineRule="auto"/>
        <w:ind w:firstLineChars="600" w:firstLine="1687"/>
        <w:jc w:val="left"/>
      </w:pPr>
      <w:r>
        <w:rPr>
          <w:rFonts w:ascii="宋体" w:hAnsi="宋体" w:hint="eastAsia"/>
          <w:b/>
          <w:bCs/>
          <w:sz w:val="28"/>
          <w:szCs w:val="30"/>
        </w:rPr>
        <w:t xml:space="preserve">　 </w:t>
      </w:r>
    </w:p>
    <w:p w:rsidR="00556890" w:rsidRDefault="00F573E4">
      <w:pPr>
        <w:spacing w:line="360" w:lineRule="auto"/>
        <w:ind w:firstLineChars="600" w:firstLine="1687"/>
        <w:jc w:val="left"/>
      </w:pPr>
      <w:r>
        <w:rPr>
          <w:rFonts w:ascii="宋体" w:hAnsi="宋体" w:hint="eastAsia"/>
          <w:b/>
          <w:bCs/>
          <w:sz w:val="28"/>
          <w:szCs w:val="30"/>
        </w:rPr>
        <w:t xml:space="preserve">　 </w:t>
      </w:r>
    </w:p>
    <w:p w:rsidR="00556890" w:rsidRDefault="00F573E4">
      <w:pPr>
        <w:spacing w:line="360" w:lineRule="auto"/>
        <w:ind w:firstLineChars="600" w:firstLine="1446"/>
        <w:jc w:val="right"/>
      </w:pPr>
      <w:r>
        <w:rPr>
          <w:rFonts w:ascii="宋体" w:hAnsi="宋体" w:hint="eastAsia"/>
          <w:b/>
          <w:bCs/>
          <w:sz w:val="24"/>
          <w:szCs w:val="24"/>
        </w:rPr>
        <w:t>摩根基金管理（中国）有限公司</w:t>
      </w:r>
    </w:p>
    <w:p w:rsidR="00556890" w:rsidRDefault="00F573E4">
      <w:pPr>
        <w:spacing w:line="360" w:lineRule="auto"/>
        <w:ind w:firstLineChars="600" w:firstLine="1446"/>
        <w:jc w:val="right"/>
      </w:pPr>
      <w:r>
        <w:rPr>
          <w:rFonts w:ascii="宋体" w:hAnsi="宋体" w:hint="eastAsia"/>
          <w:b/>
          <w:bCs/>
          <w:sz w:val="24"/>
          <w:szCs w:val="24"/>
        </w:rPr>
        <w:t>2025年4月22日</w:t>
      </w:r>
      <w:bookmarkEnd w:id="24"/>
    </w:p>
    <w:sectPr w:rsidR="0055689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890" w:rsidRDefault="00F573E4">
      <w:pPr>
        <w:rPr>
          <w:szCs w:val="21"/>
        </w:rPr>
      </w:pPr>
      <w:r>
        <w:rPr>
          <w:szCs w:val="21"/>
        </w:rPr>
        <w:separator/>
      </w:r>
      <w:r>
        <w:rPr>
          <w:szCs w:val="21"/>
        </w:rPr>
        <w:t xml:space="preserve"> </w:t>
      </w:r>
    </w:p>
  </w:endnote>
  <w:endnote w:type="continuationSeparator" w:id="0">
    <w:p w:rsidR="00556890" w:rsidRDefault="00F573E4">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90" w:rsidRDefault="00F573E4">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A12C21">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A12C21">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890" w:rsidRDefault="00F573E4">
      <w:pPr>
        <w:rPr>
          <w:szCs w:val="21"/>
        </w:rPr>
      </w:pPr>
      <w:r>
        <w:rPr>
          <w:szCs w:val="21"/>
        </w:rPr>
        <w:separator/>
      </w:r>
      <w:r>
        <w:rPr>
          <w:szCs w:val="21"/>
        </w:rPr>
        <w:t xml:space="preserve"> </w:t>
      </w:r>
    </w:p>
  </w:footnote>
  <w:footnote w:type="continuationSeparator" w:id="0">
    <w:p w:rsidR="00556890" w:rsidRDefault="00F573E4">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90" w:rsidRDefault="00F573E4">
    <w:pPr>
      <w:pStyle w:val="a8"/>
      <w:jc w:val="right"/>
    </w:pPr>
    <w:r>
      <w:rPr>
        <w:rFonts w:ascii="宋体" w:hAnsi="宋体" w:hint="eastAsia"/>
      </w:rPr>
      <w:t>摩根核心成长股票型证券投资基金2025年第1季度报告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E4"/>
    <w:rsid w:val="00556890"/>
    <w:rsid w:val="00A12C21"/>
    <w:rsid w:val="00F57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BE2631AD-489F-4214-8752-1827E34B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6991">
      <w:marLeft w:val="0"/>
      <w:marRight w:val="0"/>
      <w:marTop w:val="0"/>
      <w:marBottom w:val="0"/>
      <w:divBdr>
        <w:top w:val="none" w:sz="0" w:space="0" w:color="auto"/>
        <w:left w:val="none" w:sz="0" w:space="0" w:color="auto"/>
        <w:bottom w:val="none" w:sz="0" w:space="0" w:color="auto"/>
        <w:right w:val="none" w:sz="0" w:space="0" w:color="auto"/>
      </w:divBdr>
      <w:divsChild>
        <w:div w:id="215941957">
          <w:marLeft w:val="0"/>
          <w:marRight w:val="0"/>
          <w:marTop w:val="0"/>
          <w:marBottom w:val="0"/>
          <w:divBdr>
            <w:top w:val="none" w:sz="0" w:space="0" w:color="auto"/>
            <w:left w:val="none" w:sz="0" w:space="0" w:color="auto"/>
            <w:bottom w:val="none" w:sz="0" w:space="0" w:color="auto"/>
            <w:right w:val="none" w:sz="0" w:space="0" w:color="auto"/>
          </w:divBdr>
        </w:div>
      </w:divsChild>
    </w:div>
    <w:div w:id="44646690">
      <w:marLeft w:val="0"/>
      <w:marRight w:val="0"/>
      <w:marTop w:val="0"/>
      <w:marBottom w:val="0"/>
      <w:divBdr>
        <w:top w:val="none" w:sz="0" w:space="0" w:color="auto"/>
        <w:left w:val="none" w:sz="0" w:space="0" w:color="auto"/>
        <w:bottom w:val="none" w:sz="0" w:space="0" w:color="auto"/>
        <w:right w:val="none" w:sz="0" w:space="0" w:color="auto"/>
      </w:divBdr>
    </w:div>
    <w:div w:id="166946707">
      <w:marLeft w:val="0"/>
      <w:marRight w:val="0"/>
      <w:marTop w:val="0"/>
      <w:marBottom w:val="0"/>
      <w:divBdr>
        <w:top w:val="none" w:sz="0" w:space="0" w:color="auto"/>
        <w:left w:val="none" w:sz="0" w:space="0" w:color="auto"/>
        <w:bottom w:val="none" w:sz="0" w:space="0" w:color="auto"/>
        <w:right w:val="none" w:sz="0" w:space="0" w:color="auto"/>
      </w:divBdr>
      <w:divsChild>
        <w:div w:id="1256478710">
          <w:marLeft w:val="0"/>
          <w:marRight w:val="0"/>
          <w:marTop w:val="0"/>
          <w:marBottom w:val="0"/>
          <w:divBdr>
            <w:top w:val="none" w:sz="0" w:space="0" w:color="auto"/>
            <w:left w:val="none" w:sz="0" w:space="0" w:color="auto"/>
            <w:bottom w:val="none" w:sz="0" w:space="0" w:color="auto"/>
            <w:right w:val="none" w:sz="0" w:space="0" w:color="auto"/>
          </w:divBdr>
        </w:div>
      </w:divsChild>
    </w:div>
    <w:div w:id="328682336">
      <w:marLeft w:val="0"/>
      <w:marRight w:val="0"/>
      <w:marTop w:val="0"/>
      <w:marBottom w:val="0"/>
      <w:divBdr>
        <w:top w:val="none" w:sz="0" w:space="0" w:color="auto"/>
        <w:left w:val="none" w:sz="0" w:space="0" w:color="auto"/>
        <w:bottom w:val="none" w:sz="0" w:space="0" w:color="auto"/>
        <w:right w:val="none" w:sz="0" w:space="0" w:color="auto"/>
      </w:divBdr>
    </w:div>
    <w:div w:id="503282007">
      <w:marLeft w:val="0"/>
      <w:marRight w:val="0"/>
      <w:marTop w:val="0"/>
      <w:marBottom w:val="0"/>
      <w:divBdr>
        <w:top w:val="none" w:sz="0" w:space="0" w:color="auto"/>
        <w:left w:val="none" w:sz="0" w:space="0" w:color="auto"/>
        <w:bottom w:val="none" w:sz="0" w:space="0" w:color="auto"/>
        <w:right w:val="none" w:sz="0" w:space="0" w:color="auto"/>
      </w:divBdr>
    </w:div>
    <w:div w:id="744641899">
      <w:marLeft w:val="0"/>
      <w:marRight w:val="0"/>
      <w:marTop w:val="0"/>
      <w:marBottom w:val="0"/>
      <w:divBdr>
        <w:top w:val="none" w:sz="0" w:space="0" w:color="auto"/>
        <w:left w:val="none" w:sz="0" w:space="0" w:color="auto"/>
        <w:bottom w:val="none" w:sz="0" w:space="0" w:color="auto"/>
        <w:right w:val="none" w:sz="0" w:space="0" w:color="auto"/>
      </w:divBdr>
    </w:div>
    <w:div w:id="852305812">
      <w:marLeft w:val="0"/>
      <w:marRight w:val="0"/>
      <w:marTop w:val="0"/>
      <w:marBottom w:val="0"/>
      <w:divBdr>
        <w:top w:val="none" w:sz="0" w:space="0" w:color="auto"/>
        <w:left w:val="none" w:sz="0" w:space="0" w:color="auto"/>
        <w:bottom w:val="none" w:sz="0" w:space="0" w:color="auto"/>
        <w:right w:val="none" w:sz="0" w:space="0" w:color="auto"/>
      </w:divBdr>
    </w:div>
    <w:div w:id="942037942">
      <w:marLeft w:val="0"/>
      <w:marRight w:val="0"/>
      <w:marTop w:val="0"/>
      <w:marBottom w:val="0"/>
      <w:divBdr>
        <w:top w:val="none" w:sz="0" w:space="0" w:color="auto"/>
        <w:left w:val="none" w:sz="0" w:space="0" w:color="auto"/>
        <w:bottom w:val="none" w:sz="0" w:space="0" w:color="auto"/>
        <w:right w:val="none" w:sz="0" w:space="0" w:color="auto"/>
      </w:divBdr>
      <w:divsChild>
        <w:div w:id="858661538">
          <w:marLeft w:val="0"/>
          <w:marRight w:val="0"/>
          <w:marTop w:val="0"/>
          <w:marBottom w:val="0"/>
          <w:divBdr>
            <w:top w:val="none" w:sz="0" w:space="0" w:color="auto"/>
            <w:left w:val="none" w:sz="0" w:space="0" w:color="auto"/>
            <w:bottom w:val="none" w:sz="0" w:space="0" w:color="auto"/>
            <w:right w:val="none" w:sz="0" w:space="0" w:color="auto"/>
          </w:divBdr>
        </w:div>
      </w:divsChild>
    </w:div>
    <w:div w:id="1023364301">
      <w:marLeft w:val="0"/>
      <w:marRight w:val="0"/>
      <w:marTop w:val="0"/>
      <w:marBottom w:val="0"/>
      <w:divBdr>
        <w:top w:val="none" w:sz="0" w:space="0" w:color="auto"/>
        <w:left w:val="none" w:sz="0" w:space="0" w:color="auto"/>
        <w:bottom w:val="none" w:sz="0" w:space="0" w:color="auto"/>
        <w:right w:val="none" w:sz="0" w:space="0" w:color="auto"/>
      </w:divBdr>
    </w:div>
    <w:div w:id="1029182246">
      <w:marLeft w:val="0"/>
      <w:marRight w:val="0"/>
      <w:marTop w:val="0"/>
      <w:marBottom w:val="0"/>
      <w:divBdr>
        <w:top w:val="none" w:sz="0" w:space="0" w:color="auto"/>
        <w:left w:val="none" w:sz="0" w:space="0" w:color="auto"/>
        <w:bottom w:val="none" w:sz="0" w:space="0" w:color="auto"/>
        <w:right w:val="none" w:sz="0" w:space="0" w:color="auto"/>
      </w:divBdr>
      <w:divsChild>
        <w:div w:id="1069423533">
          <w:marLeft w:val="0"/>
          <w:marRight w:val="0"/>
          <w:marTop w:val="0"/>
          <w:marBottom w:val="0"/>
          <w:divBdr>
            <w:top w:val="none" w:sz="0" w:space="0" w:color="auto"/>
            <w:left w:val="none" w:sz="0" w:space="0" w:color="auto"/>
            <w:bottom w:val="none" w:sz="0" w:space="0" w:color="auto"/>
            <w:right w:val="none" w:sz="0" w:space="0" w:color="auto"/>
          </w:divBdr>
        </w:div>
      </w:divsChild>
    </w:div>
    <w:div w:id="1110474110">
      <w:marLeft w:val="0"/>
      <w:marRight w:val="0"/>
      <w:marTop w:val="0"/>
      <w:marBottom w:val="0"/>
      <w:divBdr>
        <w:top w:val="none" w:sz="0" w:space="0" w:color="auto"/>
        <w:left w:val="none" w:sz="0" w:space="0" w:color="auto"/>
        <w:bottom w:val="none" w:sz="0" w:space="0" w:color="auto"/>
        <w:right w:val="none" w:sz="0" w:space="0" w:color="auto"/>
      </w:divBdr>
    </w:div>
    <w:div w:id="1152411176">
      <w:marLeft w:val="0"/>
      <w:marRight w:val="0"/>
      <w:marTop w:val="0"/>
      <w:marBottom w:val="0"/>
      <w:divBdr>
        <w:top w:val="none" w:sz="0" w:space="0" w:color="auto"/>
        <w:left w:val="none" w:sz="0" w:space="0" w:color="auto"/>
        <w:bottom w:val="none" w:sz="0" w:space="0" w:color="auto"/>
        <w:right w:val="none" w:sz="0" w:space="0" w:color="auto"/>
      </w:divBdr>
      <w:divsChild>
        <w:div w:id="1930236430">
          <w:marLeft w:val="0"/>
          <w:marRight w:val="0"/>
          <w:marTop w:val="0"/>
          <w:marBottom w:val="0"/>
          <w:divBdr>
            <w:top w:val="none" w:sz="0" w:space="0" w:color="auto"/>
            <w:left w:val="none" w:sz="0" w:space="0" w:color="auto"/>
            <w:bottom w:val="none" w:sz="0" w:space="0" w:color="auto"/>
            <w:right w:val="none" w:sz="0" w:space="0" w:color="auto"/>
          </w:divBdr>
        </w:div>
        <w:div w:id="1063605616">
          <w:marLeft w:val="0"/>
          <w:marRight w:val="0"/>
          <w:marTop w:val="0"/>
          <w:marBottom w:val="0"/>
          <w:divBdr>
            <w:top w:val="none" w:sz="0" w:space="0" w:color="auto"/>
            <w:left w:val="none" w:sz="0" w:space="0" w:color="auto"/>
            <w:bottom w:val="none" w:sz="0" w:space="0" w:color="auto"/>
            <w:right w:val="none" w:sz="0" w:space="0" w:color="auto"/>
          </w:divBdr>
        </w:div>
      </w:divsChild>
    </w:div>
    <w:div w:id="1327853885">
      <w:marLeft w:val="0"/>
      <w:marRight w:val="0"/>
      <w:marTop w:val="0"/>
      <w:marBottom w:val="0"/>
      <w:divBdr>
        <w:top w:val="none" w:sz="0" w:space="0" w:color="auto"/>
        <w:left w:val="none" w:sz="0" w:space="0" w:color="auto"/>
        <w:bottom w:val="none" w:sz="0" w:space="0" w:color="auto"/>
        <w:right w:val="none" w:sz="0" w:space="0" w:color="auto"/>
      </w:divBdr>
    </w:div>
    <w:div w:id="1363869974">
      <w:marLeft w:val="0"/>
      <w:marRight w:val="0"/>
      <w:marTop w:val="0"/>
      <w:marBottom w:val="0"/>
      <w:divBdr>
        <w:top w:val="none" w:sz="0" w:space="0" w:color="auto"/>
        <w:left w:val="none" w:sz="0" w:space="0" w:color="auto"/>
        <w:bottom w:val="none" w:sz="0" w:space="0" w:color="auto"/>
        <w:right w:val="none" w:sz="0" w:space="0" w:color="auto"/>
      </w:divBdr>
    </w:div>
    <w:div w:id="1621718315">
      <w:marLeft w:val="0"/>
      <w:marRight w:val="0"/>
      <w:marTop w:val="0"/>
      <w:marBottom w:val="0"/>
      <w:divBdr>
        <w:top w:val="none" w:sz="0" w:space="0" w:color="auto"/>
        <w:left w:val="none" w:sz="0" w:space="0" w:color="auto"/>
        <w:bottom w:val="none" w:sz="0" w:space="0" w:color="auto"/>
        <w:right w:val="none" w:sz="0" w:space="0" w:color="auto"/>
      </w:divBdr>
      <w:divsChild>
        <w:div w:id="269316857">
          <w:marLeft w:val="0"/>
          <w:marRight w:val="0"/>
          <w:marTop w:val="0"/>
          <w:marBottom w:val="0"/>
          <w:divBdr>
            <w:top w:val="none" w:sz="0" w:space="0" w:color="auto"/>
            <w:left w:val="none" w:sz="0" w:space="0" w:color="auto"/>
            <w:bottom w:val="none" w:sz="0" w:space="0" w:color="auto"/>
            <w:right w:val="none" w:sz="0" w:space="0" w:color="auto"/>
          </w:divBdr>
        </w:div>
      </w:divsChild>
    </w:div>
    <w:div w:id="1694959388">
      <w:marLeft w:val="0"/>
      <w:marRight w:val="0"/>
      <w:marTop w:val="0"/>
      <w:marBottom w:val="0"/>
      <w:divBdr>
        <w:top w:val="none" w:sz="0" w:space="0" w:color="auto"/>
        <w:left w:val="none" w:sz="0" w:space="0" w:color="auto"/>
        <w:bottom w:val="none" w:sz="0" w:space="0" w:color="auto"/>
        <w:right w:val="none" w:sz="0" w:space="0" w:color="auto"/>
      </w:divBdr>
    </w:div>
    <w:div w:id="1726101580">
      <w:marLeft w:val="0"/>
      <w:marRight w:val="0"/>
      <w:marTop w:val="0"/>
      <w:marBottom w:val="0"/>
      <w:divBdr>
        <w:top w:val="none" w:sz="0" w:space="0" w:color="auto"/>
        <w:left w:val="none" w:sz="0" w:space="0" w:color="auto"/>
        <w:bottom w:val="none" w:sz="0" w:space="0" w:color="auto"/>
        <w:right w:val="none" w:sz="0" w:space="0" w:color="auto"/>
      </w:divBdr>
    </w:div>
    <w:div w:id="1874999097">
      <w:marLeft w:val="0"/>
      <w:marRight w:val="0"/>
      <w:marTop w:val="0"/>
      <w:marBottom w:val="0"/>
      <w:divBdr>
        <w:top w:val="none" w:sz="0" w:space="0" w:color="auto"/>
        <w:left w:val="none" w:sz="0" w:space="0" w:color="auto"/>
        <w:bottom w:val="none" w:sz="0" w:space="0" w:color="auto"/>
        <w:right w:val="none" w:sz="0" w:space="0" w:color="auto"/>
      </w:divBdr>
    </w:div>
    <w:div w:id="1909608344">
      <w:marLeft w:val="0"/>
      <w:marRight w:val="0"/>
      <w:marTop w:val="0"/>
      <w:marBottom w:val="0"/>
      <w:divBdr>
        <w:top w:val="none" w:sz="0" w:space="0" w:color="auto"/>
        <w:left w:val="none" w:sz="0" w:space="0" w:color="auto"/>
        <w:bottom w:val="none" w:sz="0" w:space="0" w:color="auto"/>
        <w:right w:val="none" w:sz="0" w:space="0" w:color="auto"/>
      </w:divBdr>
    </w:div>
    <w:div w:id="2004626391">
      <w:marLeft w:val="0"/>
      <w:marRight w:val="0"/>
      <w:marTop w:val="0"/>
      <w:marBottom w:val="0"/>
      <w:divBdr>
        <w:top w:val="none" w:sz="0" w:space="0" w:color="auto"/>
        <w:left w:val="none" w:sz="0" w:space="0" w:color="auto"/>
        <w:bottom w:val="none" w:sz="0" w:space="0" w:color="auto"/>
        <w:right w:val="none" w:sz="0" w:space="0" w:color="auto"/>
      </w:divBdr>
      <w:divsChild>
        <w:div w:id="421685789">
          <w:marLeft w:val="0"/>
          <w:marRight w:val="0"/>
          <w:marTop w:val="0"/>
          <w:marBottom w:val="0"/>
          <w:divBdr>
            <w:top w:val="none" w:sz="0" w:space="0" w:color="auto"/>
            <w:left w:val="none" w:sz="0" w:space="0" w:color="auto"/>
            <w:bottom w:val="none" w:sz="0" w:space="0" w:color="auto"/>
            <w:right w:val="none" w:sz="0" w:space="0" w:color="auto"/>
          </w:divBdr>
        </w:div>
      </w:divsChild>
    </w:div>
    <w:div w:id="2056192878">
      <w:marLeft w:val="0"/>
      <w:marRight w:val="0"/>
      <w:marTop w:val="0"/>
      <w:marBottom w:val="0"/>
      <w:divBdr>
        <w:top w:val="none" w:sz="0" w:space="0" w:color="auto"/>
        <w:left w:val="none" w:sz="0" w:space="0" w:color="auto"/>
        <w:bottom w:val="none" w:sz="0" w:space="0" w:color="auto"/>
        <w:right w:val="none" w:sz="0" w:space="0" w:color="auto"/>
      </w:divBdr>
      <w:divsChild>
        <w:div w:id="1067260950">
          <w:marLeft w:val="0"/>
          <w:marRight w:val="0"/>
          <w:marTop w:val="0"/>
          <w:marBottom w:val="0"/>
          <w:divBdr>
            <w:top w:val="none" w:sz="0" w:space="0" w:color="auto"/>
            <w:left w:val="none" w:sz="0" w:space="0" w:color="auto"/>
            <w:bottom w:val="none" w:sz="0" w:space="0" w:color="auto"/>
            <w:right w:val="none" w:sz="0" w:space="0" w:color="auto"/>
          </w:divBdr>
        </w:div>
      </w:divsChild>
    </w:div>
    <w:div w:id="21360215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6869-0B05-4710-8F99-E13686E3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5842</Words>
  <Characters>2466</Characters>
  <Application>Microsoft Office Word</Application>
  <DocSecurity>0</DocSecurity>
  <Lines>20</Lines>
  <Paragraphs>16</Paragraphs>
  <ScaleCrop>false</ScaleCrop>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3</cp:revision>
  <dcterms:created xsi:type="dcterms:W3CDTF">2025-04-15T12:11:00Z</dcterms:created>
  <dcterms:modified xsi:type="dcterms:W3CDTF">2025-04-21T08:07:00Z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