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摩根核心成长股票型证券投资基金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摩根核心成长股票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000457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2014</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10</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429,091,373.95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本基金将充分利用管理人的投资研究平台，通过系统和深入的基本面研究，选择公司治理良好且具有较高增长潜力的公司进行投资，力争实现基金资产的长期稳定增值。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9489D" w:rsidRDefault="00D3456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9489D" w:rsidRDefault="00D3456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39489D" w:rsidRDefault="00D3456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39489D" w:rsidRDefault="00D3456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的个股精选策略，综合运用定量分析与定性分析</w:t>
            </w:r>
            <w:r>
              <w:rPr>
                <w:rFonts w:eastAsiaTheme="minorEastAsia"/>
                <w:color w:val="000000" w:themeColor="text1"/>
                <w:kern w:val="0"/>
                <w:szCs w:val="21"/>
              </w:rPr>
              <w:t>的手段，基于公司内部研究团队对于个股基本面的深入研究和细致的实地调研，重点投资于公司治理良好且具有较高增长潜力的公司。在行业配置层面，本基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p w:rsidR="0039489D" w:rsidRDefault="00D3456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、行业配置策略</w:t>
            </w:r>
          </w:p>
          <w:p w:rsidR="0039489D" w:rsidRDefault="00D3456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本基金在精选个股的基础上，对股票投资组合进行适度</w:t>
            </w:r>
            <w:r>
              <w:rPr>
                <w:rFonts w:eastAsiaTheme="minorEastAsia"/>
                <w:color w:val="000000" w:themeColor="text1"/>
                <w:kern w:val="0"/>
                <w:szCs w:val="21"/>
              </w:rPr>
              <w:t>均衡的行业配置。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、其他投资策略：包括固定收益类投资策略、可转换债券投资策略、中小企业私募债投资策略、股指期货投资策略、存托凭证投资策略。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39489D" w:rsidRDefault="00D3456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w:t>
            </w:r>
            <w:r>
              <w:rPr>
                <w:rFonts w:eastAsiaTheme="minorEastAsia"/>
                <w:color w:val="000000" w:themeColor="text1"/>
                <w:kern w:val="0"/>
                <w:szCs w:val="21"/>
              </w:rPr>
              <w:t>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000457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015170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424,315,366.35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4,776,007.60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5,783,220.70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51,648.04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69,597,220.62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741,179.73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0.1613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0.1530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1,018,747,278.59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11,406,860.42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2.4009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2.3884</w:t>
            </w:r>
          </w:p>
        </w:tc>
      </w:tr>
    </w:tbl>
    <w:p w:rsidR="0039489D" w:rsidRDefault="00D3456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摩根核心成长股票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9489D">
        <w:tc>
          <w:tcPr>
            <w:tcW w:w="1290" w:type="dxa"/>
            <w:vAlign w:val="center"/>
          </w:tcPr>
          <w:p w:rsidR="0039489D" w:rsidRDefault="00D3456C">
            <w:pPr>
              <w:jc w:val="left"/>
            </w:pPr>
            <w:r>
              <w:rPr>
                <w:rFonts w:eastAsiaTheme="minorEastAsia"/>
                <w:color w:val="000000" w:themeColor="text1"/>
                <w:szCs w:val="21"/>
              </w:rPr>
              <w:t>过去三个月</w:t>
            </w:r>
          </w:p>
        </w:tc>
        <w:tc>
          <w:tcPr>
            <w:tcW w:w="1291" w:type="dxa"/>
            <w:vAlign w:val="center"/>
          </w:tcPr>
          <w:p w:rsidR="0039489D" w:rsidRDefault="00D3456C">
            <w:pPr>
              <w:jc w:val="right"/>
            </w:pPr>
            <w:r>
              <w:rPr>
                <w:rFonts w:eastAsiaTheme="minorEastAsia"/>
                <w:color w:val="000000" w:themeColor="text1"/>
                <w:szCs w:val="21"/>
              </w:rPr>
              <w:t>7.28%</w:t>
            </w:r>
          </w:p>
        </w:tc>
        <w:tc>
          <w:tcPr>
            <w:tcW w:w="1291" w:type="dxa"/>
            <w:vAlign w:val="center"/>
          </w:tcPr>
          <w:p w:rsidR="0039489D" w:rsidRDefault="00D3456C">
            <w:pPr>
              <w:jc w:val="right"/>
            </w:pPr>
            <w:r>
              <w:rPr>
                <w:rFonts w:eastAsiaTheme="minorEastAsia"/>
                <w:color w:val="000000" w:themeColor="text1"/>
                <w:szCs w:val="21"/>
              </w:rPr>
              <w:t>0.94%</w:t>
            </w:r>
          </w:p>
        </w:tc>
        <w:tc>
          <w:tcPr>
            <w:tcW w:w="1291" w:type="dxa"/>
            <w:vAlign w:val="center"/>
          </w:tcPr>
          <w:p w:rsidR="0039489D" w:rsidRDefault="00D3456C">
            <w:pPr>
              <w:jc w:val="right"/>
            </w:pPr>
            <w:r>
              <w:rPr>
                <w:rFonts w:eastAsiaTheme="minorEastAsia"/>
                <w:color w:val="000000" w:themeColor="text1"/>
                <w:szCs w:val="21"/>
              </w:rPr>
              <w:t>3.91%</w:t>
            </w:r>
          </w:p>
        </w:tc>
        <w:tc>
          <w:tcPr>
            <w:tcW w:w="1291" w:type="dxa"/>
            <w:vAlign w:val="center"/>
          </w:tcPr>
          <w:p w:rsidR="0039489D" w:rsidRDefault="00D3456C">
            <w:pPr>
              <w:jc w:val="right"/>
            </w:pPr>
            <w:r>
              <w:rPr>
                <w:rFonts w:eastAsiaTheme="minorEastAsia"/>
                <w:color w:val="000000" w:themeColor="text1"/>
                <w:szCs w:val="21"/>
              </w:rPr>
              <w:t>0.73%</w:t>
            </w:r>
          </w:p>
        </w:tc>
        <w:tc>
          <w:tcPr>
            <w:tcW w:w="1291" w:type="dxa"/>
            <w:vAlign w:val="center"/>
          </w:tcPr>
          <w:p w:rsidR="0039489D" w:rsidRDefault="00D3456C">
            <w:pPr>
              <w:jc w:val="right"/>
            </w:pPr>
            <w:r>
              <w:rPr>
                <w:rFonts w:eastAsiaTheme="minorEastAsia"/>
                <w:color w:val="000000" w:themeColor="text1"/>
                <w:szCs w:val="21"/>
              </w:rPr>
              <w:t>3.37%</w:t>
            </w:r>
          </w:p>
        </w:tc>
        <w:tc>
          <w:tcPr>
            <w:tcW w:w="1291" w:type="dxa"/>
            <w:vAlign w:val="center"/>
          </w:tcPr>
          <w:p w:rsidR="0039489D" w:rsidRDefault="00D3456C">
            <w:pPr>
              <w:jc w:val="right"/>
            </w:pPr>
            <w:r>
              <w:rPr>
                <w:rFonts w:eastAsiaTheme="minorEastAsia"/>
                <w:color w:val="000000" w:themeColor="text1"/>
                <w:szCs w:val="21"/>
              </w:rPr>
              <w:t>0.21%</w:t>
            </w:r>
          </w:p>
        </w:tc>
      </w:tr>
      <w:tr w:rsidR="0039489D">
        <w:tc>
          <w:tcPr>
            <w:tcW w:w="1290" w:type="dxa"/>
            <w:vAlign w:val="center"/>
          </w:tcPr>
          <w:p w:rsidR="0039489D" w:rsidRDefault="00D3456C">
            <w:pPr>
              <w:jc w:val="left"/>
            </w:pPr>
            <w:r>
              <w:rPr>
                <w:rFonts w:eastAsiaTheme="minorEastAsia"/>
                <w:color w:val="000000" w:themeColor="text1"/>
                <w:szCs w:val="21"/>
              </w:rPr>
              <w:t>过去六个月</w:t>
            </w:r>
          </w:p>
        </w:tc>
        <w:tc>
          <w:tcPr>
            <w:tcW w:w="1291" w:type="dxa"/>
            <w:vAlign w:val="center"/>
          </w:tcPr>
          <w:p w:rsidR="0039489D" w:rsidRDefault="00D3456C">
            <w:pPr>
              <w:jc w:val="right"/>
            </w:pPr>
            <w:r>
              <w:rPr>
                <w:rFonts w:eastAsiaTheme="minorEastAsia"/>
                <w:color w:val="000000" w:themeColor="text1"/>
                <w:szCs w:val="21"/>
              </w:rPr>
              <w:t>7.63%</w:t>
            </w:r>
          </w:p>
        </w:tc>
        <w:tc>
          <w:tcPr>
            <w:tcW w:w="1291" w:type="dxa"/>
            <w:vAlign w:val="center"/>
          </w:tcPr>
          <w:p w:rsidR="0039489D" w:rsidRDefault="00D3456C">
            <w:pPr>
              <w:jc w:val="right"/>
            </w:pPr>
            <w:r>
              <w:rPr>
                <w:rFonts w:eastAsiaTheme="minorEastAsia"/>
                <w:color w:val="000000" w:themeColor="text1"/>
                <w:szCs w:val="21"/>
              </w:rPr>
              <w:t>1.11%</w:t>
            </w:r>
          </w:p>
        </w:tc>
        <w:tc>
          <w:tcPr>
            <w:tcW w:w="1291" w:type="dxa"/>
            <w:vAlign w:val="center"/>
          </w:tcPr>
          <w:p w:rsidR="0039489D" w:rsidRDefault="00D3456C">
            <w:pPr>
              <w:jc w:val="right"/>
            </w:pPr>
            <w:r>
              <w:rPr>
                <w:rFonts w:eastAsiaTheme="minorEastAsia"/>
                <w:color w:val="000000" w:themeColor="text1"/>
                <w:szCs w:val="21"/>
              </w:rPr>
              <w:t>5.42%</w:t>
            </w:r>
          </w:p>
        </w:tc>
        <w:tc>
          <w:tcPr>
            <w:tcW w:w="1291" w:type="dxa"/>
            <w:vAlign w:val="center"/>
          </w:tcPr>
          <w:p w:rsidR="0039489D" w:rsidRDefault="00D3456C">
            <w:pPr>
              <w:jc w:val="right"/>
            </w:pPr>
            <w:r>
              <w:rPr>
                <w:rFonts w:eastAsiaTheme="minorEastAsia"/>
                <w:color w:val="000000" w:themeColor="text1"/>
                <w:szCs w:val="21"/>
              </w:rPr>
              <w:t>0.93%</w:t>
            </w:r>
          </w:p>
        </w:tc>
        <w:tc>
          <w:tcPr>
            <w:tcW w:w="1291" w:type="dxa"/>
            <w:vAlign w:val="center"/>
          </w:tcPr>
          <w:p w:rsidR="0039489D" w:rsidRDefault="00D3456C">
            <w:pPr>
              <w:jc w:val="right"/>
            </w:pPr>
            <w:r>
              <w:rPr>
                <w:rFonts w:eastAsiaTheme="minorEastAsia"/>
                <w:color w:val="000000" w:themeColor="text1"/>
                <w:szCs w:val="21"/>
              </w:rPr>
              <w:t>2.21%</w:t>
            </w:r>
          </w:p>
        </w:tc>
        <w:tc>
          <w:tcPr>
            <w:tcW w:w="1291" w:type="dxa"/>
            <w:vAlign w:val="center"/>
          </w:tcPr>
          <w:p w:rsidR="0039489D" w:rsidRDefault="00D3456C">
            <w:pPr>
              <w:jc w:val="right"/>
            </w:pPr>
            <w:r>
              <w:rPr>
                <w:rFonts w:eastAsiaTheme="minorEastAsia"/>
                <w:color w:val="000000" w:themeColor="text1"/>
                <w:szCs w:val="21"/>
              </w:rPr>
              <w:t>0.18%</w:t>
            </w:r>
          </w:p>
        </w:tc>
      </w:tr>
      <w:tr w:rsidR="0039489D">
        <w:tc>
          <w:tcPr>
            <w:tcW w:w="1290" w:type="dxa"/>
            <w:vAlign w:val="center"/>
          </w:tcPr>
          <w:p w:rsidR="0039489D" w:rsidRDefault="00D3456C">
            <w:pPr>
              <w:jc w:val="left"/>
            </w:pPr>
            <w:r>
              <w:rPr>
                <w:rFonts w:eastAsiaTheme="minorEastAsia"/>
                <w:color w:val="000000" w:themeColor="text1"/>
                <w:szCs w:val="21"/>
              </w:rPr>
              <w:t>过去一年</w:t>
            </w:r>
          </w:p>
        </w:tc>
        <w:tc>
          <w:tcPr>
            <w:tcW w:w="1291" w:type="dxa"/>
            <w:vAlign w:val="center"/>
          </w:tcPr>
          <w:p w:rsidR="0039489D" w:rsidRDefault="00D3456C">
            <w:pPr>
              <w:jc w:val="right"/>
            </w:pPr>
            <w:r>
              <w:rPr>
                <w:rFonts w:eastAsiaTheme="minorEastAsia"/>
                <w:color w:val="000000" w:themeColor="text1"/>
                <w:szCs w:val="21"/>
              </w:rPr>
              <w:t>-2.27%</w:t>
            </w:r>
          </w:p>
        </w:tc>
        <w:tc>
          <w:tcPr>
            <w:tcW w:w="1291" w:type="dxa"/>
            <w:vAlign w:val="center"/>
          </w:tcPr>
          <w:p w:rsidR="0039489D" w:rsidRDefault="00D3456C">
            <w:pPr>
              <w:jc w:val="right"/>
            </w:pPr>
            <w:r>
              <w:rPr>
                <w:rFonts w:eastAsiaTheme="minorEastAsia"/>
                <w:color w:val="000000" w:themeColor="text1"/>
                <w:szCs w:val="21"/>
              </w:rPr>
              <w:t>1.28%</w:t>
            </w:r>
          </w:p>
        </w:tc>
        <w:tc>
          <w:tcPr>
            <w:tcW w:w="1291" w:type="dxa"/>
            <w:vAlign w:val="center"/>
          </w:tcPr>
          <w:p w:rsidR="0039489D" w:rsidRDefault="00D3456C">
            <w:pPr>
              <w:jc w:val="right"/>
            </w:pPr>
            <w:r>
              <w:rPr>
                <w:rFonts w:eastAsiaTheme="minorEastAsia"/>
                <w:color w:val="000000" w:themeColor="text1"/>
                <w:szCs w:val="21"/>
              </w:rPr>
              <w:t>-3.41%</w:t>
            </w:r>
          </w:p>
        </w:tc>
        <w:tc>
          <w:tcPr>
            <w:tcW w:w="1291" w:type="dxa"/>
            <w:vAlign w:val="center"/>
          </w:tcPr>
          <w:p w:rsidR="0039489D" w:rsidRDefault="00D3456C">
            <w:pPr>
              <w:jc w:val="right"/>
            </w:pPr>
            <w:r>
              <w:rPr>
                <w:rFonts w:eastAsiaTheme="minorEastAsia"/>
                <w:color w:val="000000" w:themeColor="text1"/>
                <w:szCs w:val="21"/>
              </w:rPr>
              <w:t>0.97%</w:t>
            </w:r>
          </w:p>
        </w:tc>
        <w:tc>
          <w:tcPr>
            <w:tcW w:w="1291" w:type="dxa"/>
            <w:vAlign w:val="center"/>
          </w:tcPr>
          <w:p w:rsidR="0039489D" w:rsidRDefault="00D3456C">
            <w:pPr>
              <w:jc w:val="right"/>
            </w:pPr>
            <w:r>
              <w:rPr>
                <w:rFonts w:eastAsiaTheme="minorEastAsia"/>
                <w:color w:val="000000" w:themeColor="text1"/>
                <w:szCs w:val="21"/>
              </w:rPr>
              <w:t>1.14%</w:t>
            </w:r>
          </w:p>
        </w:tc>
        <w:tc>
          <w:tcPr>
            <w:tcW w:w="1291" w:type="dxa"/>
            <w:vAlign w:val="center"/>
          </w:tcPr>
          <w:p w:rsidR="0039489D" w:rsidRDefault="00D3456C">
            <w:pPr>
              <w:jc w:val="right"/>
            </w:pPr>
            <w:r>
              <w:rPr>
                <w:rFonts w:eastAsiaTheme="minorEastAsia"/>
                <w:color w:val="000000" w:themeColor="text1"/>
                <w:szCs w:val="21"/>
              </w:rPr>
              <w:t>0.31%</w:t>
            </w:r>
          </w:p>
        </w:tc>
      </w:tr>
      <w:tr w:rsidR="0039489D">
        <w:tc>
          <w:tcPr>
            <w:tcW w:w="1290" w:type="dxa"/>
            <w:vAlign w:val="center"/>
          </w:tcPr>
          <w:p w:rsidR="0039489D" w:rsidRDefault="00D3456C">
            <w:pPr>
              <w:jc w:val="left"/>
            </w:pPr>
            <w:r>
              <w:rPr>
                <w:rFonts w:eastAsiaTheme="minorEastAsia"/>
                <w:color w:val="000000" w:themeColor="text1"/>
                <w:szCs w:val="21"/>
              </w:rPr>
              <w:t>过去三年</w:t>
            </w:r>
          </w:p>
        </w:tc>
        <w:tc>
          <w:tcPr>
            <w:tcW w:w="1291" w:type="dxa"/>
            <w:vAlign w:val="center"/>
          </w:tcPr>
          <w:p w:rsidR="0039489D" w:rsidRDefault="00D3456C">
            <w:pPr>
              <w:jc w:val="right"/>
            </w:pPr>
            <w:r>
              <w:rPr>
                <w:rFonts w:eastAsiaTheme="minorEastAsia"/>
                <w:color w:val="000000" w:themeColor="text1"/>
                <w:szCs w:val="21"/>
              </w:rPr>
              <w:t>43.17%</w:t>
            </w:r>
          </w:p>
        </w:tc>
        <w:tc>
          <w:tcPr>
            <w:tcW w:w="1291" w:type="dxa"/>
            <w:vAlign w:val="center"/>
          </w:tcPr>
          <w:p w:rsidR="0039489D" w:rsidRDefault="00D3456C">
            <w:pPr>
              <w:jc w:val="right"/>
            </w:pPr>
            <w:r>
              <w:rPr>
                <w:rFonts w:eastAsiaTheme="minorEastAsia"/>
                <w:color w:val="000000" w:themeColor="text1"/>
                <w:szCs w:val="21"/>
              </w:rPr>
              <w:t>1.22%</w:t>
            </w:r>
          </w:p>
        </w:tc>
        <w:tc>
          <w:tcPr>
            <w:tcW w:w="1291" w:type="dxa"/>
            <w:vAlign w:val="center"/>
          </w:tcPr>
          <w:p w:rsidR="0039489D" w:rsidRDefault="00D3456C">
            <w:pPr>
              <w:jc w:val="right"/>
            </w:pPr>
            <w:r>
              <w:rPr>
                <w:rFonts w:eastAsiaTheme="minorEastAsia"/>
                <w:color w:val="000000" w:themeColor="text1"/>
                <w:szCs w:val="21"/>
              </w:rPr>
              <w:t>8.35%</w:t>
            </w:r>
          </w:p>
        </w:tc>
        <w:tc>
          <w:tcPr>
            <w:tcW w:w="1291" w:type="dxa"/>
            <w:vAlign w:val="center"/>
          </w:tcPr>
          <w:p w:rsidR="0039489D" w:rsidRDefault="00D3456C">
            <w:pPr>
              <w:jc w:val="right"/>
            </w:pPr>
            <w:r>
              <w:rPr>
                <w:rFonts w:eastAsiaTheme="minorEastAsia"/>
                <w:color w:val="000000" w:themeColor="text1"/>
                <w:szCs w:val="21"/>
              </w:rPr>
              <w:t>1.02%</w:t>
            </w:r>
          </w:p>
        </w:tc>
        <w:tc>
          <w:tcPr>
            <w:tcW w:w="1291" w:type="dxa"/>
            <w:vAlign w:val="center"/>
          </w:tcPr>
          <w:p w:rsidR="0039489D" w:rsidRDefault="00D3456C">
            <w:pPr>
              <w:jc w:val="right"/>
            </w:pPr>
            <w:r>
              <w:rPr>
                <w:rFonts w:eastAsiaTheme="minorEastAsia"/>
                <w:color w:val="000000" w:themeColor="text1"/>
                <w:szCs w:val="21"/>
              </w:rPr>
              <w:t>34.82%</w:t>
            </w:r>
          </w:p>
        </w:tc>
        <w:tc>
          <w:tcPr>
            <w:tcW w:w="1291" w:type="dxa"/>
            <w:vAlign w:val="center"/>
          </w:tcPr>
          <w:p w:rsidR="0039489D" w:rsidRDefault="00D3456C">
            <w:pPr>
              <w:jc w:val="right"/>
            </w:pPr>
            <w:r>
              <w:rPr>
                <w:rFonts w:eastAsiaTheme="minorEastAsia"/>
                <w:color w:val="000000" w:themeColor="text1"/>
                <w:szCs w:val="21"/>
              </w:rPr>
              <w:t>0.20%</w:t>
            </w:r>
          </w:p>
        </w:tc>
      </w:tr>
      <w:tr w:rsidR="0039489D">
        <w:tc>
          <w:tcPr>
            <w:tcW w:w="1290" w:type="dxa"/>
            <w:vAlign w:val="center"/>
          </w:tcPr>
          <w:p w:rsidR="0039489D" w:rsidRDefault="00D3456C">
            <w:pPr>
              <w:jc w:val="left"/>
            </w:pPr>
            <w:r>
              <w:rPr>
                <w:rFonts w:eastAsiaTheme="minorEastAsia"/>
                <w:color w:val="000000" w:themeColor="text1"/>
                <w:szCs w:val="21"/>
              </w:rPr>
              <w:t>过去五年</w:t>
            </w:r>
          </w:p>
        </w:tc>
        <w:tc>
          <w:tcPr>
            <w:tcW w:w="1291" w:type="dxa"/>
            <w:vAlign w:val="center"/>
          </w:tcPr>
          <w:p w:rsidR="0039489D" w:rsidRDefault="00D3456C">
            <w:pPr>
              <w:jc w:val="right"/>
            </w:pPr>
            <w:r>
              <w:rPr>
                <w:rFonts w:eastAsiaTheme="minorEastAsia"/>
                <w:color w:val="000000" w:themeColor="text1"/>
                <w:szCs w:val="21"/>
              </w:rPr>
              <w:t>16.10%</w:t>
            </w:r>
          </w:p>
        </w:tc>
        <w:tc>
          <w:tcPr>
            <w:tcW w:w="1291" w:type="dxa"/>
            <w:vAlign w:val="center"/>
          </w:tcPr>
          <w:p w:rsidR="0039489D" w:rsidRDefault="00D3456C">
            <w:pPr>
              <w:jc w:val="right"/>
            </w:pPr>
            <w:r>
              <w:rPr>
                <w:rFonts w:eastAsiaTheme="minorEastAsia"/>
                <w:color w:val="000000" w:themeColor="text1"/>
                <w:szCs w:val="21"/>
              </w:rPr>
              <w:t>1.36%</w:t>
            </w:r>
          </w:p>
        </w:tc>
        <w:tc>
          <w:tcPr>
            <w:tcW w:w="1291" w:type="dxa"/>
            <w:vAlign w:val="center"/>
          </w:tcPr>
          <w:p w:rsidR="0039489D" w:rsidRDefault="00D3456C">
            <w:pPr>
              <w:jc w:val="right"/>
            </w:pPr>
            <w:r>
              <w:rPr>
                <w:rFonts w:eastAsiaTheme="minorEastAsia"/>
                <w:color w:val="000000" w:themeColor="text1"/>
                <w:szCs w:val="21"/>
              </w:rPr>
              <w:t>4.57%</w:t>
            </w:r>
          </w:p>
        </w:tc>
        <w:tc>
          <w:tcPr>
            <w:tcW w:w="1291" w:type="dxa"/>
            <w:vAlign w:val="center"/>
          </w:tcPr>
          <w:p w:rsidR="0039489D" w:rsidRDefault="00D3456C">
            <w:pPr>
              <w:jc w:val="right"/>
            </w:pPr>
            <w:r>
              <w:rPr>
                <w:rFonts w:eastAsiaTheme="minorEastAsia"/>
                <w:color w:val="000000" w:themeColor="text1"/>
                <w:szCs w:val="21"/>
              </w:rPr>
              <w:t>1.09%</w:t>
            </w:r>
          </w:p>
        </w:tc>
        <w:tc>
          <w:tcPr>
            <w:tcW w:w="1291" w:type="dxa"/>
            <w:vAlign w:val="center"/>
          </w:tcPr>
          <w:p w:rsidR="0039489D" w:rsidRDefault="00D3456C">
            <w:pPr>
              <w:jc w:val="right"/>
            </w:pPr>
            <w:r>
              <w:rPr>
                <w:rFonts w:eastAsiaTheme="minorEastAsia"/>
                <w:color w:val="000000" w:themeColor="text1"/>
                <w:szCs w:val="21"/>
              </w:rPr>
              <w:t>11.53%</w:t>
            </w:r>
          </w:p>
        </w:tc>
        <w:tc>
          <w:tcPr>
            <w:tcW w:w="1291" w:type="dxa"/>
            <w:vAlign w:val="center"/>
          </w:tcPr>
          <w:p w:rsidR="0039489D" w:rsidRDefault="00D3456C">
            <w:pPr>
              <w:jc w:val="right"/>
            </w:pPr>
            <w:r>
              <w:rPr>
                <w:rFonts w:eastAsiaTheme="minorEastAsia"/>
                <w:color w:val="000000" w:themeColor="text1"/>
                <w:szCs w:val="21"/>
              </w:rPr>
              <w:t>0.27%</w:t>
            </w:r>
          </w:p>
        </w:tc>
      </w:tr>
      <w:tr w:rsidR="0039489D">
        <w:tc>
          <w:tcPr>
            <w:tcW w:w="1290" w:type="dxa"/>
            <w:vAlign w:val="center"/>
          </w:tcPr>
          <w:p w:rsidR="0039489D" w:rsidRDefault="00D3456C">
            <w:pPr>
              <w:jc w:val="left"/>
            </w:pPr>
            <w:r>
              <w:rPr>
                <w:rFonts w:eastAsiaTheme="minorEastAsia"/>
                <w:color w:val="000000" w:themeColor="text1"/>
                <w:szCs w:val="21"/>
              </w:rPr>
              <w:t>自基金合同生效起至今</w:t>
            </w:r>
          </w:p>
        </w:tc>
        <w:tc>
          <w:tcPr>
            <w:tcW w:w="1291" w:type="dxa"/>
            <w:vAlign w:val="center"/>
          </w:tcPr>
          <w:p w:rsidR="0039489D" w:rsidRDefault="00D3456C">
            <w:pPr>
              <w:jc w:val="right"/>
            </w:pPr>
            <w:r>
              <w:rPr>
                <w:rFonts w:eastAsiaTheme="minorEastAsia"/>
                <w:color w:val="000000" w:themeColor="text1"/>
                <w:szCs w:val="21"/>
              </w:rPr>
              <w:t>179.85%</w:t>
            </w:r>
          </w:p>
        </w:tc>
        <w:tc>
          <w:tcPr>
            <w:tcW w:w="1291" w:type="dxa"/>
            <w:vAlign w:val="center"/>
          </w:tcPr>
          <w:p w:rsidR="0039489D" w:rsidRDefault="00D3456C">
            <w:pPr>
              <w:jc w:val="right"/>
            </w:pPr>
            <w:r>
              <w:rPr>
                <w:rFonts w:eastAsiaTheme="minorEastAsia"/>
                <w:color w:val="000000" w:themeColor="text1"/>
                <w:szCs w:val="21"/>
              </w:rPr>
              <w:t>1.57%</w:t>
            </w:r>
          </w:p>
        </w:tc>
        <w:tc>
          <w:tcPr>
            <w:tcW w:w="1291" w:type="dxa"/>
            <w:vAlign w:val="center"/>
          </w:tcPr>
          <w:p w:rsidR="0039489D" w:rsidRDefault="00D3456C">
            <w:pPr>
              <w:jc w:val="right"/>
            </w:pPr>
            <w:r>
              <w:rPr>
                <w:rFonts w:eastAsiaTheme="minorEastAsia"/>
                <w:color w:val="000000" w:themeColor="text1"/>
                <w:szCs w:val="21"/>
              </w:rPr>
              <w:t>72.81%</w:t>
            </w:r>
          </w:p>
        </w:tc>
        <w:tc>
          <w:tcPr>
            <w:tcW w:w="1291" w:type="dxa"/>
            <w:vAlign w:val="center"/>
          </w:tcPr>
          <w:p w:rsidR="0039489D" w:rsidRDefault="00D3456C">
            <w:pPr>
              <w:jc w:val="right"/>
            </w:pPr>
            <w:r>
              <w:rPr>
                <w:rFonts w:eastAsiaTheme="minorEastAsia"/>
                <w:color w:val="000000" w:themeColor="text1"/>
                <w:szCs w:val="21"/>
              </w:rPr>
              <w:t>1.21%</w:t>
            </w:r>
          </w:p>
        </w:tc>
        <w:tc>
          <w:tcPr>
            <w:tcW w:w="1291" w:type="dxa"/>
            <w:vAlign w:val="center"/>
          </w:tcPr>
          <w:p w:rsidR="0039489D" w:rsidRDefault="00D3456C">
            <w:pPr>
              <w:jc w:val="right"/>
            </w:pPr>
            <w:r>
              <w:rPr>
                <w:rFonts w:eastAsiaTheme="minorEastAsia"/>
                <w:color w:val="000000" w:themeColor="text1"/>
                <w:szCs w:val="21"/>
              </w:rPr>
              <w:t>107.04%</w:t>
            </w:r>
          </w:p>
        </w:tc>
        <w:tc>
          <w:tcPr>
            <w:tcW w:w="1291" w:type="dxa"/>
            <w:vAlign w:val="center"/>
          </w:tcPr>
          <w:p w:rsidR="0039489D" w:rsidRDefault="00D3456C">
            <w:pPr>
              <w:jc w:val="right"/>
            </w:pPr>
            <w:r>
              <w:rPr>
                <w:rFonts w:eastAsiaTheme="minorEastAsia"/>
                <w:color w:val="000000" w:themeColor="text1"/>
                <w:szCs w:val="21"/>
              </w:rPr>
              <w:t>0.36%</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摩根核心成长股票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9489D">
        <w:tc>
          <w:tcPr>
            <w:tcW w:w="1290" w:type="dxa"/>
            <w:vAlign w:val="center"/>
          </w:tcPr>
          <w:p w:rsidR="0039489D" w:rsidRDefault="00D3456C">
            <w:pPr>
              <w:jc w:val="left"/>
            </w:pPr>
            <w:r>
              <w:rPr>
                <w:rFonts w:eastAsiaTheme="minorEastAsia"/>
                <w:color w:val="000000" w:themeColor="text1"/>
                <w:szCs w:val="21"/>
              </w:rPr>
              <w:t>过去三个月</w:t>
            </w:r>
          </w:p>
        </w:tc>
        <w:tc>
          <w:tcPr>
            <w:tcW w:w="1291" w:type="dxa"/>
            <w:vAlign w:val="center"/>
          </w:tcPr>
          <w:p w:rsidR="0039489D" w:rsidRDefault="00D3456C">
            <w:pPr>
              <w:jc w:val="right"/>
            </w:pPr>
            <w:r>
              <w:rPr>
                <w:rFonts w:eastAsiaTheme="minorEastAsia"/>
                <w:color w:val="000000" w:themeColor="text1"/>
                <w:szCs w:val="21"/>
              </w:rPr>
              <w:t>7.15%</w:t>
            </w:r>
          </w:p>
        </w:tc>
        <w:tc>
          <w:tcPr>
            <w:tcW w:w="1291" w:type="dxa"/>
            <w:vAlign w:val="center"/>
          </w:tcPr>
          <w:p w:rsidR="0039489D" w:rsidRDefault="00D3456C">
            <w:pPr>
              <w:jc w:val="right"/>
            </w:pPr>
            <w:r>
              <w:rPr>
                <w:rFonts w:eastAsiaTheme="minorEastAsia"/>
                <w:color w:val="000000" w:themeColor="text1"/>
                <w:szCs w:val="21"/>
              </w:rPr>
              <w:t>0.94%</w:t>
            </w:r>
          </w:p>
        </w:tc>
        <w:tc>
          <w:tcPr>
            <w:tcW w:w="1291" w:type="dxa"/>
            <w:vAlign w:val="center"/>
          </w:tcPr>
          <w:p w:rsidR="0039489D" w:rsidRDefault="00D3456C">
            <w:pPr>
              <w:jc w:val="right"/>
            </w:pPr>
            <w:r>
              <w:rPr>
                <w:rFonts w:eastAsiaTheme="minorEastAsia"/>
                <w:color w:val="000000" w:themeColor="text1"/>
                <w:szCs w:val="21"/>
              </w:rPr>
              <w:t>3.91%</w:t>
            </w:r>
          </w:p>
        </w:tc>
        <w:tc>
          <w:tcPr>
            <w:tcW w:w="1291" w:type="dxa"/>
            <w:vAlign w:val="center"/>
          </w:tcPr>
          <w:p w:rsidR="0039489D" w:rsidRDefault="00D3456C">
            <w:pPr>
              <w:jc w:val="right"/>
            </w:pPr>
            <w:r>
              <w:rPr>
                <w:rFonts w:eastAsiaTheme="minorEastAsia"/>
                <w:color w:val="000000" w:themeColor="text1"/>
                <w:szCs w:val="21"/>
              </w:rPr>
              <w:t>0.73%</w:t>
            </w:r>
          </w:p>
        </w:tc>
        <w:tc>
          <w:tcPr>
            <w:tcW w:w="1291" w:type="dxa"/>
            <w:vAlign w:val="center"/>
          </w:tcPr>
          <w:p w:rsidR="0039489D" w:rsidRDefault="00D3456C">
            <w:pPr>
              <w:jc w:val="right"/>
            </w:pPr>
            <w:r>
              <w:rPr>
                <w:rFonts w:eastAsiaTheme="minorEastAsia"/>
                <w:color w:val="000000" w:themeColor="text1"/>
                <w:szCs w:val="21"/>
              </w:rPr>
              <w:t>3.24%</w:t>
            </w:r>
          </w:p>
        </w:tc>
        <w:tc>
          <w:tcPr>
            <w:tcW w:w="1291" w:type="dxa"/>
            <w:vAlign w:val="center"/>
          </w:tcPr>
          <w:p w:rsidR="0039489D" w:rsidRDefault="00D3456C">
            <w:pPr>
              <w:jc w:val="right"/>
            </w:pPr>
            <w:r>
              <w:rPr>
                <w:rFonts w:eastAsiaTheme="minorEastAsia"/>
                <w:color w:val="000000" w:themeColor="text1"/>
                <w:szCs w:val="21"/>
              </w:rPr>
              <w:t>0.21%</w:t>
            </w:r>
          </w:p>
        </w:tc>
      </w:tr>
      <w:tr w:rsidR="0039489D">
        <w:tc>
          <w:tcPr>
            <w:tcW w:w="1290" w:type="dxa"/>
            <w:vAlign w:val="center"/>
          </w:tcPr>
          <w:p w:rsidR="0039489D" w:rsidRDefault="00D3456C">
            <w:pPr>
              <w:jc w:val="left"/>
            </w:pPr>
            <w:r>
              <w:rPr>
                <w:rFonts w:eastAsiaTheme="minorEastAsia"/>
                <w:color w:val="000000" w:themeColor="text1"/>
                <w:szCs w:val="21"/>
              </w:rPr>
              <w:t>过去六个月</w:t>
            </w:r>
          </w:p>
        </w:tc>
        <w:tc>
          <w:tcPr>
            <w:tcW w:w="1291" w:type="dxa"/>
            <w:vAlign w:val="center"/>
          </w:tcPr>
          <w:p w:rsidR="0039489D" w:rsidRDefault="00D3456C">
            <w:pPr>
              <w:jc w:val="right"/>
            </w:pPr>
            <w:r>
              <w:rPr>
                <w:rFonts w:eastAsiaTheme="minorEastAsia"/>
                <w:color w:val="000000" w:themeColor="text1"/>
                <w:szCs w:val="21"/>
              </w:rPr>
              <w:t>7.37%</w:t>
            </w:r>
          </w:p>
        </w:tc>
        <w:tc>
          <w:tcPr>
            <w:tcW w:w="1291" w:type="dxa"/>
            <w:vAlign w:val="center"/>
          </w:tcPr>
          <w:p w:rsidR="0039489D" w:rsidRDefault="00D3456C">
            <w:pPr>
              <w:jc w:val="right"/>
            </w:pPr>
            <w:r>
              <w:rPr>
                <w:rFonts w:eastAsiaTheme="minorEastAsia"/>
                <w:color w:val="000000" w:themeColor="text1"/>
                <w:szCs w:val="21"/>
              </w:rPr>
              <w:t>1.11%</w:t>
            </w:r>
          </w:p>
        </w:tc>
        <w:tc>
          <w:tcPr>
            <w:tcW w:w="1291" w:type="dxa"/>
            <w:vAlign w:val="center"/>
          </w:tcPr>
          <w:p w:rsidR="0039489D" w:rsidRDefault="00D3456C">
            <w:pPr>
              <w:jc w:val="right"/>
            </w:pPr>
            <w:r>
              <w:rPr>
                <w:rFonts w:eastAsiaTheme="minorEastAsia"/>
                <w:color w:val="000000" w:themeColor="text1"/>
                <w:szCs w:val="21"/>
              </w:rPr>
              <w:t>5.42%</w:t>
            </w:r>
          </w:p>
        </w:tc>
        <w:tc>
          <w:tcPr>
            <w:tcW w:w="1291" w:type="dxa"/>
            <w:vAlign w:val="center"/>
          </w:tcPr>
          <w:p w:rsidR="0039489D" w:rsidRDefault="00D3456C">
            <w:pPr>
              <w:jc w:val="right"/>
            </w:pPr>
            <w:r>
              <w:rPr>
                <w:rFonts w:eastAsiaTheme="minorEastAsia"/>
                <w:color w:val="000000" w:themeColor="text1"/>
                <w:szCs w:val="21"/>
              </w:rPr>
              <w:t>0.93%</w:t>
            </w:r>
          </w:p>
        </w:tc>
        <w:tc>
          <w:tcPr>
            <w:tcW w:w="1291" w:type="dxa"/>
            <w:vAlign w:val="center"/>
          </w:tcPr>
          <w:p w:rsidR="0039489D" w:rsidRDefault="00D3456C">
            <w:pPr>
              <w:jc w:val="right"/>
            </w:pPr>
            <w:r>
              <w:rPr>
                <w:rFonts w:eastAsiaTheme="minorEastAsia"/>
                <w:color w:val="000000" w:themeColor="text1"/>
                <w:szCs w:val="21"/>
              </w:rPr>
              <w:t>1.95%</w:t>
            </w:r>
          </w:p>
        </w:tc>
        <w:tc>
          <w:tcPr>
            <w:tcW w:w="1291" w:type="dxa"/>
            <w:vAlign w:val="center"/>
          </w:tcPr>
          <w:p w:rsidR="0039489D" w:rsidRDefault="00D3456C">
            <w:pPr>
              <w:jc w:val="right"/>
            </w:pPr>
            <w:r>
              <w:rPr>
                <w:rFonts w:eastAsiaTheme="minorEastAsia"/>
                <w:color w:val="000000" w:themeColor="text1"/>
                <w:szCs w:val="21"/>
              </w:rPr>
              <w:t>0.18%</w:t>
            </w:r>
          </w:p>
        </w:tc>
      </w:tr>
      <w:tr w:rsidR="0039489D">
        <w:tc>
          <w:tcPr>
            <w:tcW w:w="1290" w:type="dxa"/>
            <w:vAlign w:val="center"/>
          </w:tcPr>
          <w:p w:rsidR="0039489D" w:rsidRDefault="00D3456C">
            <w:pPr>
              <w:jc w:val="left"/>
            </w:pPr>
            <w:r>
              <w:rPr>
                <w:rFonts w:eastAsiaTheme="minorEastAsia"/>
                <w:color w:val="000000" w:themeColor="text1"/>
                <w:szCs w:val="21"/>
              </w:rPr>
              <w:t>过去一年</w:t>
            </w:r>
          </w:p>
        </w:tc>
        <w:tc>
          <w:tcPr>
            <w:tcW w:w="1291" w:type="dxa"/>
            <w:vAlign w:val="center"/>
          </w:tcPr>
          <w:p w:rsidR="0039489D" w:rsidRDefault="00D3456C">
            <w:pPr>
              <w:jc w:val="right"/>
            </w:pPr>
            <w:r>
              <w:rPr>
                <w:rFonts w:eastAsiaTheme="minorEastAsia"/>
                <w:color w:val="000000" w:themeColor="text1"/>
                <w:szCs w:val="21"/>
              </w:rPr>
              <w:t>-2.76%</w:t>
            </w:r>
          </w:p>
        </w:tc>
        <w:tc>
          <w:tcPr>
            <w:tcW w:w="1291" w:type="dxa"/>
            <w:vAlign w:val="center"/>
          </w:tcPr>
          <w:p w:rsidR="0039489D" w:rsidRDefault="00D3456C">
            <w:pPr>
              <w:jc w:val="right"/>
            </w:pPr>
            <w:r>
              <w:rPr>
                <w:rFonts w:eastAsiaTheme="minorEastAsia"/>
                <w:color w:val="000000" w:themeColor="text1"/>
                <w:szCs w:val="21"/>
              </w:rPr>
              <w:t>1.28%</w:t>
            </w:r>
          </w:p>
        </w:tc>
        <w:tc>
          <w:tcPr>
            <w:tcW w:w="1291" w:type="dxa"/>
            <w:vAlign w:val="center"/>
          </w:tcPr>
          <w:p w:rsidR="0039489D" w:rsidRDefault="00D3456C">
            <w:pPr>
              <w:jc w:val="right"/>
            </w:pPr>
            <w:r>
              <w:rPr>
                <w:rFonts w:eastAsiaTheme="minorEastAsia"/>
                <w:color w:val="000000" w:themeColor="text1"/>
                <w:szCs w:val="21"/>
              </w:rPr>
              <w:t>-3.41%</w:t>
            </w:r>
          </w:p>
        </w:tc>
        <w:tc>
          <w:tcPr>
            <w:tcW w:w="1291" w:type="dxa"/>
            <w:vAlign w:val="center"/>
          </w:tcPr>
          <w:p w:rsidR="0039489D" w:rsidRDefault="00D3456C">
            <w:pPr>
              <w:jc w:val="right"/>
            </w:pPr>
            <w:r>
              <w:rPr>
                <w:rFonts w:eastAsiaTheme="minorEastAsia"/>
                <w:color w:val="000000" w:themeColor="text1"/>
                <w:szCs w:val="21"/>
              </w:rPr>
              <w:t>0.97%</w:t>
            </w:r>
          </w:p>
        </w:tc>
        <w:tc>
          <w:tcPr>
            <w:tcW w:w="1291" w:type="dxa"/>
            <w:vAlign w:val="center"/>
          </w:tcPr>
          <w:p w:rsidR="0039489D" w:rsidRDefault="00D3456C">
            <w:pPr>
              <w:jc w:val="right"/>
            </w:pPr>
            <w:r>
              <w:rPr>
                <w:rFonts w:eastAsiaTheme="minorEastAsia"/>
                <w:color w:val="000000" w:themeColor="text1"/>
                <w:szCs w:val="21"/>
              </w:rPr>
              <w:t>0.65%</w:t>
            </w:r>
          </w:p>
        </w:tc>
        <w:tc>
          <w:tcPr>
            <w:tcW w:w="1291" w:type="dxa"/>
            <w:vAlign w:val="center"/>
          </w:tcPr>
          <w:p w:rsidR="0039489D" w:rsidRDefault="00D3456C">
            <w:pPr>
              <w:jc w:val="right"/>
            </w:pPr>
            <w:r>
              <w:rPr>
                <w:rFonts w:eastAsiaTheme="minorEastAsia"/>
                <w:color w:val="000000" w:themeColor="text1"/>
                <w:szCs w:val="21"/>
              </w:rPr>
              <w:t>0.31%</w:t>
            </w:r>
          </w:p>
        </w:tc>
      </w:tr>
      <w:tr w:rsidR="0039489D">
        <w:tc>
          <w:tcPr>
            <w:tcW w:w="1290" w:type="dxa"/>
            <w:vAlign w:val="center"/>
          </w:tcPr>
          <w:p w:rsidR="0039489D" w:rsidRDefault="00D3456C">
            <w:pPr>
              <w:jc w:val="left"/>
            </w:pPr>
            <w:r>
              <w:rPr>
                <w:rFonts w:eastAsiaTheme="minorEastAsia"/>
                <w:color w:val="000000" w:themeColor="text1"/>
                <w:szCs w:val="21"/>
              </w:rPr>
              <w:t>过去三年</w:t>
            </w:r>
          </w:p>
        </w:tc>
        <w:tc>
          <w:tcPr>
            <w:tcW w:w="1291" w:type="dxa"/>
            <w:vAlign w:val="center"/>
          </w:tcPr>
          <w:p w:rsidR="0039489D" w:rsidRDefault="00D3456C">
            <w:pPr>
              <w:jc w:val="right"/>
            </w:pPr>
            <w:r>
              <w:rPr>
                <w:rFonts w:eastAsiaTheme="minorEastAsia"/>
                <w:color w:val="000000" w:themeColor="text1"/>
                <w:szCs w:val="21"/>
              </w:rPr>
              <w:t>-</w:t>
            </w:r>
          </w:p>
        </w:tc>
        <w:tc>
          <w:tcPr>
            <w:tcW w:w="1291" w:type="dxa"/>
            <w:vAlign w:val="center"/>
          </w:tcPr>
          <w:p w:rsidR="0039489D" w:rsidRDefault="00D3456C">
            <w:pPr>
              <w:jc w:val="right"/>
            </w:pPr>
            <w:r>
              <w:rPr>
                <w:rFonts w:eastAsiaTheme="minorEastAsia"/>
                <w:color w:val="000000" w:themeColor="text1"/>
                <w:szCs w:val="21"/>
              </w:rPr>
              <w:t>-</w:t>
            </w:r>
          </w:p>
        </w:tc>
        <w:tc>
          <w:tcPr>
            <w:tcW w:w="1291" w:type="dxa"/>
            <w:vAlign w:val="center"/>
          </w:tcPr>
          <w:p w:rsidR="0039489D" w:rsidRDefault="00D3456C">
            <w:pPr>
              <w:jc w:val="right"/>
            </w:pPr>
            <w:r>
              <w:rPr>
                <w:rFonts w:eastAsiaTheme="minorEastAsia"/>
                <w:color w:val="000000" w:themeColor="text1"/>
                <w:szCs w:val="21"/>
              </w:rPr>
              <w:t>-</w:t>
            </w:r>
          </w:p>
        </w:tc>
        <w:tc>
          <w:tcPr>
            <w:tcW w:w="1291" w:type="dxa"/>
            <w:vAlign w:val="center"/>
          </w:tcPr>
          <w:p w:rsidR="0039489D" w:rsidRDefault="00D3456C">
            <w:pPr>
              <w:jc w:val="right"/>
            </w:pPr>
            <w:r>
              <w:rPr>
                <w:rFonts w:eastAsiaTheme="minorEastAsia"/>
                <w:color w:val="000000" w:themeColor="text1"/>
                <w:szCs w:val="21"/>
              </w:rPr>
              <w:t>-</w:t>
            </w:r>
          </w:p>
        </w:tc>
        <w:tc>
          <w:tcPr>
            <w:tcW w:w="1291" w:type="dxa"/>
            <w:vAlign w:val="center"/>
          </w:tcPr>
          <w:p w:rsidR="0039489D" w:rsidRDefault="00D3456C">
            <w:pPr>
              <w:jc w:val="right"/>
            </w:pPr>
            <w:r>
              <w:rPr>
                <w:rFonts w:eastAsiaTheme="minorEastAsia"/>
                <w:color w:val="000000" w:themeColor="text1"/>
                <w:szCs w:val="21"/>
              </w:rPr>
              <w:t>-</w:t>
            </w:r>
          </w:p>
        </w:tc>
        <w:tc>
          <w:tcPr>
            <w:tcW w:w="1291" w:type="dxa"/>
            <w:vAlign w:val="center"/>
          </w:tcPr>
          <w:p w:rsidR="0039489D" w:rsidRDefault="00D3456C">
            <w:pPr>
              <w:jc w:val="right"/>
            </w:pPr>
            <w:r>
              <w:rPr>
                <w:rFonts w:eastAsiaTheme="minorEastAsia"/>
                <w:color w:val="000000" w:themeColor="text1"/>
                <w:szCs w:val="21"/>
              </w:rPr>
              <w:t>-</w:t>
            </w:r>
          </w:p>
        </w:tc>
      </w:tr>
      <w:tr w:rsidR="0039489D">
        <w:tc>
          <w:tcPr>
            <w:tcW w:w="1290" w:type="dxa"/>
            <w:vAlign w:val="center"/>
          </w:tcPr>
          <w:p w:rsidR="0039489D" w:rsidRDefault="00D3456C">
            <w:pPr>
              <w:jc w:val="left"/>
            </w:pPr>
            <w:r>
              <w:rPr>
                <w:rFonts w:eastAsiaTheme="minorEastAsia"/>
                <w:color w:val="000000" w:themeColor="text1"/>
                <w:szCs w:val="21"/>
              </w:rPr>
              <w:t>过去五年</w:t>
            </w:r>
          </w:p>
        </w:tc>
        <w:tc>
          <w:tcPr>
            <w:tcW w:w="1291" w:type="dxa"/>
            <w:vAlign w:val="center"/>
          </w:tcPr>
          <w:p w:rsidR="0039489D" w:rsidRDefault="00D3456C">
            <w:pPr>
              <w:jc w:val="right"/>
            </w:pPr>
            <w:r>
              <w:rPr>
                <w:rFonts w:eastAsiaTheme="minorEastAsia"/>
                <w:color w:val="000000" w:themeColor="text1"/>
                <w:szCs w:val="21"/>
              </w:rPr>
              <w:t>-</w:t>
            </w:r>
          </w:p>
        </w:tc>
        <w:tc>
          <w:tcPr>
            <w:tcW w:w="1291" w:type="dxa"/>
            <w:vAlign w:val="center"/>
          </w:tcPr>
          <w:p w:rsidR="0039489D" w:rsidRDefault="00D3456C">
            <w:pPr>
              <w:jc w:val="right"/>
            </w:pPr>
            <w:r>
              <w:rPr>
                <w:rFonts w:eastAsiaTheme="minorEastAsia"/>
                <w:color w:val="000000" w:themeColor="text1"/>
                <w:szCs w:val="21"/>
              </w:rPr>
              <w:t>-</w:t>
            </w:r>
          </w:p>
        </w:tc>
        <w:tc>
          <w:tcPr>
            <w:tcW w:w="1291" w:type="dxa"/>
            <w:vAlign w:val="center"/>
          </w:tcPr>
          <w:p w:rsidR="0039489D" w:rsidRDefault="00D3456C">
            <w:pPr>
              <w:jc w:val="right"/>
            </w:pPr>
            <w:r>
              <w:rPr>
                <w:rFonts w:eastAsiaTheme="minorEastAsia"/>
                <w:color w:val="000000" w:themeColor="text1"/>
                <w:szCs w:val="21"/>
              </w:rPr>
              <w:t>-</w:t>
            </w:r>
          </w:p>
        </w:tc>
        <w:tc>
          <w:tcPr>
            <w:tcW w:w="1291" w:type="dxa"/>
            <w:vAlign w:val="center"/>
          </w:tcPr>
          <w:p w:rsidR="0039489D" w:rsidRDefault="00D3456C">
            <w:pPr>
              <w:jc w:val="right"/>
            </w:pPr>
            <w:r>
              <w:rPr>
                <w:rFonts w:eastAsiaTheme="minorEastAsia"/>
                <w:color w:val="000000" w:themeColor="text1"/>
                <w:szCs w:val="21"/>
              </w:rPr>
              <w:t>-</w:t>
            </w:r>
          </w:p>
        </w:tc>
        <w:tc>
          <w:tcPr>
            <w:tcW w:w="1291" w:type="dxa"/>
            <w:vAlign w:val="center"/>
          </w:tcPr>
          <w:p w:rsidR="0039489D" w:rsidRDefault="00D3456C">
            <w:pPr>
              <w:jc w:val="right"/>
            </w:pPr>
            <w:r>
              <w:rPr>
                <w:rFonts w:eastAsiaTheme="minorEastAsia"/>
                <w:color w:val="000000" w:themeColor="text1"/>
                <w:szCs w:val="21"/>
              </w:rPr>
              <w:t>-</w:t>
            </w:r>
          </w:p>
        </w:tc>
        <w:tc>
          <w:tcPr>
            <w:tcW w:w="1291" w:type="dxa"/>
            <w:vAlign w:val="center"/>
          </w:tcPr>
          <w:p w:rsidR="0039489D" w:rsidRDefault="00D3456C">
            <w:pPr>
              <w:jc w:val="right"/>
            </w:pPr>
            <w:r>
              <w:rPr>
                <w:rFonts w:eastAsiaTheme="minorEastAsia"/>
                <w:color w:val="000000" w:themeColor="text1"/>
                <w:szCs w:val="21"/>
              </w:rPr>
              <w:t>-</w:t>
            </w:r>
          </w:p>
        </w:tc>
      </w:tr>
      <w:tr w:rsidR="0039489D">
        <w:tc>
          <w:tcPr>
            <w:tcW w:w="1290" w:type="dxa"/>
            <w:vAlign w:val="center"/>
          </w:tcPr>
          <w:p w:rsidR="0039489D" w:rsidRDefault="00D3456C">
            <w:pPr>
              <w:jc w:val="left"/>
            </w:pPr>
            <w:r>
              <w:rPr>
                <w:rFonts w:eastAsiaTheme="minorEastAsia"/>
                <w:color w:val="000000" w:themeColor="text1"/>
                <w:szCs w:val="21"/>
              </w:rPr>
              <w:t>自基金合同生效起至今</w:t>
            </w:r>
          </w:p>
        </w:tc>
        <w:tc>
          <w:tcPr>
            <w:tcW w:w="1291" w:type="dxa"/>
            <w:vAlign w:val="center"/>
          </w:tcPr>
          <w:p w:rsidR="0039489D" w:rsidRDefault="00D3456C">
            <w:pPr>
              <w:jc w:val="right"/>
            </w:pPr>
            <w:r>
              <w:rPr>
                <w:rFonts w:eastAsiaTheme="minorEastAsia"/>
                <w:color w:val="000000" w:themeColor="text1"/>
                <w:szCs w:val="21"/>
              </w:rPr>
              <w:t>-5.73%</w:t>
            </w:r>
          </w:p>
        </w:tc>
        <w:tc>
          <w:tcPr>
            <w:tcW w:w="1291" w:type="dxa"/>
            <w:vAlign w:val="center"/>
          </w:tcPr>
          <w:p w:rsidR="0039489D" w:rsidRDefault="00D3456C">
            <w:pPr>
              <w:jc w:val="right"/>
            </w:pPr>
            <w:r>
              <w:rPr>
                <w:rFonts w:eastAsiaTheme="minorEastAsia"/>
                <w:color w:val="000000" w:themeColor="text1"/>
                <w:szCs w:val="21"/>
              </w:rPr>
              <w:t>1.34%</w:t>
            </w:r>
          </w:p>
        </w:tc>
        <w:tc>
          <w:tcPr>
            <w:tcW w:w="1291" w:type="dxa"/>
            <w:vAlign w:val="center"/>
          </w:tcPr>
          <w:p w:rsidR="0039489D" w:rsidRDefault="00D3456C">
            <w:pPr>
              <w:jc w:val="right"/>
            </w:pPr>
            <w:r>
              <w:rPr>
                <w:rFonts w:eastAsiaTheme="minorEastAsia"/>
                <w:color w:val="000000" w:themeColor="text1"/>
                <w:szCs w:val="21"/>
              </w:rPr>
              <w:t>-4.72%</w:t>
            </w:r>
          </w:p>
        </w:tc>
        <w:tc>
          <w:tcPr>
            <w:tcW w:w="1291" w:type="dxa"/>
            <w:vAlign w:val="center"/>
          </w:tcPr>
          <w:p w:rsidR="0039489D" w:rsidRDefault="00D3456C">
            <w:pPr>
              <w:jc w:val="right"/>
            </w:pPr>
            <w:r>
              <w:rPr>
                <w:rFonts w:eastAsiaTheme="minorEastAsia"/>
                <w:color w:val="000000" w:themeColor="text1"/>
                <w:szCs w:val="21"/>
              </w:rPr>
              <w:t>1.04%</w:t>
            </w:r>
          </w:p>
        </w:tc>
        <w:tc>
          <w:tcPr>
            <w:tcW w:w="1291" w:type="dxa"/>
            <w:vAlign w:val="center"/>
          </w:tcPr>
          <w:p w:rsidR="0039489D" w:rsidRDefault="00D3456C">
            <w:pPr>
              <w:jc w:val="right"/>
            </w:pPr>
            <w:r>
              <w:rPr>
                <w:rFonts w:eastAsiaTheme="minorEastAsia"/>
                <w:color w:val="000000" w:themeColor="text1"/>
                <w:szCs w:val="21"/>
              </w:rPr>
              <w:t>-1.01%</w:t>
            </w:r>
          </w:p>
        </w:tc>
        <w:tc>
          <w:tcPr>
            <w:tcW w:w="1291" w:type="dxa"/>
            <w:vAlign w:val="center"/>
          </w:tcPr>
          <w:p w:rsidR="0039489D" w:rsidRDefault="00D3456C">
            <w:pPr>
              <w:jc w:val="right"/>
            </w:pPr>
            <w:r>
              <w:rPr>
                <w:rFonts w:eastAsiaTheme="minorEastAsia"/>
                <w:color w:val="000000" w:themeColor="text1"/>
                <w:szCs w:val="21"/>
              </w:rPr>
              <w:t>0.30%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摩根核心成长股票型证券投资基金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10</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．摩根核心成长股票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．摩根核心成长股票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2022 </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9489D">
        <w:tc>
          <w:tcPr>
            <w:tcW w:w="952" w:type="dxa"/>
            <w:vAlign w:val="center"/>
          </w:tcPr>
          <w:p w:rsidR="0039489D" w:rsidRDefault="00D3456C">
            <w:pPr>
              <w:jc w:val="center"/>
            </w:pPr>
            <w:r>
              <w:rPr>
                <w:rFonts w:eastAsiaTheme="minorEastAsia"/>
                <w:color w:val="000000" w:themeColor="text1"/>
                <w:szCs w:val="21"/>
              </w:rPr>
              <w:t>李博</w:t>
            </w:r>
          </w:p>
        </w:tc>
        <w:tc>
          <w:tcPr>
            <w:tcW w:w="930" w:type="dxa"/>
            <w:vAlign w:val="center"/>
          </w:tcPr>
          <w:p w:rsidR="0039489D" w:rsidRDefault="00D3456C">
            <w:pPr>
              <w:jc w:val="center"/>
            </w:pPr>
            <w:r>
              <w:rPr>
                <w:rFonts w:eastAsiaTheme="minorEastAsia"/>
                <w:color w:val="000000" w:themeColor="text1"/>
                <w:szCs w:val="21"/>
              </w:rPr>
              <w:t>本基金基金经理</w:t>
            </w:r>
          </w:p>
        </w:tc>
        <w:tc>
          <w:tcPr>
            <w:tcW w:w="1210" w:type="dxa"/>
            <w:vAlign w:val="center"/>
          </w:tcPr>
          <w:p w:rsidR="0039489D" w:rsidRDefault="00D3456C">
            <w:pPr>
              <w:jc w:val="center"/>
            </w:pPr>
            <w:r>
              <w:rPr>
                <w:rFonts w:eastAsiaTheme="minorEastAsia"/>
                <w:color w:val="000000" w:themeColor="text1"/>
                <w:szCs w:val="21"/>
              </w:rPr>
              <w:t>2014-12-31</w:t>
            </w:r>
          </w:p>
        </w:tc>
        <w:tc>
          <w:tcPr>
            <w:tcW w:w="1309" w:type="dxa"/>
            <w:vAlign w:val="center"/>
          </w:tcPr>
          <w:p w:rsidR="0039489D" w:rsidRDefault="00D3456C">
            <w:pPr>
              <w:jc w:val="center"/>
            </w:pPr>
            <w:r>
              <w:rPr>
                <w:rFonts w:eastAsiaTheme="minorEastAsia"/>
                <w:color w:val="000000" w:themeColor="text1"/>
                <w:szCs w:val="21"/>
              </w:rPr>
              <w:t>-</w:t>
            </w:r>
          </w:p>
        </w:tc>
        <w:tc>
          <w:tcPr>
            <w:tcW w:w="1254" w:type="dxa"/>
            <w:vAlign w:val="center"/>
          </w:tcPr>
          <w:p w:rsidR="0039489D" w:rsidRDefault="00D3456C">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39489D" w:rsidRDefault="00D3456C">
            <w:r>
              <w:rPr>
                <w:rFonts w:eastAsiaTheme="minorEastAsia"/>
                <w:color w:val="000000" w:themeColor="text1"/>
                <w:szCs w:val="21"/>
              </w:rPr>
              <w:t>李博先生曾任中银国际证券有限公司研究员。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月起加入摩根基金管理（中国）有限公司（原上投摩根基金管理有限公司），历任行业专家、基金经理，现任国内权益投资部价值成长组组长兼资深基金经理。</w:t>
            </w:r>
          </w:p>
        </w:tc>
      </w:tr>
    </w:tbl>
    <w:p w:rsidR="0039489D" w:rsidRDefault="00D3456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一季度，市场主要指数微涨，沪深</w:t>
      </w:r>
      <w:r>
        <w:rPr>
          <w:rFonts w:eastAsiaTheme="minorEastAsia"/>
          <w:color w:val="000000" w:themeColor="text1"/>
          <w:szCs w:val="21"/>
        </w:rPr>
        <w:t>300</w:t>
      </w:r>
      <w:r>
        <w:rPr>
          <w:rFonts w:eastAsiaTheme="minorEastAsia"/>
          <w:color w:val="000000" w:themeColor="text1"/>
          <w:szCs w:val="21"/>
        </w:rPr>
        <w:t>上涨</w:t>
      </w:r>
      <w:r>
        <w:rPr>
          <w:rFonts w:eastAsiaTheme="minorEastAsia"/>
          <w:color w:val="000000" w:themeColor="text1"/>
          <w:szCs w:val="21"/>
        </w:rPr>
        <w:t>4.31%</w:t>
      </w:r>
      <w:r>
        <w:rPr>
          <w:rFonts w:eastAsiaTheme="minorEastAsia"/>
          <w:color w:val="000000" w:themeColor="text1"/>
          <w:szCs w:val="21"/>
        </w:rPr>
        <w:t>，创业板上涨</w:t>
      </w:r>
      <w:r>
        <w:rPr>
          <w:rFonts w:eastAsiaTheme="minorEastAsia"/>
          <w:color w:val="000000" w:themeColor="text1"/>
          <w:szCs w:val="21"/>
        </w:rPr>
        <w:t>1.55%</w:t>
      </w:r>
      <w:r>
        <w:rPr>
          <w:rFonts w:eastAsiaTheme="minorEastAsia"/>
          <w:color w:val="000000" w:themeColor="text1"/>
          <w:szCs w:val="21"/>
        </w:rPr>
        <w:t>。板块方面，结构差异较大，计算机、传媒和通讯等行业领涨，房地产、餐饮旅游和银行等行业领跌。今年前</w:t>
      </w:r>
      <w:r>
        <w:rPr>
          <w:rFonts w:eastAsiaTheme="minorEastAsia"/>
          <w:color w:val="000000" w:themeColor="text1"/>
          <w:szCs w:val="21"/>
        </w:rPr>
        <w:t>2</w:t>
      </w:r>
      <w:r>
        <w:rPr>
          <w:rFonts w:eastAsiaTheme="minorEastAsia"/>
          <w:color w:val="000000" w:themeColor="text1"/>
          <w:szCs w:val="21"/>
        </w:rPr>
        <w:t>个月，经济稳步增长，如全国规模以上工业增加值同比增长</w:t>
      </w:r>
      <w:r>
        <w:rPr>
          <w:rFonts w:eastAsiaTheme="minorEastAsia"/>
          <w:color w:val="000000" w:themeColor="text1"/>
          <w:szCs w:val="21"/>
        </w:rPr>
        <w:t>2.4%</w:t>
      </w:r>
      <w:r>
        <w:rPr>
          <w:rFonts w:eastAsiaTheme="minorEastAsia"/>
          <w:color w:val="000000" w:themeColor="text1"/>
          <w:szCs w:val="21"/>
        </w:rPr>
        <w:t>，社会消费品零售总额同比增长</w:t>
      </w:r>
      <w:r>
        <w:rPr>
          <w:rFonts w:eastAsiaTheme="minorEastAsia"/>
          <w:color w:val="000000" w:themeColor="text1"/>
          <w:szCs w:val="21"/>
        </w:rPr>
        <w:t>3.5%</w:t>
      </w: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月份制造业</w:t>
      </w:r>
      <w:r>
        <w:rPr>
          <w:rFonts w:eastAsiaTheme="minorEastAsia"/>
          <w:color w:val="000000" w:themeColor="text1"/>
          <w:szCs w:val="21"/>
        </w:rPr>
        <w:t>PMI</w:t>
      </w:r>
      <w:r>
        <w:rPr>
          <w:rFonts w:eastAsiaTheme="minorEastAsia"/>
          <w:color w:val="000000" w:themeColor="text1"/>
          <w:szCs w:val="21"/>
        </w:rPr>
        <w:t>回升到</w:t>
      </w:r>
      <w:r>
        <w:rPr>
          <w:rFonts w:eastAsiaTheme="minorEastAsia"/>
          <w:color w:val="000000" w:themeColor="text1"/>
          <w:szCs w:val="21"/>
        </w:rPr>
        <w:t>52.6%</w:t>
      </w:r>
      <w:r>
        <w:rPr>
          <w:rFonts w:eastAsiaTheme="minorEastAsia"/>
          <w:color w:val="000000" w:themeColor="text1"/>
          <w:szCs w:val="21"/>
        </w:rPr>
        <w:t>，达到了近年来较高水平，未来经济向好趋势明显。本基金重点配置了估值和成长相匹配的个股，此外，本季度还减持了部分前期超额收益较多个股，增持了部分市场关注度不高的成长股。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进入二季度，我们判断市场机会将大于风险，</w:t>
      </w:r>
      <w:r w:rsidRPr="00B27A29">
        <w:rPr>
          <w:rFonts w:eastAsiaTheme="minorEastAsia"/>
          <w:color w:val="000000" w:themeColor="text1"/>
          <w:szCs w:val="21"/>
        </w:rPr>
        <w:t>A</w:t>
      </w:r>
      <w:r w:rsidRPr="00B27A29">
        <w:rPr>
          <w:rFonts w:eastAsiaTheme="minorEastAsia"/>
          <w:color w:val="000000" w:themeColor="text1"/>
          <w:szCs w:val="21"/>
        </w:rPr>
        <w:t>股有望呈现结构性的投资机会。市场经历了</w:t>
      </w:r>
      <w:r w:rsidRPr="00B27A29">
        <w:rPr>
          <w:rFonts w:eastAsiaTheme="minorEastAsia"/>
          <w:color w:val="000000" w:themeColor="text1"/>
          <w:szCs w:val="21"/>
        </w:rPr>
        <w:t>2022</w:t>
      </w:r>
      <w:r w:rsidRPr="00B27A29">
        <w:rPr>
          <w:rFonts w:eastAsiaTheme="minorEastAsia"/>
          <w:color w:val="000000" w:themeColor="text1"/>
          <w:szCs w:val="21"/>
        </w:rPr>
        <w:t>年的调整后，整体估值处于历史较低水平，我们将继续以精选个股作为首要方向。首先，重点关注成长股，尤其是去年跌幅较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:7.28%</w:t>
      </w:r>
      <w:r>
        <w:rPr>
          <w:rFonts w:eastAsiaTheme="minorEastAsia"/>
          <w:color w:val="000000" w:themeColor="text1"/>
          <w:szCs w:val="21"/>
        </w:rPr>
        <w:t>，同期业绩比较基准收益率为</w:t>
      </w:r>
      <w:r>
        <w:rPr>
          <w:rFonts w:eastAsiaTheme="minorEastAsia"/>
          <w:color w:val="000000" w:themeColor="text1"/>
          <w:szCs w:val="21"/>
        </w:rPr>
        <w:t>:3.91%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:7.15%</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:3.91%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898,146,866.75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86.92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898,146,866.75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86.92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134,221,384.21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964,962.54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1,033,333,213.50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6,075,099.00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0.59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869,466,134.67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6,619.60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77,329.12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21,394,029.36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1,127,655.00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898,146,866.75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87.19</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9489D">
        <w:tc>
          <w:tcPr>
            <w:tcW w:w="817" w:type="dxa"/>
            <w:vAlign w:val="center"/>
          </w:tcPr>
          <w:p w:rsidR="0039489D" w:rsidRDefault="00D3456C">
            <w:pPr>
              <w:jc w:val="center"/>
            </w:pPr>
            <w:r>
              <w:rPr>
                <w:rFonts w:eastAsiaTheme="minorEastAsia"/>
                <w:kern w:val="0"/>
                <w:szCs w:val="21"/>
              </w:rPr>
              <w:t>1</w:t>
            </w:r>
          </w:p>
        </w:tc>
        <w:tc>
          <w:tcPr>
            <w:tcW w:w="1276" w:type="dxa"/>
            <w:vAlign w:val="center"/>
          </w:tcPr>
          <w:p w:rsidR="0039489D" w:rsidRDefault="00D3456C">
            <w:pPr>
              <w:jc w:val="center"/>
            </w:pPr>
            <w:r>
              <w:rPr>
                <w:rFonts w:eastAsiaTheme="minorEastAsia"/>
                <w:kern w:val="0"/>
                <w:szCs w:val="21"/>
              </w:rPr>
              <w:t>002475</w:t>
            </w:r>
          </w:p>
        </w:tc>
        <w:tc>
          <w:tcPr>
            <w:tcW w:w="1701" w:type="dxa"/>
            <w:vAlign w:val="center"/>
          </w:tcPr>
          <w:p w:rsidR="0039489D" w:rsidRDefault="00D3456C">
            <w:pPr>
              <w:jc w:val="center"/>
            </w:pPr>
            <w:r>
              <w:rPr>
                <w:rFonts w:eastAsiaTheme="minorEastAsia"/>
                <w:kern w:val="0"/>
                <w:szCs w:val="21"/>
              </w:rPr>
              <w:t>立讯精密</w:t>
            </w:r>
          </w:p>
        </w:tc>
        <w:tc>
          <w:tcPr>
            <w:tcW w:w="1276" w:type="dxa"/>
            <w:vAlign w:val="center"/>
          </w:tcPr>
          <w:p w:rsidR="0039489D" w:rsidRDefault="00D3456C">
            <w:pPr>
              <w:jc w:val="right"/>
            </w:pPr>
            <w:r>
              <w:rPr>
                <w:rFonts w:eastAsiaTheme="minorEastAsia"/>
                <w:kern w:val="0"/>
                <w:szCs w:val="21"/>
              </w:rPr>
              <w:t>3,025,921</w:t>
            </w:r>
          </w:p>
        </w:tc>
        <w:tc>
          <w:tcPr>
            <w:tcW w:w="1842" w:type="dxa"/>
            <w:vAlign w:val="center"/>
          </w:tcPr>
          <w:p w:rsidR="0039489D" w:rsidRDefault="00D3456C">
            <w:pPr>
              <w:jc w:val="right"/>
            </w:pPr>
            <w:r>
              <w:rPr>
                <w:rFonts w:eastAsiaTheme="minorEastAsia"/>
                <w:kern w:val="0"/>
                <w:szCs w:val="21"/>
              </w:rPr>
              <w:t>91,715,665.51</w:t>
            </w:r>
          </w:p>
        </w:tc>
        <w:tc>
          <w:tcPr>
            <w:tcW w:w="1616" w:type="dxa"/>
            <w:vAlign w:val="center"/>
          </w:tcPr>
          <w:p w:rsidR="0039489D" w:rsidRDefault="00D3456C">
            <w:pPr>
              <w:jc w:val="right"/>
            </w:pPr>
            <w:r>
              <w:rPr>
                <w:rFonts w:eastAsiaTheme="minorEastAsia"/>
                <w:kern w:val="0"/>
                <w:szCs w:val="21"/>
              </w:rPr>
              <w:t>8.90</w:t>
            </w:r>
          </w:p>
        </w:tc>
      </w:tr>
      <w:tr w:rsidR="0039489D">
        <w:tc>
          <w:tcPr>
            <w:tcW w:w="817" w:type="dxa"/>
            <w:vAlign w:val="center"/>
          </w:tcPr>
          <w:p w:rsidR="0039489D" w:rsidRDefault="00D3456C">
            <w:pPr>
              <w:jc w:val="center"/>
            </w:pPr>
            <w:r>
              <w:rPr>
                <w:rFonts w:eastAsiaTheme="minorEastAsia"/>
                <w:kern w:val="0"/>
                <w:szCs w:val="21"/>
              </w:rPr>
              <w:t>2</w:t>
            </w:r>
          </w:p>
        </w:tc>
        <w:tc>
          <w:tcPr>
            <w:tcW w:w="1276" w:type="dxa"/>
            <w:vAlign w:val="center"/>
          </w:tcPr>
          <w:p w:rsidR="0039489D" w:rsidRDefault="00D3456C">
            <w:pPr>
              <w:jc w:val="center"/>
            </w:pPr>
            <w:r>
              <w:rPr>
                <w:rFonts w:eastAsiaTheme="minorEastAsia"/>
                <w:kern w:val="0"/>
                <w:szCs w:val="21"/>
              </w:rPr>
              <w:t>002459</w:t>
            </w:r>
          </w:p>
        </w:tc>
        <w:tc>
          <w:tcPr>
            <w:tcW w:w="1701" w:type="dxa"/>
            <w:vAlign w:val="center"/>
          </w:tcPr>
          <w:p w:rsidR="0039489D" w:rsidRDefault="00D3456C">
            <w:pPr>
              <w:jc w:val="center"/>
            </w:pPr>
            <w:r>
              <w:rPr>
                <w:rFonts w:eastAsiaTheme="minorEastAsia"/>
                <w:kern w:val="0"/>
                <w:szCs w:val="21"/>
              </w:rPr>
              <w:t>晶澳科技</w:t>
            </w:r>
          </w:p>
        </w:tc>
        <w:tc>
          <w:tcPr>
            <w:tcW w:w="1276" w:type="dxa"/>
            <w:vAlign w:val="center"/>
          </w:tcPr>
          <w:p w:rsidR="0039489D" w:rsidRDefault="00D3456C">
            <w:pPr>
              <w:jc w:val="right"/>
            </w:pPr>
            <w:r>
              <w:rPr>
                <w:rFonts w:eastAsiaTheme="minorEastAsia"/>
                <w:kern w:val="0"/>
                <w:szCs w:val="21"/>
              </w:rPr>
              <w:t>1,589,280</w:t>
            </w:r>
          </w:p>
        </w:tc>
        <w:tc>
          <w:tcPr>
            <w:tcW w:w="1842" w:type="dxa"/>
            <w:vAlign w:val="center"/>
          </w:tcPr>
          <w:p w:rsidR="0039489D" w:rsidRDefault="00D3456C">
            <w:pPr>
              <w:jc w:val="right"/>
            </w:pPr>
            <w:r>
              <w:rPr>
                <w:rFonts w:eastAsiaTheme="minorEastAsia"/>
                <w:kern w:val="0"/>
                <w:szCs w:val="21"/>
              </w:rPr>
              <w:t>91,129,315.20</w:t>
            </w:r>
          </w:p>
        </w:tc>
        <w:tc>
          <w:tcPr>
            <w:tcW w:w="1616" w:type="dxa"/>
            <w:vAlign w:val="center"/>
          </w:tcPr>
          <w:p w:rsidR="0039489D" w:rsidRDefault="00D3456C">
            <w:pPr>
              <w:jc w:val="right"/>
            </w:pPr>
            <w:r>
              <w:rPr>
                <w:rFonts w:eastAsiaTheme="minorEastAsia"/>
                <w:kern w:val="0"/>
                <w:szCs w:val="21"/>
              </w:rPr>
              <w:t>8.85</w:t>
            </w:r>
          </w:p>
        </w:tc>
      </w:tr>
      <w:tr w:rsidR="0039489D">
        <w:tc>
          <w:tcPr>
            <w:tcW w:w="817" w:type="dxa"/>
            <w:vAlign w:val="center"/>
          </w:tcPr>
          <w:p w:rsidR="0039489D" w:rsidRDefault="00D3456C">
            <w:pPr>
              <w:jc w:val="center"/>
            </w:pPr>
            <w:r>
              <w:rPr>
                <w:rFonts w:eastAsiaTheme="minorEastAsia"/>
                <w:kern w:val="0"/>
                <w:szCs w:val="21"/>
              </w:rPr>
              <w:t>3</w:t>
            </w:r>
          </w:p>
        </w:tc>
        <w:tc>
          <w:tcPr>
            <w:tcW w:w="1276" w:type="dxa"/>
            <w:vAlign w:val="center"/>
          </w:tcPr>
          <w:p w:rsidR="0039489D" w:rsidRDefault="00D3456C">
            <w:pPr>
              <w:jc w:val="center"/>
            </w:pPr>
            <w:r>
              <w:rPr>
                <w:rFonts w:eastAsiaTheme="minorEastAsia"/>
                <w:kern w:val="0"/>
                <w:szCs w:val="21"/>
              </w:rPr>
              <w:t>002236</w:t>
            </w:r>
          </w:p>
        </w:tc>
        <w:tc>
          <w:tcPr>
            <w:tcW w:w="1701" w:type="dxa"/>
            <w:vAlign w:val="center"/>
          </w:tcPr>
          <w:p w:rsidR="0039489D" w:rsidRDefault="00D3456C">
            <w:pPr>
              <w:jc w:val="center"/>
            </w:pPr>
            <w:r>
              <w:rPr>
                <w:rFonts w:eastAsiaTheme="minorEastAsia"/>
                <w:kern w:val="0"/>
                <w:szCs w:val="21"/>
              </w:rPr>
              <w:t>大华股份</w:t>
            </w:r>
          </w:p>
        </w:tc>
        <w:tc>
          <w:tcPr>
            <w:tcW w:w="1276" w:type="dxa"/>
            <w:vAlign w:val="center"/>
          </w:tcPr>
          <w:p w:rsidR="0039489D" w:rsidRDefault="00D3456C">
            <w:pPr>
              <w:jc w:val="right"/>
            </w:pPr>
            <w:r>
              <w:rPr>
                <w:rFonts w:eastAsiaTheme="minorEastAsia"/>
                <w:kern w:val="0"/>
                <w:szCs w:val="21"/>
              </w:rPr>
              <w:t>2,820,932</w:t>
            </w:r>
          </w:p>
        </w:tc>
        <w:tc>
          <w:tcPr>
            <w:tcW w:w="1842" w:type="dxa"/>
            <w:vAlign w:val="center"/>
          </w:tcPr>
          <w:p w:rsidR="0039489D" w:rsidRDefault="00D3456C">
            <w:pPr>
              <w:jc w:val="right"/>
            </w:pPr>
            <w:r>
              <w:rPr>
                <w:rFonts w:eastAsiaTheme="minorEastAsia"/>
                <w:kern w:val="0"/>
                <w:szCs w:val="21"/>
              </w:rPr>
              <w:t>63,781,272.52</w:t>
            </w:r>
          </w:p>
        </w:tc>
        <w:tc>
          <w:tcPr>
            <w:tcW w:w="1616" w:type="dxa"/>
            <w:vAlign w:val="center"/>
          </w:tcPr>
          <w:p w:rsidR="0039489D" w:rsidRDefault="00D3456C">
            <w:pPr>
              <w:jc w:val="right"/>
            </w:pPr>
            <w:r>
              <w:rPr>
                <w:rFonts w:eastAsiaTheme="minorEastAsia"/>
                <w:kern w:val="0"/>
                <w:szCs w:val="21"/>
              </w:rPr>
              <w:t>6.19</w:t>
            </w:r>
          </w:p>
        </w:tc>
      </w:tr>
      <w:tr w:rsidR="0039489D">
        <w:tc>
          <w:tcPr>
            <w:tcW w:w="817" w:type="dxa"/>
            <w:vAlign w:val="center"/>
          </w:tcPr>
          <w:p w:rsidR="0039489D" w:rsidRDefault="00D3456C">
            <w:pPr>
              <w:jc w:val="center"/>
            </w:pPr>
            <w:r>
              <w:rPr>
                <w:rFonts w:eastAsiaTheme="minorEastAsia"/>
                <w:kern w:val="0"/>
                <w:szCs w:val="21"/>
              </w:rPr>
              <w:t>4</w:t>
            </w:r>
          </w:p>
        </w:tc>
        <w:tc>
          <w:tcPr>
            <w:tcW w:w="1276" w:type="dxa"/>
            <w:vAlign w:val="center"/>
          </w:tcPr>
          <w:p w:rsidR="0039489D" w:rsidRDefault="00D3456C">
            <w:pPr>
              <w:jc w:val="center"/>
            </w:pPr>
            <w:r>
              <w:rPr>
                <w:rFonts w:eastAsiaTheme="minorEastAsia"/>
                <w:kern w:val="0"/>
                <w:szCs w:val="21"/>
              </w:rPr>
              <w:t>688599</w:t>
            </w:r>
          </w:p>
        </w:tc>
        <w:tc>
          <w:tcPr>
            <w:tcW w:w="1701" w:type="dxa"/>
            <w:vAlign w:val="center"/>
          </w:tcPr>
          <w:p w:rsidR="0039489D" w:rsidRDefault="00D3456C">
            <w:pPr>
              <w:jc w:val="center"/>
            </w:pPr>
            <w:r>
              <w:rPr>
                <w:rFonts w:eastAsiaTheme="minorEastAsia"/>
                <w:kern w:val="0"/>
                <w:szCs w:val="21"/>
              </w:rPr>
              <w:t>天合光能</w:t>
            </w:r>
          </w:p>
        </w:tc>
        <w:tc>
          <w:tcPr>
            <w:tcW w:w="1276" w:type="dxa"/>
            <w:vAlign w:val="center"/>
          </w:tcPr>
          <w:p w:rsidR="0039489D" w:rsidRDefault="00D3456C">
            <w:pPr>
              <w:jc w:val="right"/>
            </w:pPr>
            <w:r>
              <w:rPr>
                <w:rFonts w:eastAsiaTheme="minorEastAsia"/>
                <w:kern w:val="0"/>
                <w:szCs w:val="21"/>
              </w:rPr>
              <w:t>1,158,423</w:t>
            </w:r>
          </w:p>
        </w:tc>
        <w:tc>
          <w:tcPr>
            <w:tcW w:w="1842" w:type="dxa"/>
            <w:vAlign w:val="center"/>
          </w:tcPr>
          <w:p w:rsidR="0039489D" w:rsidRDefault="00D3456C">
            <w:pPr>
              <w:jc w:val="right"/>
            </w:pPr>
            <w:r>
              <w:rPr>
                <w:rFonts w:eastAsiaTheme="minorEastAsia"/>
                <w:kern w:val="0"/>
                <w:szCs w:val="21"/>
              </w:rPr>
              <w:t>60,342,254.07</w:t>
            </w:r>
          </w:p>
        </w:tc>
        <w:tc>
          <w:tcPr>
            <w:tcW w:w="1616" w:type="dxa"/>
            <w:vAlign w:val="center"/>
          </w:tcPr>
          <w:p w:rsidR="0039489D" w:rsidRDefault="00D3456C">
            <w:pPr>
              <w:jc w:val="right"/>
            </w:pPr>
            <w:r>
              <w:rPr>
                <w:rFonts w:eastAsiaTheme="minorEastAsia"/>
                <w:kern w:val="0"/>
                <w:szCs w:val="21"/>
              </w:rPr>
              <w:t>5.86</w:t>
            </w:r>
          </w:p>
        </w:tc>
      </w:tr>
      <w:tr w:rsidR="0039489D">
        <w:tc>
          <w:tcPr>
            <w:tcW w:w="817" w:type="dxa"/>
            <w:vAlign w:val="center"/>
          </w:tcPr>
          <w:p w:rsidR="0039489D" w:rsidRDefault="00D3456C">
            <w:pPr>
              <w:jc w:val="center"/>
            </w:pPr>
            <w:r>
              <w:rPr>
                <w:rFonts w:eastAsiaTheme="minorEastAsia"/>
                <w:kern w:val="0"/>
                <w:szCs w:val="21"/>
              </w:rPr>
              <w:t>5</w:t>
            </w:r>
          </w:p>
        </w:tc>
        <w:tc>
          <w:tcPr>
            <w:tcW w:w="1276" w:type="dxa"/>
            <w:vAlign w:val="center"/>
          </w:tcPr>
          <w:p w:rsidR="0039489D" w:rsidRDefault="00D3456C">
            <w:pPr>
              <w:jc w:val="center"/>
            </w:pPr>
            <w:r>
              <w:rPr>
                <w:rFonts w:eastAsiaTheme="minorEastAsia"/>
                <w:kern w:val="0"/>
                <w:szCs w:val="21"/>
              </w:rPr>
              <w:t>002572</w:t>
            </w:r>
          </w:p>
        </w:tc>
        <w:tc>
          <w:tcPr>
            <w:tcW w:w="1701" w:type="dxa"/>
            <w:vAlign w:val="center"/>
          </w:tcPr>
          <w:p w:rsidR="0039489D" w:rsidRDefault="00D3456C">
            <w:pPr>
              <w:jc w:val="center"/>
            </w:pPr>
            <w:r>
              <w:rPr>
                <w:rFonts w:eastAsiaTheme="minorEastAsia"/>
                <w:kern w:val="0"/>
                <w:szCs w:val="21"/>
              </w:rPr>
              <w:t>索菲亚</w:t>
            </w:r>
          </w:p>
        </w:tc>
        <w:tc>
          <w:tcPr>
            <w:tcW w:w="1276" w:type="dxa"/>
            <w:vAlign w:val="center"/>
          </w:tcPr>
          <w:p w:rsidR="0039489D" w:rsidRDefault="00D3456C">
            <w:pPr>
              <w:jc w:val="right"/>
            </w:pPr>
            <w:r>
              <w:rPr>
                <w:rFonts w:eastAsiaTheme="minorEastAsia"/>
                <w:kern w:val="0"/>
                <w:szCs w:val="21"/>
              </w:rPr>
              <w:t>2,885,435</w:t>
            </w:r>
          </w:p>
        </w:tc>
        <w:tc>
          <w:tcPr>
            <w:tcW w:w="1842" w:type="dxa"/>
            <w:vAlign w:val="center"/>
          </w:tcPr>
          <w:p w:rsidR="0039489D" w:rsidRDefault="00D3456C">
            <w:pPr>
              <w:jc w:val="right"/>
            </w:pPr>
            <w:r>
              <w:rPr>
                <w:rFonts w:eastAsiaTheme="minorEastAsia"/>
                <w:kern w:val="0"/>
                <w:szCs w:val="21"/>
              </w:rPr>
              <w:t>56,265,982.50</w:t>
            </w:r>
          </w:p>
        </w:tc>
        <w:tc>
          <w:tcPr>
            <w:tcW w:w="1616" w:type="dxa"/>
            <w:vAlign w:val="center"/>
          </w:tcPr>
          <w:p w:rsidR="0039489D" w:rsidRDefault="00D3456C">
            <w:pPr>
              <w:jc w:val="right"/>
            </w:pPr>
            <w:r>
              <w:rPr>
                <w:rFonts w:eastAsiaTheme="minorEastAsia"/>
                <w:kern w:val="0"/>
                <w:szCs w:val="21"/>
              </w:rPr>
              <w:t>5.46</w:t>
            </w:r>
          </w:p>
        </w:tc>
      </w:tr>
      <w:tr w:rsidR="0039489D">
        <w:tc>
          <w:tcPr>
            <w:tcW w:w="817" w:type="dxa"/>
            <w:vAlign w:val="center"/>
          </w:tcPr>
          <w:p w:rsidR="0039489D" w:rsidRDefault="00D3456C">
            <w:pPr>
              <w:jc w:val="center"/>
            </w:pPr>
            <w:r>
              <w:rPr>
                <w:rFonts w:eastAsiaTheme="minorEastAsia"/>
                <w:kern w:val="0"/>
                <w:szCs w:val="21"/>
              </w:rPr>
              <w:t>6</w:t>
            </w:r>
          </w:p>
        </w:tc>
        <w:tc>
          <w:tcPr>
            <w:tcW w:w="1276" w:type="dxa"/>
            <w:vAlign w:val="center"/>
          </w:tcPr>
          <w:p w:rsidR="0039489D" w:rsidRDefault="00D3456C">
            <w:pPr>
              <w:jc w:val="center"/>
            </w:pPr>
            <w:r>
              <w:rPr>
                <w:rFonts w:eastAsiaTheme="minorEastAsia"/>
                <w:kern w:val="0"/>
                <w:szCs w:val="21"/>
              </w:rPr>
              <w:t>002832</w:t>
            </w:r>
          </w:p>
        </w:tc>
        <w:tc>
          <w:tcPr>
            <w:tcW w:w="1701" w:type="dxa"/>
            <w:vAlign w:val="center"/>
          </w:tcPr>
          <w:p w:rsidR="0039489D" w:rsidRDefault="00D3456C">
            <w:pPr>
              <w:jc w:val="center"/>
            </w:pPr>
            <w:r>
              <w:rPr>
                <w:rFonts w:eastAsiaTheme="minorEastAsia"/>
                <w:kern w:val="0"/>
                <w:szCs w:val="21"/>
              </w:rPr>
              <w:t>比音勒芬</w:t>
            </w:r>
          </w:p>
        </w:tc>
        <w:tc>
          <w:tcPr>
            <w:tcW w:w="1276" w:type="dxa"/>
            <w:vAlign w:val="center"/>
          </w:tcPr>
          <w:p w:rsidR="0039489D" w:rsidRDefault="00D3456C">
            <w:pPr>
              <w:jc w:val="right"/>
            </w:pPr>
            <w:r>
              <w:rPr>
                <w:rFonts w:eastAsiaTheme="minorEastAsia"/>
                <w:kern w:val="0"/>
                <w:szCs w:val="21"/>
              </w:rPr>
              <w:t>1,719,857</w:t>
            </w:r>
          </w:p>
        </w:tc>
        <w:tc>
          <w:tcPr>
            <w:tcW w:w="1842" w:type="dxa"/>
            <w:vAlign w:val="center"/>
          </w:tcPr>
          <w:p w:rsidR="0039489D" w:rsidRDefault="00D3456C">
            <w:pPr>
              <w:jc w:val="right"/>
            </w:pPr>
            <w:r>
              <w:rPr>
                <w:rFonts w:eastAsiaTheme="minorEastAsia"/>
                <w:kern w:val="0"/>
                <w:szCs w:val="21"/>
              </w:rPr>
              <w:t>55,379,395.40</w:t>
            </w:r>
          </w:p>
        </w:tc>
        <w:tc>
          <w:tcPr>
            <w:tcW w:w="1616" w:type="dxa"/>
            <w:vAlign w:val="center"/>
          </w:tcPr>
          <w:p w:rsidR="0039489D" w:rsidRDefault="00D3456C">
            <w:pPr>
              <w:jc w:val="right"/>
            </w:pPr>
            <w:r>
              <w:rPr>
                <w:rFonts w:eastAsiaTheme="minorEastAsia"/>
                <w:kern w:val="0"/>
                <w:szCs w:val="21"/>
              </w:rPr>
              <w:t>5.38</w:t>
            </w:r>
          </w:p>
        </w:tc>
      </w:tr>
      <w:tr w:rsidR="0039489D">
        <w:tc>
          <w:tcPr>
            <w:tcW w:w="817" w:type="dxa"/>
            <w:vAlign w:val="center"/>
          </w:tcPr>
          <w:p w:rsidR="0039489D" w:rsidRDefault="00D3456C">
            <w:pPr>
              <w:jc w:val="center"/>
            </w:pPr>
            <w:r>
              <w:rPr>
                <w:rFonts w:eastAsiaTheme="minorEastAsia"/>
                <w:kern w:val="0"/>
                <w:szCs w:val="21"/>
              </w:rPr>
              <w:t>7</w:t>
            </w:r>
          </w:p>
        </w:tc>
        <w:tc>
          <w:tcPr>
            <w:tcW w:w="1276" w:type="dxa"/>
            <w:vAlign w:val="center"/>
          </w:tcPr>
          <w:p w:rsidR="0039489D" w:rsidRDefault="00D3456C">
            <w:pPr>
              <w:jc w:val="center"/>
            </w:pPr>
            <w:r>
              <w:rPr>
                <w:rFonts w:eastAsiaTheme="minorEastAsia"/>
                <w:kern w:val="0"/>
                <w:szCs w:val="21"/>
              </w:rPr>
              <w:t>300750</w:t>
            </w:r>
          </w:p>
        </w:tc>
        <w:tc>
          <w:tcPr>
            <w:tcW w:w="1701" w:type="dxa"/>
            <w:vAlign w:val="center"/>
          </w:tcPr>
          <w:p w:rsidR="0039489D" w:rsidRDefault="00D3456C">
            <w:pPr>
              <w:jc w:val="center"/>
            </w:pPr>
            <w:r>
              <w:rPr>
                <w:rFonts w:eastAsiaTheme="minorEastAsia"/>
                <w:kern w:val="0"/>
                <w:szCs w:val="21"/>
              </w:rPr>
              <w:t>宁德时代</w:t>
            </w:r>
          </w:p>
        </w:tc>
        <w:tc>
          <w:tcPr>
            <w:tcW w:w="1276" w:type="dxa"/>
            <w:vAlign w:val="center"/>
          </w:tcPr>
          <w:p w:rsidR="0039489D" w:rsidRDefault="00D3456C">
            <w:pPr>
              <w:jc w:val="right"/>
            </w:pPr>
            <w:r>
              <w:rPr>
                <w:rFonts w:eastAsiaTheme="minorEastAsia"/>
                <w:kern w:val="0"/>
                <w:szCs w:val="21"/>
              </w:rPr>
              <w:t>119,296</w:t>
            </w:r>
          </w:p>
        </w:tc>
        <w:tc>
          <w:tcPr>
            <w:tcW w:w="1842" w:type="dxa"/>
            <w:vAlign w:val="center"/>
          </w:tcPr>
          <w:p w:rsidR="0039489D" w:rsidRDefault="00D3456C">
            <w:pPr>
              <w:jc w:val="right"/>
            </w:pPr>
            <w:r>
              <w:rPr>
                <w:rFonts w:eastAsiaTheme="minorEastAsia"/>
                <w:kern w:val="0"/>
                <w:szCs w:val="21"/>
              </w:rPr>
              <w:t>48,440,140.80</w:t>
            </w:r>
          </w:p>
        </w:tc>
        <w:tc>
          <w:tcPr>
            <w:tcW w:w="1616" w:type="dxa"/>
            <w:vAlign w:val="center"/>
          </w:tcPr>
          <w:p w:rsidR="0039489D" w:rsidRDefault="00D3456C">
            <w:pPr>
              <w:jc w:val="right"/>
            </w:pPr>
            <w:r>
              <w:rPr>
                <w:rFonts w:eastAsiaTheme="minorEastAsia"/>
                <w:kern w:val="0"/>
                <w:szCs w:val="21"/>
              </w:rPr>
              <w:t>4.70</w:t>
            </w:r>
          </w:p>
        </w:tc>
      </w:tr>
      <w:tr w:rsidR="0039489D">
        <w:tc>
          <w:tcPr>
            <w:tcW w:w="817" w:type="dxa"/>
            <w:vAlign w:val="center"/>
          </w:tcPr>
          <w:p w:rsidR="0039489D" w:rsidRDefault="00D3456C">
            <w:pPr>
              <w:jc w:val="center"/>
            </w:pPr>
            <w:r>
              <w:rPr>
                <w:rFonts w:eastAsiaTheme="minorEastAsia"/>
                <w:kern w:val="0"/>
                <w:szCs w:val="21"/>
              </w:rPr>
              <w:t>8</w:t>
            </w:r>
          </w:p>
        </w:tc>
        <w:tc>
          <w:tcPr>
            <w:tcW w:w="1276" w:type="dxa"/>
            <w:vAlign w:val="center"/>
          </w:tcPr>
          <w:p w:rsidR="0039489D" w:rsidRDefault="00D3456C">
            <w:pPr>
              <w:jc w:val="center"/>
            </w:pPr>
            <w:r>
              <w:rPr>
                <w:rFonts w:eastAsiaTheme="minorEastAsia"/>
                <w:kern w:val="0"/>
                <w:szCs w:val="21"/>
              </w:rPr>
              <w:t>002384</w:t>
            </w:r>
          </w:p>
        </w:tc>
        <w:tc>
          <w:tcPr>
            <w:tcW w:w="1701" w:type="dxa"/>
            <w:vAlign w:val="center"/>
          </w:tcPr>
          <w:p w:rsidR="0039489D" w:rsidRDefault="00D3456C">
            <w:pPr>
              <w:jc w:val="center"/>
            </w:pPr>
            <w:r>
              <w:rPr>
                <w:rFonts w:eastAsiaTheme="minorEastAsia"/>
                <w:kern w:val="0"/>
                <w:szCs w:val="21"/>
              </w:rPr>
              <w:t>东山精密</w:t>
            </w:r>
          </w:p>
        </w:tc>
        <w:tc>
          <w:tcPr>
            <w:tcW w:w="1276" w:type="dxa"/>
            <w:vAlign w:val="center"/>
          </w:tcPr>
          <w:p w:rsidR="0039489D" w:rsidRDefault="00D3456C">
            <w:pPr>
              <w:jc w:val="right"/>
            </w:pPr>
            <w:r>
              <w:rPr>
                <w:rFonts w:eastAsiaTheme="minorEastAsia"/>
                <w:kern w:val="0"/>
                <w:szCs w:val="21"/>
              </w:rPr>
              <w:t>1,244,200</w:t>
            </w:r>
          </w:p>
        </w:tc>
        <w:tc>
          <w:tcPr>
            <w:tcW w:w="1842" w:type="dxa"/>
            <w:vAlign w:val="center"/>
          </w:tcPr>
          <w:p w:rsidR="0039489D" w:rsidRDefault="00D3456C">
            <w:pPr>
              <w:jc w:val="right"/>
            </w:pPr>
            <w:r>
              <w:rPr>
                <w:rFonts w:eastAsiaTheme="minorEastAsia"/>
                <w:kern w:val="0"/>
                <w:szCs w:val="21"/>
              </w:rPr>
              <w:t>37,637,050.00</w:t>
            </w:r>
          </w:p>
        </w:tc>
        <w:tc>
          <w:tcPr>
            <w:tcW w:w="1616" w:type="dxa"/>
            <w:vAlign w:val="center"/>
          </w:tcPr>
          <w:p w:rsidR="0039489D" w:rsidRDefault="00D3456C">
            <w:pPr>
              <w:jc w:val="right"/>
            </w:pPr>
            <w:r>
              <w:rPr>
                <w:rFonts w:eastAsiaTheme="minorEastAsia"/>
                <w:kern w:val="0"/>
                <w:szCs w:val="21"/>
              </w:rPr>
              <w:t>3.65</w:t>
            </w:r>
          </w:p>
        </w:tc>
      </w:tr>
      <w:tr w:rsidR="0039489D">
        <w:tc>
          <w:tcPr>
            <w:tcW w:w="817" w:type="dxa"/>
            <w:vAlign w:val="center"/>
          </w:tcPr>
          <w:p w:rsidR="0039489D" w:rsidRDefault="00D3456C">
            <w:pPr>
              <w:jc w:val="center"/>
            </w:pPr>
            <w:r>
              <w:rPr>
                <w:rFonts w:eastAsiaTheme="minorEastAsia"/>
                <w:kern w:val="0"/>
                <w:szCs w:val="21"/>
              </w:rPr>
              <w:t>9</w:t>
            </w:r>
          </w:p>
        </w:tc>
        <w:tc>
          <w:tcPr>
            <w:tcW w:w="1276" w:type="dxa"/>
            <w:vAlign w:val="center"/>
          </w:tcPr>
          <w:p w:rsidR="0039489D" w:rsidRDefault="00D3456C">
            <w:pPr>
              <w:jc w:val="center"/>
            </w:pPr>
            <w:r>
              <w:rPr>
                <w:rFonts w:eastAsiaTheme="minorEastAsia"/>
                <w:kern w:val="0"/>
                <w:szCs w:val="21"/>
              </w:rPr>
              <w:t>300014</w:t>
            </w:r>
          </w:p>
        </w:tc>
        <w:tc>
          <w:tcPr>
            <w:tcW w:w="1701" w:type="dxa"/>
            <w:vAlign w:val="center"/>
          </w:tcPr>
          <w:p w:rsidR="0039489D" w:rsidRDefault="00D3456C">
            <w:pPr>
              <w:jc w:val="center"/>
            </w:pPr>
            <w:r>
              <w:rPr>
                <w:rFonts w:eastAsiaTheme="minorEastAsia"/>
                <w:kern w:val="0"/>
                <w:szCs w:val="21"/>
              </w:rPr>
              <w:t>亿纬锂能</w:t>
            </w:r>
          </w:p>
        </w:tc>
        <w:tc>
          <w:tcPr>
            <w:tcW w:w="1276" w:type="dxa"/>
            <w:vAlign w:val="center"/>
          </w:tcPr>
          <w:p w:rsidR="0039489D" w:rsidRDefault="00D3456C">
            <w:pPr>
              <w:jc w:val="right"/>
            </w:pPr>
            <w:r>
              <w:rPr>
                <w:rFonts w:eastAsiaTheme="minorEastAsia"/>
                <w:kern w:val="0"/>
                <w:szCs w:val="21"/>
              </w:rPr>
              <w:t>417,900</w:t>
            </w:r>
          </w:p>
        </w:tc>
        <w:tc>
          <w:tcPr>
            <w:tcW w:w="1842" w:type="dxa"/>
            <w:vAlign w:val="center"/>
          </w:tcPr>
          <w:p w:rsidR="0039489D" w:rsidRDefault="00D3456C">
            <w:pPr>
              <w:jc w:val="right"/>
            </w:pPr>
            <w:r>
              <w:rPr>
                <w:rFonts w:eastAsiaTheme="minorEastAsia"/>
                <w:kern w:val="0"/>
                <w:szCs w:val="21"/>
              </w:rPr>
              <w:t>29,127,630.00</w:t>
            </w:r>
          </w:p>
        </w:tc>
        <w:tc>
          <w:tcPr>
            <w:tcW w:w="1616" w:type="dxa"/>
            <w:vAlign w:val="center"/>
          </w:tcPr>
          <w:p w:rsidR="0039489D" w:rsidRDefault="00D3456C">
            <w:pPr>
              <w:jc w:val="right"/>
            </w:pPr>
            <w:r>
              <w:rPr>
                <w:rFonts w:eastAsiaTheme="minorEastAsia"/>
                <w:kern w:val="0"/>
                <w:szCs w:val="21"/>
              </w:rPr>
              <w:t>2.83</w:t>
            </w:r>
          </w:p>
        </w:tc>
      </w:tr>
      <w:tr w:rsidR="0039489D">
        <w:tc>
          <w:tcPr>
            <w:tcW w:w="817" w:type="dxa"/>
            <w:vAlign w:val="center"/>
          </w:tcPr>
          <w:p w:rsidR="0039489D" w:rsidRDefault="00D3456C">
            <w:pPr>
              <w:jc w:val="center"/>
            </w:pPr>
            <w:r>
              <w:rPr>
                <w:rFonts w:eastAsiaTheme="minorEastAsia"/>
                <w:kern w:val="0"/>
                <w:szCs w:val="21"/>
              </w:rPr>
              <w:t>10</w:t>
            </w:r>
          </w:p>
        </w:tc>
        <w:tc>
          <w:tcPr>
            <w:tcW w:w="1276" w:type="dxa"/>
            <w:vAlign w:val="center"/>
          </w:tcPr>
          <w:p w:rsidR="0039489D" w:rsidRDefault="00D3456C">
            <w:pPr>
              <w:jc w:val="center"/>
            </w:pPr>
            <w:r>
              <w:rPr>
                <w:rFonts w:eastAsiaTheme="minorEastAsia"/>
                <w:kern w:val="0"/>
                <w:szCs w:val="21"/>
              </w:rPr>
              <w:t>000651</w:t>
            </w:r>
          </w:p>
        </w:tc>
        <w:tc>
          <w:tcPr>
            <w:tcW w:w="1701" w:type="dxa"/>
            <w:vAlign w:val="center"/>
          </w:tcPr>
          <w:p w:rsidR="0039489D" w:rsidRDefault="00D3456C">
            <w:pPr>
              <w:jc w:val="center"/>
            </w:pPr>
            <w:r>
              <w:rPr>
                <w:rFonts w:eastAsiaTheme="minorEastAsia"/>
                <w:kern w:val="0"/>
                <w:szCs w:val="21"/>
              </w:rPr>
              <w:t>格力电器</w:t>
            </w:r>
          </w:p>
        </w:tc>
        <w:tc>
          <w:tcPr>
            <w:tcW w:w="1276" w:type="dxa"/>
            <w:vAlign w:val="center"/>
          </w:tcPr>
          <w:p w:rsidR="0039489D" w:rsidRDefault="00D3456C">
            <w:pPr>
              <w:jc w:val="right"/>
            </w:pPr>
            <w:r>
              <w:rPr>
                <w:rFonts w:eastAsiaTheme="minorEastAsia"/>
                <w:kern w:val="0"/>
                <w:szCs w:val="21"/>
              </w:rPr>
              <w:t>792,400</w:t>
            </w:r>
          </w:p>
        </w:tc>
        <w:tc>
          <w:tcPr>
            <w:tcW w:w="1842" w:type="dxa"/>
            <w:vAlign w:val="center"/>
          </w:tcPr>
          <w:p w:rsidR="0039489D" w:rsidRDefault="00D3456C">
            <w:pPr>
              <w:jc w:val="right"/>
            </w:pPr>
            <w:r>
              <w:rPr>
                <w:rFonts w:eastAsiaTheme="minorEastAsia"/>
                <w:kern w:val="0"/>
                <w:szCs w:val="21"/>
              </w:rPr>
              <w:t>29,120,700.00</w:t>
            </w:r>
          </w:p>
        </w:tc>
        <w:tc>
          <w:tcPr>
            <w:tcW w:w="1616" w:type="dxa"/>
            <w:vAlign w:val="center"/>
          </w:tcPr>
          <w:p w:rsidR="0039489D" w:rsidRDefault="00D3456C">
            <w:pPr>
              <w:jc w:val="right"/>
            </w:pPr>
            <w:r>
              <w:rPr>
                <w:rFonts w:eastAsiaTheme="minorEastAsia"/>
                <w:kern w:val="0"/>
                <w:szCs w:val="21"/>
              </w:rPr>
              <w:t>2.83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168,940.75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540,104.75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255,917.04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964,962.54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摩根核心成长股票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426,303,721.17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4,803,837.06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21,660,460.43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233,404.22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23,648,815.25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261,233.68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424,315,366.35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4,776,007.60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摩根核心成长股票型证券投资基金基金合同</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摩根核心成长股票型证券投资基金托管协议</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39489D" w:rsidRDefault="00D3456C">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3456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3456C">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3456C">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摩根核心成长股票型证券投资基金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489D"/>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456C"/>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9F64E-7A8B-4716-88C9-69DD7BAD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23</TotalTime>
  <Pages>13</Pages>
  <Words>1105</Words>
  <Characters>6305</Characters>
  <Application>Microsoft Office Word</Application>
  <DocSecurity>0</DocSecurity>
  <Lines>52</Lines>
  <Paragraphs>14</Paragraphs>
  <ScaleCrop>false</ScaleCrop>
  <Company>TRT. Ltd. Co.</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219</cp:revision>
  <cp:lastPrinted>2007-07-19T00:46:00Z</cp:lastPrinted>
  <dcterms:created xsi:type="dcterms:W3CDTF">2013-06-21T06:56:00Z</dcterms:created>
  <dcterms:modified xsi:type="dcterms:W3CDTF">2023-04-20T05:26:00Z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