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上投摩根核心成长股票型证券投资基金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bookmarkStart w:id="0" w:name="_GoBack"/>
      <w:bookmarkEnd w:id="0"/>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报告送出日期：二〇二二年一月二十四日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上投摩根核心成长股票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000457</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000457</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2014</w:t>
            </w:r>
            <w:r w:rsidRPr="00FF6B9A">
              <w:rPr>
                <w:rFonts w:eastAsiaTheme="minorEastAsia"/>
                <w:color w:val="000000" w:themeColor="text1"/>
                <w:kern w:val="0"/>
              </w:rPr>
              <w:t>年</w:t>
            </w:r>
            <w:r w:rsidRPr="00FF6B9A">
              <w:rPr>
                <w:rFonts w:eastAsiaTheme="minorEastAsia"/>
                <w:color w:val="000000" w:themeColor="text1"/>
                <w:kern w:val="0"/>
              </w:rPr>
              <w:t>2</w:t>
            </w:r>
            <w:r w:rsidRPr="00FF6B9A">
              <w:rPr>
                <w:rFonts w:eastAsiaTheme="minorEastAsia"/>
                <w:color w:val="000000" w:themeColor="text1"/>
                <w:kern w:val="0"/>
              </w:rPr>
              <w:t>月</w:t>
            </w:r>
            <w:r w:rsidRPr="00FF6B9A">
              <w:rPr>
                <w:rFonts w:eastAsiaTheme="minorEastAsia"/>
                <w:color w:val="000000" w:themeColor="text1"/>
                <w:kern w:val="0"/>
              </w:rPr>
              <w:t>10</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495,435,429.27</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本基金将充分利用管理人的投资研究平台，通过系统和深入的基本面研究，选择公司治理良好且具有较高增长潜力的公司进行投资，力争实现基金资产的长期稳定增值。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0B45C5" w:rsidRDefault="00641258">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0B45C5" w:rsidRDefault="0064125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GDP</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0B45C5" w:rsidRDefault="00641258">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0B45C5" w:rsidRDefault="00641258">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的个股精选策略，综合运用定量分析与定性分析</w:t>
            </w:r>
            <w:r>
              <w:rPr>
                <w:rFonts w:eastAsiaTheme="minorEastAsia"/>
                <w:color w:val="000000" w:themeColor="text1"/>
                <w:kern w:val="0"/>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0B45C5" w:rsidRDefault="00641258">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、行业配置策略</w:t>
            </w:r>
          </w:p>
          <w:p w:rsidR="000B45C5" w:rsidRDefault="00641258">
            <w:pPr>
              <w:adjustRightInd w:val="0"/>
              <w:spacing w:before="29" w:line="360" w:lineRule="auto"/>
              <w:ind w:left="17"/>
              <w:rPr>
                <w:rFonts w:eastAsiaTheme="minorEastAsia"/>
                <w:color w:val="000000" w:themeColor="text1"/>
              </w:rPr>
            </w:pPr>
            <w:r>
              <w:rPr>
                <w:rFonts w:eastAsiaTheme="minorEastAsia"/>
                <w:color w:val="000000" w:themeColor="text1"/>
                <w:kern w:val="0"/>
              </w:rPr>
              <w:t>本基金在精选个股的基础上，对股票投资组合进行适度</w:t>
            </w:r>
            <w:r>
              <w:rPr>
                <w:rFonts w:eastAsiaTheme="minorEastAsia"/>
                <w:color w:val="000000" w:themeColor="text1"/>
                <w:kern w:val="0"/>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、其他投资策略：包括固定收益类投资策略、可转换债券投资策略、中小企业私募债投资策略、股指期货投资策略、存托凭证投资策略。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×85%+</w:t>
            </w:r>
            <w:r w:rsidRPr="00FF6B9A">
              <w:rPr>
                <w:rFonts w:eastAsiaTheme="minorEastAsia"/>
                <w:color w:val="000000" w:themeColor="text1"/>
                <w:kern w:val="0"/>
              </w:rPr>
              <w:t>中债总指数收益率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0B45C5" w:rsidRDefault="00641258">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w:t>
            </w:r>
            <w:r>
              <w:rPr>
                <w:rFonts w:eastAsiaTheme="minorEastAsia"/>
                <w:color w:val="000000" w:themeColor="text1"/>
                <w:kern w:val="0"/>
              </w:rPr>
              <w:t xml:space="preserve"> </w:t>
            </w:r>
            <w:r>
              <w:rPr>
                <w:rFonts w:eastAsiaTheme="minorEastAsia"/>
                <w:color w:val="000000" w:themeColor="text1"/>
                <w:kern w:val="0"/>
              </w:rPr>
              <w:t>，属于较高风险收益水平的基金产品。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41258" w:rsidRPr="00FF6B9A" w:rsidTr="00641258">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641258" w:rsidRPr="00FF6B9A" w:rsidTr="00641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-3,094,131.50</w:t>
            </w:r>
          </w:p>
        </w:tc>
      </w:tr>
      <w:tr w:rsidR="00641258" w:rsidRPr="00FF6B9A" w:rsidTr="00641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96,367,613.16</w:t>
            </w:r>
          </w:p>
        </w:tc>
      </w:tr>
      <w:tr w:rsidR="00641258" w:rsidRPr="00FF6B9A" w:rsidTr="00641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0.1925</w:t>
            </w:r>
          </w:p>
        </w:tc>
      </w:tr>
      <w:tr w:rsidR="00641258" w:rsidRPr="00FF6B9A" w:rsidTr="00641258">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1,468,625,309.89</w:t>
            </w:r>
          </w:p>
        </w:tc>
      </w:tr>
      <w:tr w:rsidR="00641258" w:rsidRPr="00FF6B9A" w:rsidTr="00641258">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2.9643</w:t>
            </w:r>
          </w:p>
        </w:tc>
      </w:tr>
    </w:tbl>
    <w:p w:rsidR="000B45C5" w:rsidRDefault="0064125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0B45C5">
        <w:tc>
          <w:tcPr>
            <w:tcW w:w="1395" w:type="dxa"/>
            <w:vAlign w:val="center"/>
          </w:tcPr>
          <w:p w:rsidR="000B45C5" w:rsidRDefault="00641258">
            <w:pPr>
              <w:jc w:val="left"/>
            </w:pPr>
            <w:r>
              <w:rPr>
                <w:rFonts w:eastAsiaTheme="minorEastAsia"/>
                <w:color w:val="000000" w:themeColor="text1"/>
                <w:kern w:val="0"/>
              </w:rPr>
              <w:t>过去三个月</w:t>
            </w:r>
          </w:p>
        </w:tc>
        <w:tc>
          <w:tcPr>
            <w:tcW w:w="1092" w:type="dxa"/>
            <w:vAlign w:val="center"/>
          </w:tcPr>
          <w:p w:rsidR="000B45C5" w:rsidRDefault="00641258">
            <w:pPr>
              <w:jc w:val="center"/>
            </w:pPr>
            <w:r>
              <w:rPr>
                <w:rFonts w:eastAsiaTheme="minorEastAsia"/>
                <w:color w:val="000000" w:themeColor="text1"/>
                <w:kern w:val="0"/>
              </w:rPr>
              <w:t>6.90%</w:t>
            </w:r>
          </w:p>
        </w:tc>
        <w:tc>
          <w:tcPr>
            <w:tcW w:w="1161" w:type="dxa"/>
            <w:vAlign w:val="center"/>
          </w:tcPr>
          <w:p w:rsidR="000B45C5" w:rsidRDefault="00641258">
            <w:pPr>
              <w:jc w:val="center"/>
            </w:pPr>
            <w:r>
              <w:rPr>
                <w:rFonts w:eastAsiaTheme="minorEastAsia"/>
                <w:color w:val="000000" w:themeColor="text1"/>
                <w:kern w:val="0"/>
              </w:rPr>
              <w:t>0.82%</w:t>
            </w:r>
          </w:p>
        </w:tc>
        <w:tc>
          <w:tcPr>
            <w:tcW w:w="1181" w:type="dxa"/>
            <w:vAlign w:val="center"/>
          </w:tcPr>
          <w:p w:rsidR="000B45C5" w:rsidRDefault="00641258">
            <w:pPr>
              <w:jc w:val="center"/>
            </w:pPr>
            <w:r>
              <w:rPr>
                <w:rFonts w:eastAsiaTheme="minorEastAsia"/>
                <w:color w:val="000000" w:themeColor="text1"/>
                <w:kern w:val="0"/>
              </w:rPr>
              <w:t>1.41%</w:t>
            </w:r>
          </w:p>
        </w:tc>
        <w:tc>
          <w:tcPr>
            <w:tcW w:w="1188" w:type="dxa"/>
            <w:vAlign w:val="center"/>
          </w:tcPr>
          <w:p w:rsidR="000B45C5" w:rsidRDefault="00641258">
            <w:pPr>
              <w:jc w:val="center"/>
            </w:pPr>
            <w:r>
              <w:rPr>
                <w:rFonts w:eastAsiaTheme="minorEastAsia"/>
                <w:color w:val="000000" w:themeColor="text1"/>
                <w:kern w:val="0"/>
              </w:rPr>
              <w:t>0.67%</w:t>
            </w:r>
          </w:p>
        </w:tc>
        <w:tc>
          <w:tcPr>
            <w:tcW w:w="1199" w:type="dxa"/>
            <w:vAlign w:val="center"/>
          </w:tcPr>
          <w:p w:rsidR="000B45C5" w:rsidRDefault="00641258">
            <w:pPr>
              <w:jc w:val="center"/>
            </w:pPr>
            <w:r>
              <w:rPr>
                <w:rFonts w:eastAsiaTheme="minorEastAsia"/>
                <w:color w:val="000000" w:themeColor="text1"/>
                <w:kern w:val="0"/>
              </w:rPr>
              <w:t>5.49%</w:t>
            </w:r>
          </w:p>
        </w:tc>
        <w:tc>
          <w:tcPr>
            <w:tcW w:w="1204" w:type="dxa"/>
            <w:vAlign w:val="center"/>
          </w:tcPr>
          <w:p w:rsidR="000B45C5" w:rsidRDefault="00641258">
            <w:pPr>
              <w:jc w:val="center"/>
            </w:pPr>
            <w:r>
              <w:rPr>
                <w:rFonts w:eastAsiaTheme="minorEastAsia"/>
                <w:color w:val="000000" w:themeColor="text1"/>
                <w:kern w:val="0"/>
              </w:rPr>
              <w:t>0.15%</w:t>
            </w:r>
          </w:p>
        </w:tc>
      </w:tr>
      <w:tr w:rsidR="000B45C5">
        <w:tc>
          <w:tcPr>
            <w:tcW w:w="1395" w:type="dxa"/>
            <w:vAlign w:val="center"/>
          </w:tcPr>
          <w:p w:rsidR="000B45C5" w:rsidRDefault="00641258">
            <w:pPr>
              <w:jc w:val="left"/>
            </w:pPr>
            <w:r>
              <w:rPr>
                <w:rFonts w:eastAsiaTheme="minorEastAsia"/>
                <w:color w:val="000000" w:themeColor="text1"/>
                <w:kern w:val="0"/>
              </w:rPr>
              <w:t>过去六个月</w:t>
            </w:r>
          </w:p>
        </w:tc>
        <w:tc>
          <w:tcPr>
            <w:tcW w:w="1092" w:type="dxa"/>
            <w:vAlign w:val="center"/>
          </w:tcPr>
          <w:p w:rsidR="000B45C5" w:rsidRDefault="00641258">
            <w:pPr>
              <w:jc w:val="center"/>
            </w:pPr>
            <w:r>
              <w:rPr>
                <w:rFonts w:eastAsiaTheme="minorEastAsia"/>
                <w:color w:val="000000" w:themeColor="text1"/>
                <w:kern w:val="0"/>
              </w:rPr>
              <w:t>2.48%</w:t>
            </w:r>
          </w:p>
        </w:tc>
        <w:tc>
          <w:tcPr>
            <w:tcW w:w="1161" w:type="dxa"/>
            <w:vAlign w:val="center"/>
          </w:tcPr>
          <w:p w:rsidR="000B45C5" w:rsidRDefault="00641258">
            <w:pPr>
              <w:jc w:val="center"/>
            </w:pPr>
            <w:r>
              <w:rPr>
                <w:rFonts w:eastAsiaTheme="minorEastAsia"/>
                <w:color w:val="000000" w:themeColor="text1"/>
                <w:kern w:val="0"/>
              </w:rPr>
              <w:t>0.90%</w:t>
            </w:r>
          </w:p>
        </w:tc>
        <w:tc>
          <w:tcPr>
            <w:tcW w:w="1181" w:type="dxa"/>
            <w:vAlign w:val="center"/>
          </w:tcPr>
          <w:p w:rsidR="000B45C5" w:rsidRDefault="00641258">
            <w:pPr>
              <w:jc w:val="center"/>
            </w:pPr>
            <w:r>
              <w:rPr>
                <w:rFonts w:eastAsiaTheme="minorEastAsia"/>
                <w:color w:val="000000" w:themeColor="text1"/>
                <w:kern w:val="0"/>
              </w:rPr>
              <w:t>-4.31%</w:t>
            </w:r>
          </w:p>
        </w:tc>
        <w:tc>
          <w:tcPr>
            <w:tcW w:w="1188" w:type="dxa"/>
            <w:vAlign w:val="center"/>
          </w:tcPr>
          <w:p w:rsidR="000B45C5" w:rsidRDefault="00641258">
            <w:pPr>
              <w:jc w:val="center"/>
            </w:pPr>
            <w:r>
              <w:rPr>
                <w:rFonts w:eastAsiaTheme="minorEastAsia"/>
                <w:color w:val="000000" w:themeColor="text1"/>
                <w:kern w:val="0"/>
              </w:rPr>
              <w:t>0.87%</w:t>
            </w:r>
          </w:p>
        </w:tc>
        <w:tc>
          <w:tcPr>
            <w:tcW w:w="1199" w:type="dxa"/>
            <w:vAlign w:val="center"/>
          </w:tcPr>
          <w:p w:rsidR="000B45C5" w:rsidRDefault="00641258">
            <w:pPr>
              <w:jc w:val="center"/>
            </w:pPr>
            <w:r>
              <w:rPr>
                <w:rFonts w:eastAsiaTheme="minorEastAsia"/>
                <w:color w:val="000000" w:themeColor="text1"/>
                <w:kern w:val="0"/>
              </w:rPr>
              <w:t>6.79%</w:t>
            </w:r>
          </w:p>
        </w:tc>
        <w:tc>
          <w:tcPr>
            <w:tcW w:w="1204" w:type="dxa"/>
            <w:vAlign w:val="center"/>
          </w:tcPr>
          <w:p w:rsidR="000B45C5" w:rsidRDefault="00641258">
            <w:pPr>
              <w:jc w:val="center"/>
            </w:pPr>
            <w:r>
              <w:rPr>
                <w:rFonts w:eastAsiaTheme="minorEastAsia"/>
                <w:color w:val="000000" w:themeColor="text1"/>
                <w:kern w:val="0"/>
              </w:rPr>
              <w:t>0.03%</w:t>
            </w:r>
          </w:p>
        </w:tc>
      </w:tr>
      <w:tr w:rsidR="000B45C5">
        <w:tc>
          <w:tcPr>
            <w:tcW w:w="1395" w:type="dxa"/>
            <w:vAlign w:val="center"/>
          </w:tcPr>
          <w:p w:rsidR="000B45C5" w:rsidRDefault="00641258">
            <w:pPr>
              <w:jc w:val="left"/>
            </w:pPr>
            <w:r>
              <w:rPr>
                <w:rFonts w:eastAsiaTheme="minorEastAsia"/>
                <w:color w:val="000000" w:themeColor="text1"/>
                <w:kern w:val="0"/>
              </w:rPr>
              <w:t>过去一年</w:t>
            </w:r>
          </w:p>
        </w:tc>
        <w:tc>
          <w:tcPr>
            <w:tcW w:w="1092" w:type="dxa"/>
            <w:vAlign w:val="center"/>
          </w:tcPr>
          <w:p w:rsidR="000B45C5" w:rsidRDefault="00641258">
            <w:pPr>
              <w:jc w:val="center"/>
            </w:pPr>
            <w:r>
              <w:rPr>
                <w:rFonts w:eastAsiaTheme="minorEastAsia"/>
                <w:color w:val="000000" w:themeColor="text1"/>
                <w:kern w:val="0"/>
              </w:rPr>
              <w:t>17.98%</w:t>
            </w:r>
          </w:p>
        </w:tc>
        <w:tc>
          <w:tcPr>
            <w:tcW w:w="1161" w:type="dxa"/>
            <w:vAlign w:val="center"/>
          </w:tcPr>
          <w:p w:rsidR="000B45C5" w:rsidRDefault="00641258">
            <w:pPr>
              <w:jc w:val="center"/>
            </w:pPr>
            <w:r>
              <w:rPr>
                <w:rFonts w:eastAsiaTheme="minorEastAsia"/>
                <w:color w:val="000000" w:themeColor="text1"/>
                <w:kern w:val="0"/>
              </w:rPr>
              <w:t>1.02%</w:t>
            </w:r>
          </w:p>
        </w:tc>
        <w:tc>
          <w:tcPr>
            <w:tcW w:w="1181" w:type="dxa"/>
            <w:vAlign w:val="center"/>
          </w:tcPr>
          <w:p w:rsidR="000B45C5" w:rsidRDefault="00641258">
            <w:pPr>
              <w:jc w:val="center"/>
            </w:pPr>
            <w:r>
              <w:rPr>
                <w:rFonts w:eastAsiaTheme="minorEastAsia"/>
                <w:color w:val="000000" w:themeColor="text1"/>
                <w:kern w:val="0"/>
              </w:rPr>
              <w:t>-4.08%</w:t>
            </w:r>
          </w:p>
        </w:tc>
        <w:tc>
          <w:tcPr>
            <w:tcW w:w="1188" w:type="dxa"/>
            <w:vAlign w:val="center"/>
          </w:tcPr>
          <w:p w:rsidR="000B45C5" w:rsidRDefault="00641258">
            <w:pPr>
              <w:jc w:val="center"/>
            </w:pPr>
            <w:r>
              <w:rPr>
                <w:rFonts w:eastAsiaTheme="minorEastAsia"/>
                <w:color w:val="000000" w:themeColor="text1"/>
                <w:kern w:val="0"/>
              </w:rPr>
              <w:t>1.00%</w:t>
            </w:r>
          </w:p>
        </w:tc>
        <w:tc>
          <w:tcPr>
            <w:tcW w:w="1199" w:type="dxa"/>
            <w:vAlign w:val="center"/>
          </w:tcPr>
          <w:p w:rsidR="000B45C5" w:rsidRDefault="00641258">
            <w:pPr>
              <w:jc w:val="center"/>
            </w:pPr>
            <w:r>
              <w:rPr>
                <w:rFonts w:eastAsiaTheme="minorEastAsia"/>
                <w:color w:val="000000" w:themeColor="text1"/>
                <w:kern w:val="0"/>
              </w:rPr>
              <w:t>22.06%</w:t>
            </w:r>
          </w:p>
        </w:tc>
        <w:tc>
          <w:tcPr>
            <w:tcW w:w="1204" w:type="dxa"/>
            <w:vAlign w:val="center"/>
          </w:tcPr>
          <w:p w:rsidR="000B45C5" w:rsidRDefault="00641258">
            <w:pPr>
              <w:jc w:val="center"/>
            </w:pPr>
            <w:r>
              <w:rPr>
                <w:rFonts w:eastAsiaTheme="minorEastAsia"/>
                <w:color w:val="000000" w:themeColor="text1"/>
                <w:kern w:val="0"/>
              </w:rPr>
              <w:t>0.02%</w:t>
            </w:r>
          </w:p>
        </w:tc>
      </w:tr>
      <w:tr w:rsidR="000B45C5">
        <w:tc>
          <w:tcPr>
            <w:tcW w:w="1395" w:type="dxa"/>
            <w:vAlign w:val="center"/>
          </w:tcPr>
          <w:p w:rsidR="000B45C5" w:rsidRDefault="00641258">
            <w:pPr>
              <w:jc w:val="left"/>
            </w:pPr>
            <w:r>
              <w:rPr>
                <w:rFonts w:eastAsiaTheme="minorEastAsia"/>
                <w:color w:val="000000" w:themeColor="text1"/>
                <w:kern w:val="0"/>
              </w:rPr>
              <w:t>过去三年</w:t>
            </w:r>
          </w:p>
        </w:tc>
        <w:tc>
          <w:tcPr>
            <w:tcW w:w="1092" w:type="dxa"/>
            <w:vAlign w:val="center"/>
          </w:tcPr>
          <w:p w:rsidR="000B45C5" w:rsidRDefault="00641258">
            <w:pPr>
              <w:jc w:val="center"/>
            </w:pPr>
            <w:r>
              <w:rPr>
                <w:rFonts w:eastAsiaTheme="minorEastAsia"/>
                <w:color w:val="000000" w:themeColor="text1"/>
                <w:kern w:val="0"/>
              </w:rPr>
              <w:t>147.85%</w:t>
            </w:r>
          </w:p>
        </w:tc>
        <w:tc>
          <w:tcPr>
            <w:tcW w:w="1161" w:type="dxa"/>
            <w:vAlign w:val="center"/>
          </w:tcPr>
          <w:p w:rsidR="000B45C5" w:rsidRDefault="00641258">
            <w:pPr>
              <w:jc w:val="center"/>
            </w:pPr>
            <w:r>
              <w:rPr>
                <w:rFonts w:eastAsiaTheme="minorEastAsia"/>
                <w:color w:val="000000" w:themeColor="text1"/>
                <w:kern w:val="0"/>
              </w:rPr>
              <w:t>1.26%</w:t>
            </w:r>
          </w:p>
        </w:tc>
        <w:tc>
          <w:tcPr>
            <w:tcW w:w="1181" w:type="dxa"/>
            <w:vAlign w:val="center"/>
          </w:tcPr>
          <w:p w:rsidR="000B45C5" w:rsidRDefault="00641258">
            <w:pPr>
              <w:jc w:val="center"/>
            </w:pPr>
            <w:r>
              <w:rPr>
                <w:rFonts w:eastAsiaTheme="minorEastAsia"/>
                <w:color w:val="000000" w:themeColor="text1"/>
                <w:kern w:val="0"/>
              </w:rPr>
              <w:t>54.97%</w:t>
            </w:r>
          </w:p>
        </w:tc>
        <w:tc>
          <w:tcPr>
            <w:tcW w:w="1188" w:type="dxa"/>
            <w:vAlign w:val="center"/>
          </w:tcPr>
          <w:p w:rsidR="000B45C5" w:rsidRDefault="00641258">
            <w:pPr>
              <w:jc w:val="center"/>
            </w:pPr>
            <w:r>
              <w:rPr>
                <w:rFonts w:eastAsiaTheme="minorEastAsia"/>
                <w:color w:val="000000" w:themeColor="text1"/>
                <w:kern w:val="0"/>
              </w:rPr>
              <w:t>1.09%</w:t>
            </w:r>
          </w:p>
        </w:tc>
        <w:tc>
          <w:tcPr>
            <w:tcW w:w="1199" w:type="dxa"/>
            <w:vAlign w:val="center"/>
          </w:tcPr>
          <w:p w:rsidR="000B45C5" w:rsidRDefault="00641258">
            <w:pPr>
              <w:jc w:val="center"/>
            </w:pPr>
            <w:r>
              <w:rPr>
                <w:rFonts w:eastAsiaTheme="minorEastAsia"/>
                <w:color w:val="000000" w:themeColor="text1"/>
                <w:kern w:val="0"/>
              </w:rPr>
              <w:t>92.88%</w:t>
            </w:r>
          </w:p>
        </w:tc>
        <w:tc>
          <w:tcPr>
            <w:tcW w:w="1204" w:type="dxa"/>
            <w:vAlign w:val="center"/>
          </w:tcPr>
          <w:p w:rsidR="000B45C5" w:rsidRDefault="00641258">
            <w:pPr>
              <w:jc w:val="center"/>
            </w:pPr>
            <w:r>
              <w:rPr>
                <w:rFonts w:eastAsiaTheme="minorEastAsia"/>
                <w:color w:val="000000" w:themeColor="text1"/>
                <w:kern w:val="0"/>
              </w:rPr>
              <w:t>0.17%</w:t>
            </w:r>
          </w:p>
        </w:tc>
      </w:tr>
      <w:tr w:rsidR="000B45C5">
        <w:tc>
          <w:tcPr>
            <w:tcW w:w="1395" w:type="dxa"/>
            <w:vAlign w:val="center"/>
          </w:tcPr>
          <w:p w:rsidR="000B45C5" w:rsidRDefault="00641258">
            <w:pPr>
              <w:jc w:val="left"/>
            </w:pPr>
            <w:r>
              <w:rPr>
                <w:rFonts w:eastAsiaTheme="minorEastAsia"/>
                <w:color w:val="000000" w:themeColor="text1"/>
                <w:kern w:val="0"/>
              </w:rPr>
              <w:t>过去五年</w:t>
            </w:r>
          </w:p>
        </w:tc>
        <w:tc>
          <w:tcPr>
            <w:tcW w:w="1092" w:type="dxa"/>
            <w:vAlign w:val="center"/>
          </w:tcPr>
          <w:p w:rsidR="000B45C5" w:rsidRDefault="00641258">
            <w:pPr>
              <w:jc w:val="center"/>
            </w:pPr>
            <w:r>
              <w:rPr>
                <w:rFonts w:eastAsiaTheme="minorEastAsia"/>
                <w:color w:val="000000" w:themeColor="text1"/>
                <w:kern w:val="0"/>
              </w:rPr>
              <w:t>93.03%</w:t>
            </w:r>
          </w:p>
        </w:tc>
        <w:tc>
          <w:tcPr>
            <w:tcW w:w="1161" w:type="dxa"/>
            <w:vAlign w:val="center"/>
          </w:tcPr>
          <w:p w:rsidR="000B45C5" w:rsidRDefault="00641258">
            <w:pPr>
              <w:jc w:val="center"/>
            </w:pPr>
            <w:r>
              <w:rPr>
                <w:rFonts w:eastAsiaTheme="minorEastAsia"/>
                <w:color w:val="000000" w:themeColor="text1"/>
                <w:kern w:val="0"/>
              </w:rPr>
              <w:t>1.31%</w:t>
            </w:r>
          </w:p>
        </w:tc>
        <w:tc>
          <w:tcPr>
            <w:tcW w:w="1181" w:type="dxa"/>
            <w:vAlign w:val="center"/>
          </w:tcPr>
          <w:p w:rsidR="000B45C5" w:rsidRDefault="00641258">
            <w:pPr>
              <w:jc w:val="center"/>
            </w:pPr>
            <w:r>
              <w:rPr>
                <w:rFonts w:eastAsiaTheme="minorEastAsia"/>
                <w:color w:val="000000" w:themeColor="text1"/>
                <w:kern w:val="0"/>
              </w:rPr>
              <w:t>42.60%</w:t>
            </w:r>
          </w:p>
        </w:tc>
        <w:tc>
          <w:tcPr>
            <w:tcW w:w="1188" w:type="dxa"/>
            <w:vAlign w:val="center"/>
          </w:tcPr>
          <w:p w:rsidR="000B45C5" w:rsidRDefault="00641258">
            <w:pPr>
              <w:jc w:val="center"/>
            </w:pPr>
            <w:r>
              <w:rPr>
                <w:rFonts w:eastAsiaTheme="minorEastAsia"/>
                <w:color w:val="000000" w:themeColor="text1"/>
                <w:kern w:val="0"/>
              </w:rPr>
              <w:t>1.02%</w:t>
            </w:r>
          </w:p>
        </w:tc>
        <w:tc>
          <w:tcPr>
            <w:tcW w:w="1199" w:type="dxa"/>
            <w:vAlign w:val="center"/>
          </w:tcPr>
          <w:p w:rsidR="000B45C5" w:rsidRDefault="00641258">
            <w:pPr>
              <w:jc w:val="center"/>
            </w:pPr>
            <w:r>
              <w:rPr>
                <w:rFonts w:eastAsiaTheme="minorEastAsia"/>
                <w:color w:val="000000" w:themeColor="text1"/>
                <w:kern w:val="0"/>
              </w:rPr>
              <w:t>50.43%</w:t>
            </w:r>
          </w:p>
        </w:tc>
        <w:tc>
          <w:tcPr>
            <w:tcW w:w="1204" w:type="dxa"/>
            <w:vAlign w:val="center"/>
          </w:tcPr>
          <w:p w:rsidR="000B45C5" w:rsidRDefault="00641258">
            <w:pPr>
              <w:jc w:val="center"/>
            </w:pPr>
            <w:r>
              <w:rPr>
                <w:rFonts w:eastAsiaTheme="minorEastAsia"/>
                <w:color w:val="000000" w:themeColor="text1"/>
                <w:kern w:val="0"/>
              </w:rPr>
              <w:t>0.29%</w:t>
            </w:r>
          </w:p>
        </w:tc>
      </w:tr>
      <w:tr w:rsidR="000B45C5">
        <w:tc>
          <w:tcPr>
            <w:tcW w:w="1395" w:type="dxa"/>
            <w:vAlign w:val="center"/>
          </w:tcPr>
          <w:p w:rsidR="000B45C5" w:rsidRDefault="00641258">
            <w:pPr>
              <w:jc w:val="left"/>
            </w:pPr>
            <w:r>
              <w:rPr>
                <w:rFonts w:eastAsiaTheme="minorEastAsia"/>
                <w:color w:val="000000" w:themeColor="text1"/>
                <w:kern w:val="0"/>
              </w:rPr>
              <w:t>自基金合同生效起至今</w:t>
            </w:r>
          </w:p>
        </w:tc>
        <w:tc>
          <w:tcPr>
            <w:tcW w:w="1092" w:type="dxa"/>
            <w:vAlign w:val="center"/>
          </w:tcPr>
          <w:p w:rsidR="000B45C5" w:rsidRDefault="00641258">
            <w:pPr>
              <w:jc w:val="center"/>
            </w:pPr>
            <w:r>
              <w:rPr>
                <w:rFonts w:eastAsiaTheme="minorEastAsia"/>
                <w:color w:val="000000" w:themeColor="text1"/>
                <w:kern w:val="0"/>
              </w:rPr>
              <w:t>245.52%</w:t>
            </w:r>
          </w:p>
        </w:tc>
        <w:tc>
          <w:tcPr>
            <w:tcW w:w="1161" w:type="dxa"/>
            <w:vAlign w:val="center"/>
          </w:tcPr>
          <w:p w:rsidR="000B45C5" w:rsidRDefault="00641258">
            <w:pPr>
              <w:jc w:val="center"/>
            </w:pPr>
            <w:r>
              <w:rPr>
                <w:rFonts w:eastAsiaTheme="minorEastAsia"/>
                <w:color w:val="000000" w:themeColor="text1"/>
                <w:kern w:val="0"/>
              </w:rPr>
              <w:t>1.61%</w:t>
            </w:r>
          </w:p>
        </w:tc>
        <w:tc>
          <w:tcPr>
            <w:tcW w:w="1181" w:type="dxa"/>
            <w:vAlign w:val="center"/>
          </w:tcPr>
          <w:p w:rsidR="000B45C5" w:rsidRDefault="00641258">
            <w:pPr>
              <w:jc w:val="center"/>
            </w:pPr>
            <w:r>
              <w:rPr>
                <w:rFonts w:eastAsiaTheme="minorEastAsia"/>
                <w:color w:val="000000" w:themeColor="text1"/>
                <w:kern w:val="0"/>
              </w:rPr>
              <w:t>106.98%</w:t>
            </w:r>
          </w:p>
        </w:tc>
        <w:tc>
          <w:tcPr>
            <w:tcW w:w="1188" w:type="dxa"/>
            <w:vAlign w:val="center"/>
          </w:tcPr>
          <w:p w:rsidR="000B45C5" w:rsidRDefault="00641258">
            <w:pPr>
              <w:jc w:val="center"/>
            </w:pPr>
            <w:r>
              <w:rPr>
                <w:rFonts w:eastAsiaTheme="minorEastAsia"/>
                <w:color w:val="000000" w:themeColor="text1"/>
                <w:kern w:val="0"/>
              </w:rPr>
              <w:t>1.23%</w:t>
            </w:r>
          </w:p>
        </w:tc>
        <w:tc>
          <w:tcPr>
            <w:tcW w:w="1199" w:type="dxa"/>
            <w:vAlign w:val="center"/>
          </w:tcPr>
          <w:p w:rsidR="000B45C5" w:rsidRDefault="00641258">
            <w:pPr>
              <w:jc w:val="center"/>
            </w:pPr>
            <w:r>
              <w:rPr>
                <w:rFonts w:eastAsiaTheme="minorEastAsia"/>
                <w:color w:val="000000" w:themeColor="text1"/>
                <w:kern w:val="0"/>
              </w:rPr>
              <w:t>138.54%</w:t>
            </w:r>
          </w:p>
        </w:tc>
        <w:tc>
          <w:tcPr>
            <w:tcW w:w="1204" w:type="dxa"/>
            <w:vAlign w:val="center"/>
          </w:tcPr>
          <w:p w:rsidR="000B45C5" w:rsidRDefault="00641258">
            <w:pPr>
              <w:jc w:val="center"/>
            </w:pPr>
            <w:r>
              <w:rPr>
                <w:rFonts w:eastAsiaTheme="minorEastAsia"/>
                <w:color w:val="000000" w:themeColor="text1"/>
                <w:kern w:val="0"/>
              </w:rPr>
              <w:t>0.38%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上投摩根核心成长股票型证券投资基金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10</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B45C5" w:rsidRDefault="0064125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w:t>
      </w:r>
      <w:r>
        <w:rPr>
          <w:rFonts w:eastAsiaTheme="minorEastAsia"/>
          <w:color w:val="000000" w:themeColor="text1"/>
        </w:rPr>
        <w:t>10</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0B45C5">
        <w:tc>
          <w:tcPr>
            <w:tcW w:w="851" w:type="dxa"/>
            <w:vAlign w:val="center"/>
          </w:tcPr>
          <w:p w:rsidR="000B45C5" w:rsidRDefault="00641258">
            <w:pPr>
              <w:jc w:val="center"/>
            </w:pPr>
            <w:r>
              <w:rPr>
                <w:rFonts w:eastAsiaTheme="minorEastAsia"/>
                <w:color w:val="000000" w:themeColor="text1"/>
              </w:rPr>
              <w:t>李博</w:t>
            </w:r>
          </w:p>
        </w:tc>
        <w:tc>
          <w:tcPr>
            <w:tcW w:w="850" w:type="dxa"/>
            <w:vAlign w:val="center"/>
          </w:tcPr>
          <w:p w:rsidR="000B45C5" w:rsidRDefault="00641258">
            <w:pPr>
              <w:jc w:val="center"/>
            </w:pPr>
            <w:r>
              <w:rPr>
                <w:rFonts w:eastAsiaTheme="minorEastAsia"/>
                <w:color w:val="000000" w:themeColor="text1"/>
              </w:rPr>
              <w:t>本基金基金经理</w:t>
            </w:r>
          </w:p>
        </w:tc>
        <w:tc>
          <w:tcPr>
            <w:tcW w:w="1560" w:type="dxa"/>
            <w:vAlign w:val="center"/>
          </w:tcPr>
          <w:p w:rsidR="000B45C5" w:rsidRDefault="00641258">
            <w:pPr>
              <w:jc w:val="center"/>
            </w:pPr>
            <w:r>
              <w:rPr>
                <w:rFonts w:eastAsiaTheme="minorEastAsia"/>
                <w:color w:val="000000" w:themeColor="text1"/>
              </w:rPr>
              <w:t>2014-12-31</w:t>
            </w:r>
          </w:p>
        </w:tc>
        <w:tc>
          <w:tcPr>
            <w:tcW w:w="1559" w:type="dxa"/>
            <w:vAlign w:val="center"/>
          </w:tcPr>
          <w:p w:rsidR="000B45C5" w:rsidRDefault="00641258">
            <w:pPr>
              <w:jc w:val="center"/>
            </w:pPr>
            <w:r>
              <w:rPr>
                <w:rFonts w:eastAsiaTheme="minorEastAsia"/>
                <w:color w:val="000000" w:themeColor="text1"/>
              </w:rPr>
              <w:t>-</w:t>
            </w:r>
          </w:p>
        </w:tc>
        <w:tc>
          <w:tcPr>
            <w:tcW w:w="1417" w:type="dxa"/>
            <w:vAlign w:val="center"/>
          </w:tcPr>
          <w:p w:rsidR="000B45C5" w:rsidRDefault="00641258">
            <w:pPr>
              <w:jc w:val="center"/>
            </w:pPr>
            <w:r>
              <w:rPr>
                <w:rFonts w:eastAsiaTheme="minorEastAsia"/>
                <w:color w:val="000000" w:themeColor="text1"/>
              </w:rPr>
              <w:t>12</w:t>
            </w:r>
            <w:r>
              <w:rPr>
                <w:rFonts w:eastAsiaTheme="minorEastAsia"/>
                <w:color w:val="000000" w:themeColor="text1"/>
              </w:rPr>
              <w:t>年</w:t>
            </w:r>
          </w:p>
        </w:tc>
        <w:tc>
          <w:tcPr>
            <w:tcW w:w="2694" w:type="dxa"/>
            <w:vAlign w:val="center"/>
          </w:tcPr>
          <w:p w:rsidR="000B45C5" w:rsidRDefault="00641258">
            <w:r>
              <w:rPr>
                <w:rFonts w:eastAsiaTheme="minorEastAsia"/>
                <w:color w:val="000000" w:themeColor="text1"/>
              </w:rPr>
              <w:t>李博先生，上海交通大学硕士，自</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月在中银国际证券有限公司担任研究员，负责研究方面的工作。自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月起加入上投摩根基金管理有限公司，先后担任行业专家、基金经理、资深基金经理、国内权益投资部价值成长组组长兼资深基金经理，自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月起担任上投摩根核心成长股票型证券投资基金基金经理，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月同时担任上投摩根科技前沿灵活配置混合型证券投资基金基金经理，自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月起同时担任上投摩根阿尔法混合型证券投资基金基金经理，自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起同时担任上投摩根双息平衡混合型证券投资基金基金经理，自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月起同时担任上投摩根核心精选股票型证券投资基金基金经理。</w:t>
            </w:r>
          </w:p>
        </w:tc>
      </w:tr>
    </w:tbl>
    <w:p w:rsidR="000B45C5" w:rsidRDefault="0064125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2.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四季度，市场整体波动下降，沪深</w:t>
      </w:r>
      <w:r>
        <w:rPr>
          <w:rFonts w:eastAsiaTheme="minorEastAsia"/>
          <w:color w:val="000000" w:themeColor="text1"/>
        </w:rPr>
        <w:t>300</w:t>
      </w:r>
      <w:r>
        <w:rPr>
          <w:rFonts w:eastAsiaTheme="minorEastAsia"/>
          <w:color w:val="000000" w:themeColor="text1"/>
        </w:rPr>
        <w:t>微涨</w:t>
      </w:r>
      <w:r>
        <w:rPr>
          <w:rFonts w:eastAsiaTheme="minorEastAsia"/>
          <w:color w:val="000000" w:themeColor="text1"/>
        </w:rPr>
        <w:t>1.5%</w:t>
      </w:r>
      <w:r>
        <w:rPr>
          <w:rFonts w:eastAsiaTheme="minorEastAsia"/>
          <w:color w:val="000000" w:themeColor="text1"/>
        </w:rPr>
        <w:t>，创业板上涨</w:t>
      </w:r>
      <w:r>
        <w:rPr>
          <w:rFonts w:eastAsiaTheme="minorEastAsia"/>
          <w:color w:val="000000" w:themeColor="text1"/>
        </w:rPr>
        <w:t>2.4%</w:t>
      </w:r>
      <w:r>
        <w:rPr>
          <w:rFonts w:eastAsiaTheme="minorEastAsia"/>
          <w:color w:val="000000" w:themeColor="text1"/>
        </w:rPr>
        <w:t>。板块方面，结构分化较大，传媒、军工和通信行业领涨，煤炭、石油石化和钢铁行业领跌。四季度，在整个经济增速放缓的情况下，个股涨幅趋缓，前期涨幅较大的周期板块也出现了较大幅度调整。本基金重点配置了估值和成长相匹配的个股，此外，本季度还减持了部分前期超额收益较多个股，增持了部分市场关注度不高的成长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进入</w:t>
      </w:r>
      <w:r w:rsidRPr="00FF6B9A">
        <w:rPr>
          <w:rFonts w:eastAsiaTheme="minorEastAsia"/>
          <w:color w:val="000000" w:themeColor="text1"/>
        </w:rPr>
        <w:t>2022</w:t>
      </w:r>
      <w:r w:rsidRPr="00FF6B9A">
        <w:rPr>
          <w:rFonts w:eastAsiaTheme="minorEastAsia"/>
          <w:color w:val="000000" w:themeColor="text1"/>
        </w:rPr>
        <w:t>年，我们判断市场机会将大于风险，</w:t>
      </w:r>
      <w:r w:rsidRPr="00FF6B9A">
        <w:rPr>
          <w:rFonts w:eastAsiaTheme="minorEastAsia"/>
          <w:color w:val="000000" w:themeColor="text1"/>
        </w:rPr>
        <w:t>A</w:t>
      </w:r>
      <w:r w:rsidRPr="00FF6B9A">
        <w:rPr>
          <w:rFonts w:eastAsiaTheme="minorEastAsia"/>
          <w:color w:val="000000" w:themeColor="text1"/>
        </w:rPr>
        <w:t>股有望呈现结构性的投资机会。站在目前的时点，我们认为未来公司估值继续提升的可能性大幅降低，我们将更看重公司业绩的增长。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本报告期核心成长份额净值增长率为</w:t>
      </w:r>
      <w:r w:rsidRPr="00FF6B9A">
        <w:rPr>
          <w:rFonts w:eastAsiaTheme="minorEastAsia"/>
          <w:color w:val="000000" w:themeColor="text1"/>
        </w:rPr>
        <w:t>:6.90%</w:t>
      </w:r>
      <w:r w:rsidRPr="00FF6B9A">
        <w:rPr>
          <w:rFonts w:eastAsiaTheme="minorEastAsia"/>
          <w:color w:val="000000" w:themeColor="text1"/>
        </w:rPr>
        <w:t>，同期业绩比较基准收益率为</w:t>
      </w:r>
      <w:r w:rsidRPr="00FF6B9A">
        <w:rPr>
          <w:rFonts w:eastAsiaTheme="minorEastAsia"/>
          <w:color w:val="000000" w:themeColor="text1"/>
        </w:rPr>
        <w:t>:1.41%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1,186,399,878.88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80.09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1,186,399,878.88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80.09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3,554,000.00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0.24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3,554,000.00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0.24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288,202,324.42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19.45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3,223,557.63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1,481,379,760.93</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17,613,920.94</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1.20</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906,246,887.90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61.71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4,713.80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64,804,258.50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4,608.00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39,185,060.91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129,690,468.50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8.83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13,884,739.56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0.95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45,710.34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19,803.79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14,899,706.64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1,186,399,878.88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80.78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0B45C5">
        <w:tc>
          <w:tcPr>
            <w:tcW w:w="817" w:type="dxa"/>
            <w:vAlign w:val="center"/>
          </w:tcPr>
          <w:p w:rsidR="000B45C5" w:rsidRDefault="00641258">
            <w:pPr>
              <w:jc w:val="center"/>
            </w:pPr>
            <w:r>
              <w:rPr>
                <w:rFonts w:eastAsiaTheme="minorEastAsia"/>
                <w:kern w:val="0"/>
                <w:sz w:val="24"/>
                <w:szCs w:val="24"/>
              </w:rPr>
              <w:t>1</w:t>
            </w:r>
          </w:p>
        </w:tc>
        <w:tc>
          <w:tcPr>
            <w:tcW w:w="1276" w:type="dxa"/>
            <w:vAlign w:val="center"/>
          </w:tcPr>
          <w:p w:rsidR="000B45C5" w:rsidRDefault="00641258">
            <w:pPr>
              <w:jc w:val="center"/>
            </w:pPr>
            <w:r>
              <w:rPr>
                <w:rFonts w:eastAsiaTheme="minorEastAsia"/>
                <w:kern w:val="0"/>
                <w:sz w:val="24"/>
                <w:szCs w:val="24"/>
              </w:rPr>
              <w:t>002236</w:t>
            </w:r>
          </w:p>
        </w:tc>
        <w:tc>
          <w:tcPr>
            <w:tcW w:w="1701" w:type="dxa"/>
            <w:vAlign w:val="center"/>
          </w:tcPr>
          <w:p w:rsidR="000B45C5" w:rsidRDefault="00641258">
            <w:pPr>
              <w:jc w:val="center"/>
            </w:pPr>
            <w:r>
              <w:rPr>
                <w:rFonts w:eastAsiaTheme="minorEastAsia"/>
                <w:kern w:val="0"/>
                <w:sz w:val="24"/>
                <w:szCs w:val="24"/>
              </w:rPr>
              <w:t>大华股份</w:t>
            </w:r>
          </w:p>
        </w:tc>
        <w:tc>
          <w:tcPr>
            <w:tcW w:w="1276" w:type="dxa"/>
            <w:vAlign w:val="center"/>
          </w:tcPr>
          <w:p w:rsidR="000B45C5" w:rsidRDefault="00641258">
            <w:pPr>
              <w:jc w:val="right"/>
            </w:pPr>
            <w:r>
              <w:rPr>
                <w:rFonts w:eastAsiaTheme="minorEastAsia"/>
                <w:kern w:val="0"/>
                <w:sz w:val="24"/>
                <w:szCs w:val="24"/>
              </w:rPr>
              <w:t>5,443,944</w:t>
            </w:r>
          </w:p>
        </w:tc>
        <w:tc>
          <w:tcPr>
            <w:tcW w:w="1842" w:type="dxa"/>
            <w:vAlign w:val="center"/>
          </w:tcPr>
          <w:p w:rsidR="000B45C5" w:rsidRDefault="00641258">
            <w:pPr>
              <w:jc w:val="right"/>
            </w:pPr>
            <w:r>
              <w:rPr>
                <w:rFonts w:eastAsiaTheme="minorEastAsia"/>
                <w:kern w:val="0"/>
                <w:sz w:val="24"/>
                <w:szCs w:val="24"/>
              </w:rPr>
              <w:t>127,823,805.12</w:t>
            </w:r>
          </w:p>
        </w:tc>
        <w:tc>
          <w:tcPr>
            <w:tcW w:w="1616" w:type="dxa"/>
            <w:vAlign w:val="center"/>
          </w:tcPr>
          <w:p w:rsidR="000B45C5" w:rsidRDefault="00641258">
            <w:pPr>
              <w:jc w:val="right"/>
            </w:pPr>
            <w:r>
              <w:rPr>
                <w:rFonts w:eastAsiaTheme="minorEastAsia"/>
                <w:kern w:val="0"/>
                <w:sz w:val="24"/>
                <w:szCs w:val="24"/>
              </w:rPr>
              <w:t>8.70</w:t>
            </w:r>
          </w:p>
        </w:tc>
      </w:tr>
      <w:tr w:rsidR="000B45C5">
        <w:tc>
          <w:tcPr>
            <w:tcW w:w="817" w:type="dxa"/>
            <w:vAlign w:val="center"/>
          </w:tcPr>
          <w:p w:rsidR="000B45C5" w:rsidRDefault="00641258">
            <w:pPr>
              <w:jc w:val="center"/>
            </w:pPr>
            <w:r>
              <w:rPr>
                <w:rFonts w:eastAsiaTheme="minorEastAsia"/>
                <w:kern w:val="0"/>
                <w:sz w:val="24"/>
                <w:szCs w:val="24"/>
              </w:rPr>
              <w:t>2</w:t>
            </w:r>
          </w:p>
        </w:tc>
        <w:tc>
          <w:tcPr>
            <w:tcW w:w="1276" w:type="dxa"/>
            <w:vAlign w:val="center"/>
          </w:tcPr>
          <w:p w:rsidR="000B45C5" w:rsidRDefault="00641258">
            <w:pPr>
              <w:jc w:val="center"/>
            </w:pPr>
            <w:r>
              <w:rPr>
                <w:rFonts w:eastAsiaTheme="minorEastAsia"/>
                <w:kern w:val="0"/>
                <w:sz w:val="24"/>
                <w:szCs w:val="24"/>
              </w:rPr>
              <w:t>002043</w:t>
            </w:r>
          </w:p>
        </w:tc>
        <w:tc>
          <w:tcPr>
            <w:tcW w:w="1701" w:type="dxa"/>
            <w:vAlign w:val="center"/>
          </w:tcPr>
          <w:p w:rsidR="000B45C5" w:rsidRDefault="00641258">
            <w:pPr>
              <w:jc w:val="center"/>
            </w:pPr>
            <w:r>
              <w:rPr>
                <w:rFonts w:eastAsiaTheme="minorEastAsia"/>
                <w:kern w:val="0"/>
                <w:sz w:val="24"/>
                <w:szCs w:val="24"/>
              </w:rPr>
              <w:t>兔</w:t>
            </w:r>
            <w:r>
              <w:rPr>
                <w:rFonts w:eastAsiaTheme="minorEastAsia"/>
                <w:kern w:val="0"/>
                <w:sz w:val="24"/>
                <w:szCs w:val="24"/>
              </w:rPr>
              <w:t xml:space="preserve"> </w:t>
            </w:r>
            <w:r>
              <w:rPr>
                <w:rFonts w:eastAsiaTheme="minorEastAsia"/>
                <w:kern w:val="0"/>
                <w:sz w:val="24"/>
                <w:szCs w:val="24"/>
              </w:rPr>
              <w:t>宝</w:t>
            </w:r>
            <w:r>
              <w:rPr>
                <w:rFonts w:eastAsiaTheme="minorEastAsia"/>
                <w:kern w:val="0"/>
                <w:sz w:val="24"/>
                <w:szCs w:val="24"/>
              </w:rPr>
              <w:t xml:space="preserve"> </w:t>
            </w:r>
            <w:r>
              <w:rPr>
                <w:rFonts w:eastAsiaTheme="minorEastAsia"/>
                <w:kern w:val="0"/>
                <w:sz w:val="24"/>
                <w:szCs w:val="24"/>
              </w:rPr>
              <w:t>宝</w:t>
            </w:r>
          </w:p>
        </w:tc>
        <w:tc>
          <w:tcPr>
            <w:tcW w:w="1276" w:type="dxa"/>
            <w:vAlign w:val="center"/>
          </w:tcPr>
          <w:p w:rsidR="000B45C5" w:rsidRDefault="00641258">
            <w:pPr>
              <w:jc w:val="right"/>
            </w:pPr>
            <w:r>
              <w:rPr>
                <w:rFonts w:eastAsiaTheme="minorEastAsia"/>
                <w:kern w:val="0"/>
                <w:sz w:val="24"/>
                <w:szCs w:val="24"/>
              </w:rPr>
              <w:t>9,282,277</w:t>
            </w:r>
          </w:p>
        </w:tc>
        <w:tc>
          <w:tcPr>
            <w:tcW w:w="1842" w:type="dxa"/>
            <w:vAlign w:val="center"/>
          </w:tcPr>
          <w:p w:rsidR="000B45C5" w:rsidRDefault="00641258">
            <w:pPr>
              <w:jc w:val="right"/>
            </w:pPr>
            <w:r>
              <w:rPr>
                <w:rFonts w:eastAsiaTheme="minorEastAsia"/>
                <w:kern w:val="0"/>
                <w:sz w:val="24"/>
                <w:szCs w:val="24"/>
              </w:rPr>
              <w:t>112,129,906.16</w:t>
            </w:r>
          </w:p>
        </w:tc>
        <w:tc>
          <w:tcPr>
            <w:tcW w:w="1616" w:type="dxa"/>
            <w:vAlign w:val="center"/>
          </w:tcPr>
          <w:p w:rsidR="000B45C5" w:rsidRDefault="00641258">
            <w:pPr>
              <w:jc w:val="right"/>
            </w:pPr>
            <w:r>
              <w:rPr>
                <w:rFonts w:eastAsiaTheme="minorEastAsia"/>
                <w:kern w:val="0"/>
                <w:sz w:val="24"/>
                <w:szCs w:val="24"/>
              </w:rPr>
              <w:t>7.64</w:t>
            </w:r>
          </w:p>
        </w:tc>
      </w:tr>
      <w:tr w:rsidR="000B45C5">
        <w:tc>
          <w:tcPr>
            <w:tcW w:w="817" w:type="dxa"/>
            <w:vAlign w:val="center"/>
          </w:tcPr>
          <w:p w:rsidR="000B45C5" w:rsidRDefault="00641258">
            <w:pPr>
              <w:jc w:val="center"/>
            </w:pPr>
            <w:r>
              <w:rPr>
                <w:rFonts w:eastAsiaTheme="minorEastAsia"/>
                <w:kern w:val="0"/>
                <w:sz w:val="24"/>
                <w:szCs w:val="24"/>
              </w:rPr>
              <w:t>3</w:t>
            </w:r>
          </w:p>
        </w:tc>
        <w:tc>
          <w:tcPr>
            <w:tcW w:w="1276" w:type="dxa"/>
            <w:vAlign w:val="center"/>
          </w:tcPr>
          <w:p w:rsidR="000B45C5" w:rsidRDefault="00641258">
            <w:pPr>
              <w:jc w:val="center"/>
            </w:pPr>
            <w:r>
              <w:rPr>
                <w:rFonts w:eastAsiaTheme="minorEastAsia"/>
                <w:kern w:val="0"/>
                <w:sz w:val="24"/>
                <w:szCs w:val="24"/>
              </w:rPr>
              <w:t>002384</w:t>
            </w:r>
          </w:p>
        </w:tc>
        <w:tc>
          <w:tcPr>
            <w:tcW w:w="1701" w:type="dxa"/>
            <w:vAlign w:val="center"/>
          </w:tcPr>
          <w:p w:rsidR="000B45C5" w:rsidRDefault="00641258">
            <w:pPr>
              <w:jc w:val="center"/>
            </w:pPr>
            <w:r>
              <w:rPr>
                <w:rFonts w:eastAsiaTheme="minorEastAsia"/>
                <w:kern w:val="0"/>
                <w:sz w:val="24"/>
                <w:szCs w:val="24"/>
              </w:rPr>
              <w:t>东山精密</w:t>
            </w:r>
          </w:p>
        </w:tc>
        <w:tc>
          <w:tcPr>
            <w:tcW w:w="1276" w:type="dxa"/>
            <w:vAlign w:val="center"/>
          </w:tcPr>
          <w:p w:rsidR="000B45C5" w:rsidRDefault="00641258">
            <w:pPr>
              <w:jc w:val="right"/>
            </w:pPr>
            <w:r>
              <w:rPr>
                <w:rFonts w:eastAsiaTheme="minorEastAsia"/>
                <w:kern w:val="0"/>
                <w:sz w:val="24"/>
                <w:szCs w:val="24"/>
              </w:rPr>
              <w:t>1,990,200</w:t>
            </w:r>
          </w:p>
        </w:tc>
        <w:tc>
          <w:tcPr>
            <w:tcW w:w="1842" w:type="dxa"/>
            <w:vAlign w:val="center"/>
          </w:tcPr>
          <w:p w:rsidR="000B45C5" w:rsidRDefault="00641258">
            <w:pPr>
              <w:jc w:val="right"/>
            </w:pPr>
            <w:r>
              <w:rPr>
                <w:rFonts w:eastAsiaTheme="minorEastAsia"/>
                <w:kern w:val="0"/>
                <w:sz w:val="24"/>
                <w:szCs w:val="24"/>
              </w:rPr>
              <w:t>53,934,420.00</w:t>
            </w:r>
          </w:p>
        </w:tc>
        <w:tc>
          <w:tcPr>
            <w:tcW w:w="1616" w:type="dxa"/>
            <w:vAlign w:val="center"/>
          </w:tcPr>
          <w:p w:rsidR="000B45C5" w:rsidRDefault="00641258">
            <w:pPr>
              <w:jc w:val="right"/>
            </w:pPr>
            <w:r>
              <w:rPr>
                <w:rFonts w:eastAsiaTheme="minorEastAsia"/>
                <w:kern w:val="0"/>
                <w:sz w:val="24"/>
                <w:szCs w:val="24"/>
              </w:rPr>
              <w:t>3.67</w:t>
            </w:r>
          </w:p>
        </w:tc>
      </w:tr>
      <w:tr w:rsidR="000B45C5">
        <w:tc>
          <w:tcPr>
            <w:tcW w:w="817" w:type="dxa"/>
            <w:vAlign w:val="center"/>
          </w:tcPr>
          <w:p w:rsidR="000B45C5" w:rsidRDefault="00641258">
            <w:pPr>
              <w:jc w:val="center"/>
            </w:pPr>
            <w:r>
              <w:rPr>
                <w:rFonts w:eastAsiaTheme="minorEastAsia"/>
                <w:kern w:val="0"/>
                <w:sz w:val="24"/>
                <w:szCs w:val="24"/>
              </w:rPr>
              <w:t>4</w:t>
            </w:r>
          </w:p>
        </w:tc>
        <w:tc>
          <w:tcPr>
            <w:tcW w:w="1276" w:type="dxa"/>
            <w:vAlign w:val="center"/>
          </w:tcPr>
          <w:p w:rsidR="000B45C5" w:rsidRDefault="00641258">
            <w:pPr>
              <w:jc w:val="center"/>
            </w:pPr>
            <w:r>
              <w:rPr>
                <w:rFonts w:eastAsiaTheme="minorEastAsia"/>
                <w:kern w:val="0"/>
                <w:sz w:val="24"/>
                <w:szCs w:val="24"/>
              </w:rPr>
              <w:t>603816</w:t>
            </w:r>
          </w:p>
        </w:tc>
        <w:tc>
          <w:tcPr>
            <w:tcW w:w="1701" w:type="dxa"/>
            <w:vAlign w:val="center"/>
          </w:tcPr>
          <w:p w:rsidR="000B45C5" w:rsidRDefault="00641258">
            <w:pPr>
              <w:jc w:val="center"/>
            </w:pPr>
            <w:r>
              <w:rPr>
                <w:rFonts w:eastAsiaTheme="minorEastAsia"/>
                <w:kern w:val="0"/>
                <w:sz w:val="24"/>
                <w:szCs w:val="24"/>
              </w:rPr>
              <w:t>顾家家居</w:t>
            </w:r>
          </w:p>
        </w:tc>
        <w:tc>
          <w:tcPr>
            <w:tcW w:w="1276" w:type="dxa"/>
            <w:vAlign w:val="center"/>
          </w:tcPr>
          <w:p w:rsidR="000B45C5" w:rsidRDefault="00641258">
            <w:pPr>
              <w:jc w:val="right"/>
            </w:pPr>
            <w:r>
              <w:rPr>
                <w:rFonts w:eastAsiaTheme="minorEastAsia"/>
                <w:kern w:val="0"/>
                <w:sz w:val="24"/>
                <w:szCs w:val="24"/>
              </w:rPr>
              <w:t>692,923</w:t>
            </w:r>
          </w:p>
        </w:tc>
        <w:tc>
          <w:tcPr>
            <w:tcW w:w="1842" w:type="dxa"/>
            <w:vAlign w:val="center"/>
          </w:tcPr>
          <w:p w:rsidR="000B45C5" w:rsidRDefault="00641258">
            <w:pPr>
              <w:jc w:val="right"/>
            </w:pPr>
            <w:r>
              <w:rPr>
                <w:rFonts w:eastAsiaTheme="minorEastAsia"/>
                <w:kern w:val="0"/>
                <w:sz w:val="24"/>
                <w:szCs w:val="24"/>
              </w:rPr>
              <w:t>53,465,938.68</w:t>
            </w:r>
          </w:p>
        </w:tc>
        <w:tc>
          <w:tcPr>
            <w:tcW w:w="1616" w:type="dxa"/>
            <w:vAlign w:val="center"/>
          </w:tcPr>
          <w:p w:rsidR="000B45C5" w:rsidRDefault="00641258">
            <w:pPr>
              <w:jc w:val="right"/>
            </w:pPr>
            <w:r>
              <w:rPr>
                <w:rFonts w:eastAsiaTheme="minorEastAsia"/>
                <w:kern w:val="0"/>
                <w:sz w:val="24"/>
                <w:szCs w:val="24"/>
              </w:rPr>
              <w:t>3.64</w:t>
            </w:r>
          </w:p>
        </w:tc>
      </w:tr>
      <w:tr w:rsidR="000B45C5">
        <w:tc>
          <w:tcPr>
            <w:tcW w:w="817" w:type="dxa"/>
            <w:vAlign w:val="center"/>
          </w:tcPr>
          <w:p w:rsidR="000B45C5" w:rsidRDefault="00641258">
            <w:pPr>
              <w:jc w:val="center"/>
            </w:pPr>
            <w:r>
              <w:rPr>
                <w:rFonts w:eastAsiaTheme="minorEastAsia"/>
                <w:kern w:val="0"/>
                <w:sz w:val="24"/>
                <w:szCs w:val="24"/>
              </w:rPr>
              <w:t>5</w:t>
            </w:r>
          </w:p>
        </w:tc>
        <w:tc>
          <w:tcPr>
            <w:tcW w:w="1276" w:type="dxa"/>
            <w:vAlign w:val="center"/>
          </w:tcPr>
          <w:p w:rsidR="000B45C5" w:rsidRDefault="00641258">
            <w:pPr>
              <w:jc w:val="center"/>
            </w:pPr>
            <w:r>
              <w:rPr>
                <w:rFonts w:eastAsiaTheme="minorEastAsia"/>
                <w:kern w:val="0"/>
                <w:sz w:val="24"/>
                <w:szCs w:val="24"/>
              </w:rPr>
              <w:t>002727</w:t>
            </w:r>
          </w:p>
        </w:tc>
        <w:tc>
          <w:tcPr>
            <w:tcW w:w="1701" w:type="dxa"/>
            <w:vAlign w:val="center"/>
          </w:tcPr>
          <w:p w:rsidR="000B45C5" w:rsidRDefault="00641258">
            <w:pPr>
              <w:jc w:val="center"/>
            </w:pPr>
            <w:r>
              <w:rPr>
                <w:rFonts w:eastAsiaTheme="minorEastAsia"/>
                <w:kern w:val="0"/>
                <w:sz w:val="24"/>
                <w:szCs w:val="24"/>
              </w:rPr>
              <w:t>一心堂</w:t>
            </w:r>
          </w:p>
        </w:tc>
        <w:tc>
          <w:tcPr>
            <w:tcW w:w="1276" w:type="dxa"/>
            <w:vAlign w:val="center"/>
          </w:tcPr>
          <w:p w:rsidR="000B45C5" w:rsidRDefault="00641258">
            <w:pPr>
              <w:jc w:val="right"/>
            </w:pPr>
            <w:r>
              <w:rPr>
                <w:rFonts w:eastAsiaTheme="minorEastAsia"/>
                <w:kern w:val="0"/>
                <w:sz w:val="24"/>
                <w:szCs w:val="24"/>
              </w:rPr>
              <w:t>1,287,400</w:t>
            </w:r>
          </w:p>
        </w:tc>
        <w:tc>
          <w:tcPr>
            <w:tcW w:w="1842" w:type="dxa"/>
            <w:vAlign w:val="center"/>
          </w:tcPr>
          <w:p w:rsidR="000B45C5" w:rsidRDefault="00641258">
            <w:pPr>
              <w:jc w:val="right"/>
            </w:pPr>
            <w:r>
              <w:rPr>
                <w:rFonts w:eastAsiaTheme="minorEastAsia"/>
                <w:kern w:val="0"/>
                <w:sz w:val="24"/>
                <w:szCs w:val="24"/>
              </w:rPr>
              <w:t>49,577,774.00</w:t>
            </w:r>
          </w:p>
        </w:tc>
        <w:tc>
          <w:tcPr>
            <w:tcW w:w="1616" w:type="dxa"/>
            <w:vAlign w:val="center"/>
          </w:tcPr>
          <w:p w:rsidR="000B45C5" w:rsidRDefault="00641258">
            <w:pPr>
              <w:jc w:val="right"/>
            </w:pPr>
            <w:r>
              <w:rPr>
                <w:rFonts w:eastAsiaTheme="minorEastAsia"/>
                <w:kern w:val="0"/>
                <w:sz w:val="24"/>
                <w:szCs w:val="24"/>
              </w:rPr>
              <w:t>3.38</w:t>
            </w:r>
          </w:p>
        </w:tc>
      </w:tr>
      <w:tr w:rsidR="000B45C5">
        <w:tc>
          <w:tcPr>
            <w:tcW w:w="817" w:type="dxa"/>
            <w:vAlign w:val="center"/>
          </w:tcPr>
          <w:p w:rsidR="000B45C5" w:rsidRDefault="00641258">
            <w:pPr>
              <w:jc w:val="center"/>
            </w:pPr>
            <w:r>
              <w:rPr>
                <w:rFonts w:eastAsiaTheme="minorEastAsia"/>
                <w:kern w:val="0"/>
                <w:sz w:val="24"/>
                <w:szCs w:val="24"/>
              </w:rPr>
              <w:t>6</w:t>
            </w:r>
          </w:p>
        </w:tc>
        <w:tc>
          <w:tcPr>
            <w:tcW w:w="1276" w:type="dxa"/>
            <w:vAlign w:val="center"/>
          </w:tcPr>
          <w:p w:rsidR="000B45C5" w:rsidRDefault="00641258">
            <w:pPr>
              <w:jc w:val="center"/>
            </w:pPr>
            <w:r>
              <w:rPr>
                <w:rFonts w:eastAsiaTheme="minorEastAsia"/>
                <w:kern w:val="0"/>
                <w:sz w:val="24"/>
                <w:szCs w:val="24"/>
              </w:rPr>
              <w:t>605336</w:t>
            </w:r>
          </w:p>
        </w:tc>
        <w:tc>
          <w:tcPr>
            <w:tcW w:w="1701" w:type="dxa"/>
            <w:vAlign w:val="center"/>
          </w:tcPr>
          <w:p w:rsidR="000B45C5" w:rsidRDefault="00641258">
            <w:pPr>
              <w:jc w:val="center"/>
            </w:pPr>
            <w:r>
              <w:rPr>
                <w:rFonts w:eastAsiaTheme="minorEastAsia"/>
                <w:kern w:val="0"/>
                <w:sz w:val="24"/>
                <w:szCs w:val="24"/>
              </w:rPr>
              <w:t>帅丰电器</w:t>
            </w:r>
          </w:p>
        </w:tc>
        <w:tc>
          <w:tcPr>
            <w:tcW w:w="1276" w:type="dxa"/>
            <w:vAlign w:val="center"/>
          </w:tcPr>
          <w:p w:rsidR="000B45C5" w:rsidRDefault="00641258">
            <w:pPr>
              <w:jc w:val="right"/>
            </w:pPr>
            <w:r>
              <w:rPr>
                <w:rFonts w:eastAsiaTheme="minorEastAsia"/>
                <w:kern w:val="0"/>
                <w:sz w:val="24"/>
                <w:szCs w:val="24"/>
              </w:rPr>
              <w:t>1,324,510</w:t>
            </w:r>
          </w:p>
        </w:tc>
        <w:tc>
          <w:tcPr>
            <w:tcW w:w="1842" w:type="dxa"/>
            <w:vAlign w:val="center"/>
          </w:tcPr>
          <w:p w:rsidR="000B45C5" w:rsidRDefault="00641258">
            <w:pPr>
              <w:jc w:val="right"/>
            </w:pPr>
            <w:r>
              <w:rPr>
                <w:rFonts w:eastAsiaTheme="minorEastAsia"/>
                <w:kern w:val="0"/>
                <w:sz w:val="24"/>
                <w:szCs w:val="24"/>
              </w:rPr>
              <w:t>45,165,791.00</w:t>
            </w:r>
          </w:p>
        </w:tc>
        <w:tc>
          <w:tcPr>
            <w:tcW w:w="1616" w:type="dxa"/>
            <w:vAlign w:val="center"/>
          </w:tcPr>
          <w:p w:rsidR="000B45C5" w:rsidRDefault="00641258">
            <w:pPr>
              <w:jc w:val="right"/>
            </w:pPr>
            <w:r>
              <w:rPr>
                <w:rFonts w:eastAsiaTheme="minorEastAsia"/>
                <w:kern w:val="0"/>
                <w:sz w:val="24"/>
                <w:szCs w:val="24"/>
              </w:rPr>
              <w:t>3.08</w:t>
            </w:r>
          </w:p>
        </w:tc>
      </w:tr>
      <w:tr w:rsidR="000B45C5">
        <w:tc>
          <w:tcPr>
            <w:tcW w:w="817" w:type="dxa"/>
            <w:vAlign w:val="center"/>
          </w:tcPr>
          <w:p w:rsidR="000B45C5" w:rsidRDefault="00641258">
            <w:pPr>
              <w:jc w:val="center"/>
            </w:pPr>
            <w:r>
              <w:rPr>
                <w:rFonts w:eastAsiaTheme="minorEastAsia"/>
                <w:kern w:val="0"/>
                <w:sz w:val="24"/>
                <w:szCs w:val="24"/>
              </w:rPr>
              <w:t>7</w:t>
            </w:r>
          </w:p>
        </w:tc>
        <w:tc>
          <w:tcPr>
            <w:tcW w:w="1276" w:type="dxa"/>
            <w:vAlign w:val="center"/>
          </w:tcPr>
          <w:p w:rsidR="000B45C5" w:rsidRDefault="00641258">
            <w:pPr>
              <w:jc w:val="center"/>
            </w:pPr>
            <w:r>
              <w:rPr>
                <w:rFonts w:eastAsiaTheme="minorEastAsia"/>
                <w:kern w:val="0"/>
                <w:sz w:val="24"/>
                <w:szCs w:val="24"/>
              </w:rPr>
              <w:t>002832</w:t>
            </w:r>
          </w:p>
        </w:tc>
        <w:tc>
          <w:tcPr>
            <w:tcW w:w="1701" w:type="dxa"/>
            <w:vAlign w:val="center"/>
          </w:tcPr>
          <w:p w:rsidR="000B45C5" w:rsidRDefault="00641258">
            <w:pPr>
              <w:jc w:val="center"/>
            </w:pPr>
            <w:r>
              <w:rPr>
                <w:rFonts w:eastAsiaTheme="minorEastAsia"/>
                <w:kern w:val="0"/>
                <w:sz w:val="24"/>
                <w:szCs w:val="24"/>
              </w:rPr>
              <w:t>比音勒芬</w:t>
            </w:r>
          </w:p>
        </w:tc>
        <w:tc>
          <w:tcPr>
            <w:tcW w:w="1276" w:type="dxa"/>
            <w:vAlign w:val="center"/>
          </w:tcPr>
          <w:p w:rsidR="000B45C5" w:rsidRDefault="00641258">
            <w:pPr>
              <w:jc w:val="right"/>
            </w:pPr>
            <w:r>
              <w:rPr>
                <w:rFonts w:eastAsiaTheme="minorEastAsia"/>
                <w:kern w:val="0"/>
                <w:sz w:val="24"/>
                <w:szCs w:val="24"/>
              </w:rPr>
              <w:t>1,719,857</w:t>
            </w:r>
          </w:p>
        </w:tc>
        <w:tc>
          <w:tcPr>
            <w:tcW w:w="1842" w:type="dxa"/>
            <w:vAlign w:val="center"/>
          </w:tcPr>
          <w:p w:rsidR="000B45C5" w:rsidRDefault="00641258">
            <w:pPr>
              <w:jc w:val="right"/>
            </w:pPr>
            <w:r>
              <w:rPr>
                <w:rFonts w:eastAsiaTheme="minorEastAsia"/>
                <w:kern w:val="0"/>
                <w:sz w:val="24"/>
                <w:szCs w:val="24"/>
              </w:rPr>
              <w:t>43,770,360.65</w:t>
            </w:r>
          </w:p>
        </w:tc>
        <w:tc>
          <w:tcPr>
            <w:tcW w:w="1616" w:type="dxa"/>
            <w:vAlign w:val="center"/>
          </w:tcPr>
          <w:p w:rsidR="000B45C5" w:rsidRDefault="00641258">
            <w:pPr>
              <w:jc w:val="right"/>
            </w:pPr>
            <w:r>
              <w:rPr>
                <w:rFonts w:eastAsiaTheme="minorEastAsia"/>
                <w:kern w:val="0"/>
                <w:sz w:val="24"/>
                <w:szCs w:val="24"/>
              </w:rPr>
              <w:t>2.98</w:t>
            </w:r>
          </w:p>
        </w:tc>
      </w:tr>
      <w:tr w:rsidR="000B45C5">
        <w:tc>
          <w:tcPr>
            <w:tcW w:w="817" w:type="dxa"/>
            <w:vAlign w:val="center"/>
          </w:tcPr>
          <w:p w:rsidR="000B45C5" w:rsidRDefault="00641258">
            <w:pPr>
              <w:jc w:val="center"/>
            </w:pPr>
            <w:r>
              <w:rPr>
                <w:rFonts w:eastAsiaTheme="minorEastAsia"/>
                <w:kern w:val="0"/>
                <w:sz w:val="24"/>
                <w:szCs w:val="24"/>
              </w:rPr>
              <w:t>8</w:t>
            </w:r>
          </w:p>
        </w:tc>
        <w:tc>
          <w:tcPr>
            <w:tcW w:w="1276" w:type="dxa"/>
            <w:vAlign w:val="center"/>
          </w:tcPr>
          <w:p w:rsidR="000B45C5" w:rsidRDefault="00641258">
            <w:pPr>
              <w:jc w:val="center"/>
            </w:pPr>
            <w:r>
              <w:rPr>
                <w:rFonts w:eastAsiaTheme="minorEastAsia"/>
                <w:kern w:val="0"/>
                <w:sz w:val="24"/>
                <w:szCs w:val="24"/>
              </w:rPr>
              <w:t>002845</w:t>
            </w:r>
          </w:p>
        </w:tc>
        <w:tc>
          <w:tcPr>
            <w:tcW w:w="1701" w:type="dxa"/>
            <w:vAlign w:val="center"/>
          </w:tcPr>
          <w:p w:rsidR="000B45C5" w:rsidRDefault="00641258">
            <w:pPr>
              <w:jc w:val="center"/>
            </w:pPr>
            <w:r>
              <w:rPr>
                <w:rFonts w:eastAsiaTheme="minorEastAsia"/>
                <w:kern w:val="0"/>
                <w:sz w:val="24"/>
                <w:szCs w:val="24"/>
              </w:rPr>
              <w:t>同兴达</w:t>
            </w:r>
          </w:p>
        </w:tc>
        <w:tc>
          <w:tcPr>
            <w:tcW w:w="1276" w:type="dxa"/>
            <w:vAlign w:val="center"/>
          </w:tcPr>
          <w:p w:rsidR="000B45C5" w:rsidRDefault="00641258">
            <w:pPr>
              <w:jc w:val="right"/>
            </w:pPr>
            <w:r>
              <w:rPr>
                <w:rFonts w:eastAsiaTheme="minorEastAsia"/>
                <w:kern w:val="0"/>
                <w:sz w:val="24"/>
                <w:szCs w:val="24"/>
              </w:rPr>
              <w:t>1,294,500</w:t>
            </w:r>
          </w:p>
        </w:tc>
        <w:tc>
          <w:tcPr>
            <w:tcW w:w="1842" w:type="dxa"/>
            <w:vAlign w:val="center"/>
          </w:tcPr>
          <w:p w:rsidR="000B45C5" w:rsidRDefault="00641258">
            <w:pPr>
              <w:jc w:val="right"/>
            </w:pPr>
            <w:r>
              <w:rPr>
                <w:rFonts w:eastAsiaTheme="minorEastAsia"/>
                <w:kern w:val="0"/>
                <w:sz w:val="24"/>
                <w:szCs w:val="24"/>
              </w:rPr>
              <w:t>38,252,475.00</w:t>
            </w:r>
          </w:p>
        </w:tc>
        <w:tc>
          <w:tcPr>
            <w:tcW w:w="1616" w:type="dxa"/>
            <w:vAlign w:val="center"/>
          </w:tcPr>
          <w:p w:rsidR="000B45C5" w:rsidRDefault="00641258">
            <w:pPr>
              <w:jc w:val="right"/>
            </w:pPr>
            <w:r>
              <w:rPr>
                <w:rFonts w:eastAsiaTheme="minorEastAsia"/>
                <w:kern w:val="0"/>
                <w:sz w:val="24"/>
                <w:szCs w:val="24"/>
              </w:rPr>
              <w:t>2.60</w:t>
            </w:r>
          </w:p>
        </w:tc>
      </w:tr>
      <w:tr w:rsidR="000B45C5">
        <w:tc>
          <w:tcPr>
            <w:tcW w:w="817" w:type="dxa"/>
            <w:vAlign w:val="center"/>
          </w:tcPr>
          <w:p w:rsidR="000B45C5" w:rsidRDefault="00641258">
            <w:pPr>
              <w:jc w:val="center"/>
            </w:pPr>
            <w:r>
              <w:rPr>
                <w:rFonts w:eastAsiaTheme="minorEastAsia"/>
                <w:kern w:val="0"/>
                <w:sz w:val="24"/>
                <w:szCs w:val="24"/>
              </w:rPr>
              <w:t>9</w:t>
            </w:r>
          </w:p>
        </w:tc>
        <w:tc>
          <w:tcPr>
            <w:tcW w:w="1276" w:type="dxa"/>
            <w:vAlign w:val="center"/>
          </w:tcPr>
          <w:p w:rsidR="000B45C5" w:rsidRDefault="00641258">
            <w:pPr>
              <w:jc w:val="center"/>
            </w:pPr>
            <w:r>
              <w:rPr>
                <w:rFonts w:eastAsiaTheme="minorEastAsia"/>
                <w:kern w:val="0"/>
                <w:sz w:val="24"/>
                <w:szCs w:val="24"/>
              </w:rPr>
              <w:t>002475</w:t>
            </w:r>
          </w:p>
        </w:tc>
        <w:tc>
          <w:tcPr>
            <w:tcW w:w="1701" w:type="dxa"/>
            <w:vAlign w:val="center"/>
          </w:tcPr>
          <w:p w:rsidR="000B45C5" w:rsidRDefault="00641258">
            <w:pPr>
              <w:jc w:val="center"/>
            </w:pPr>
            <w:r>
              <w:rPr>
                <w:rFonts w:eastAsiaTheme="minorEastAsia"/>
                <w:kern w:val="0"/>
                <w:sz w:val="24"/>
                <w:szCs w:val="24"/>
              </w:rPr>
              <w:t>立讯精密</w:t>
            </w:r>
          </w:p>
        </w:tc>
        <w:tc>
          <w:tcPr>
            <w:tcW w:w="1276" w:type="dxa"/>
            <w:vAlign w:val="center"/>
          </w:tcPr>
          <w:p w:rsidR="000B45C5" w:rsidRDefault="00641258">
            <w:pPr>
              <w:jc w:val="right"/>
            </w:pPr>
            <w:r>
              <w:rPr>
                <w:rFonts w:eastAsiaTheme="minorEastAsia"/>
                <w:kern w:val="0"/>
                <w:sz w:val="24"/>
                <w:szCs w:val="24"/>
              </w:rPr>
              <w:t>764,400</w:t>
            </w:r>
          </w:p>
        </w:tc>
        <w:tc>
          <w:tcPr>
            <w:tcW w:w="1842" w:type="dxa"/>
            <w:vAlign w:val="center"/>
          </w:tcPr>
          <w:p w:rsidR="000B45C5" w:rsidRDefault="00641258">
            <w:pPr>
              <w:jc w:val="right"/>
            </w:pPr>
            <w:r>
              <w:rPr>
                <w:rFonts w:eastAsiaTheme="minorEastAsia"/>
                <w:kern w:val="0"/>
                <w:sz w:val="24"/>
                <w:szCs w:val="24"/>
              </w:rPr>
              <w:t>37,608,480.00</w:t>
            </w:r>
          </w:p>
        </w:tc>
        <w:tc>
          <w:tcPr>
            <w:tcW w:w="1616" w:type="dxa"/>
            <w:vAlign w:val="center"/>
          </w:tcPr>
          <w:p w:rsidR="000B45C5" w:rsidRDefault="00641258">
            <w:pPr>
              <w:jc w:val="right"/>
            </w:pPr>
            <w:r>
              <w:rPr>
                <w:rFonts w:eastAsiaTheme="minorEastAsia"/>
                <w:kern w:val="0"/>
                <w:sz w:val="24"/>
                <w:szCs w:val="24"/>
              </w:rPr>
              <w:t>2.56</w:t>
            </w:r>
          </w:p>
        </w:tc>
      </w:tr>
      <w:tr w:rsidR="000B45C5">
        <w:tc>
          <w:tcPr>
            <w:tcW w:w="817" w:type="dxa"/>
            <w:vAlign w:val="center"/>
          </w:tcPr>
          <w:p w:rsidR="000B45C5" w:rsidRDefault="00641258">
            <w:pPr>
              <w:jc w:val="center"/>
            </w:pPr>
            <w:r>
              <w:rPr>
                <w:rFonts w:eastAsiaTheme="minorEastAsia"/>
                <w:kern w:val="0"/>
                <w:sz w:val="24"/>
                <w:szCs w:val="24"/>
              </w:rPr>
              <w:t>10</w:t>
            </w:r>
          </w:p>
        </w:tc>
        <w:tc>
          <w:tcPr>
            <w:tcW w:w="1276" w:type="dxa"/>
            <w:vAlign w:val="center"/>
          </w:tcPr>
          <w:p w:rsidR="000B45C5" w:rsidRDefault="00641258">
            <w:pPr>
              <w:jc w:val="center"/>
            </w:pPr>
            <w:r>
              <w:rPr>
                <w:rFonts w:eastAsiaTheme="minorEastAsia"/>
                <w:kern w:val="0"/>
                <w:sz w:val="24"/>
                <w:szCs w:val="24"/>
              </w:rPr>
              <w:t>002938</w:t>
            </w:r>
          </w:p>
        </w:tc>
        <w:tc>
          <w:tcPr>
            <w:tcW w:w="1701" w:type="dxa"/>
            <w:vAlign w:val="center"/>
          </w:tcPr>
          <w:p w:rsidR="000B45C5" w:rsidRDefault="00641258">
            <w:pPr>
              <w:jc w:val="center"/>
            </w:pPr>
            <w:r>
              <w:rPr>
                <w:rFonts w:eastAsiaTheme="minorEastAsia"/>
                <w:kern w:val="0"/>
                <w:sz w:val="24"/>
                <w:szCs w:val="24"/>
              </w:rPr>
              <w:t>鹏鼎控股</w:t>
            </w:r>
          </w:p>
        </w:tc>
        <w:tc>
          <w:tcPr>
            <w:tcW w:w="1276" w:type="dxa"/>
            <w:vAlign w:val="center"/>
          </w:tcPr>
          <w:p w:rsidR="000B45C5" w:rsidRDefault="00641258">
            <w:pPr>
              <w:jc w:val="right"/>
            </w:pPr>
            <w:r>
              <w:rPr>
                <w:rFonts w:eastAsiaTheme="minorEastAsia"/>
                <w:kern w:val="0"/>
                <w:sz w:val="24"/>
                <w:szCs w:val="24"/>
              </w:rPr>
              <w:t>778,100</w:t>
            </w:r>
          </w:p>
        </w:tc>
        <w:tc>
          <w:tcPr>
            <w:tcW w:w="1842" w:type="dxa"/>
            <w:vAlign w:val="center"/>
          </w:tcPr>
          <w:p w:rsidR="000B45C5" w:rsidRDefault="00641258">
            <w:pPr>
              <w:jc w:val="right"/>
            </w:pPr>
            <w:r>
              <w:rPr>
                <w:rFonts w:eastAsiaTheme="minorEastAsia"/>
                <w:kern w:val="0"/>
                <w:sz w:val="24"/>
                <w:szCs w:val="24"/>
              </w:rPr>
              <w:t>33,014,783.00</w:t>
            </w:r>
          </w:p>
        </w:tc>
        <w:tc>
          <w:tcPr>
            <w:tcW w:w="1616" w:type="dxa"/>
            <w:vAlign w:val="center"/>
          </w:tcPr>
          <w:p w:rsidR="000B45C5" w:rsidRDefault="00641258">
            <w:pPr>
              <w:jc w:val="right"/>
            </w:pPr>
            <w:r>
              <w:rPr>
                <w:rFonts w:eastAsiaTheme="minorEastAsia"/>
                <w:kern w:val="0"/>
                <w:sz w:val="24"/>
                <w:szCs w:val="24"/>
              </w:rPr>
              <w:t>2.25</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3,554,000.00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0.24</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3,554,000.00</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0.24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0B45C5">
        <w:tc>
          <w:tcPr>
            <w:tcW w:w="1252" w:type="dxa"/>
            <w:vAlign w:val="center"/>
          </w:tcPr>
          <w:p w:rsidR="000B45C5" w:rsidRDefault="00641258">
            <w:pPr>
              <w:jc w:val="center"/>
            </w:pPr>
            <w:r>
              <w:rPr>
                <w:rFonts w:eastAsiaTheme="minorEastAsia"/>
                <w:color w:val="000000" w:themeColor="text1"/>
                <w:kern w:val="0"/>
              </w:rPr>
              <w:t>1</w:t>
            </w:r>
          </w:p>
        </w:tc>
        <w:tc>
          <w:tcPr>
            <w:tcW w:w="1310" w:type="dxa"/>
            <w:vAlign w:val="center"/>
          </w:tcPr>
          <w:p w:rsidR="000B45C5" w:rsidRDefault="00641258">
            <w:pPr>
              <w:jc w:val="center"/>
            </w:pPr>
            <w:r>
              <w:rPr>
                <w:rFonts w:eastAsiaTheme="minorEastAsia"/>
                <w:color w:val="000000" w:themeColor="text1"/>
                <w:kern w:val="0"/>
              </w:rPr>
              <w:t>113052</w:t>
            </w:r>
          </w:p>
        </w:tc>
        <w:tc>
          <w:tcPr>
            <w:tcW w:w="1282" w:type="dxa"/>
            <w:vAlign w:val="center"/>
          </w:tcPr>
          <w:p w:rsidR="000B45C5" w:rsidRDefault="00641258">
            <w:pPr>
              <w:jc w:val="center"/>
            </w:pPr>
            <w:r>
              <w:rPr>
                <w:rFonts w:eastAsiaTheme="minorEastAsia"/>
                <w:color w:val="000000" w:themeColor="text1"/>
                <w:kern w:val="0"/>
              </w:rPr>
              <w:t>兴业转债</w:t>
            </w:r>
          </w:p>
        </w:tc>
        <w:tc>
          <w:tcPr>
            <w:tcW w:w="1426" w:type="dxa"/>
            <w:vAlign w:val="center"/>
          </w:tcPr>
          <w:p w:rsidR="000B45C5" w:rsidRDefault="00641258">
            <w:pPr>
              <w:jc w:val="right"/>
            </w:pPr>
            <w:r>
              <w:rPr>
                <w:rFonts w:eastAsiaTheme="minorEastAsia"/>
                <w:color w:val="000000" w:themeColor="text1"/>
                <w:kern w:val="0"/>
              </w:rPr>
              <w:t>35,540</w:t>
            </w:r>
          </w:p>
        </w:tc>
        <w:tc>
          <w:tcPr>
            <w:tcW w:w="1646" w:type="dxa"/>
            <w:vAlign w:val="center"/>
          </w:tcPr>
          <w:p w:rsidR="000B45C5" w:rsidRDefault="00641258">
            <w:pPr>
              <w:jc w:val="right"/>
            </w:pPr>
            <w:r>
              <w:rPr>
                <w:rFonts w:eastAsiaTheme="minorEastAsia"/>
                <w:color w:val="000000" w:themeColor="text1"/>
                <w:kern w:val="0"/>
              </w:rPr>
              <w:t>3,554,000.00</w:t>
            </w:r>
          </w:p>
        </w:tc>
        <w:tc>
          <w:tcPr>
            <w:tcW w:w="1612" w:type="dxa"/>
            <w:vAlign w:val="center"/>
          </w:tcPr>
          <w:p w:rsidR="000B45C5" w:rsidRDefault="00641258">
            <w:pPr>
              <w:jc w:val="right"/>
            </w:pPr>
            <w:r>
              <w:rPr>
                <w:rFonts w:eastAsiaTheme="minorEastAsia"/>
                <w:color w:val="000000" w:themeColor="text1"/>
                <w:kern w:val="0"/>
              </w:rPr>
              <w:t>0.24</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348,980.33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1,284,996.36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22,499.22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1,567,081.72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3,223,557.63</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508,904,211.05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27,326,842.41</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40,795,624.19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495,435,429.27</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中国证监会批准上投摩根核心成长股票型证券投资基金设立的文件；</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《上投摩根核心成长股票型证券投资基金基金合同》；</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《上投摩根核心成长股票型证券投资基金基金托管协议》；</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《上投摩根基金管理有限公司开放式基金业务规则》；</w:t>
      </w:r>
    </w:p>
    <w:p w:rsidR="000B45C5" w:rsidRDefault="00641258">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二〇二二年一月二十四日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641258" w:rsidRPr="0064125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641258">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上投摩根核心成长股票型证券投资基金</w:t>
    </w:r>
    <w:r>
      <w:rPr>
        <w:rFonts w:hint="eastAsia"/>
      </w:rPr>
      <w:t>2021</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45C5"/>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1258"/>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88986-A89A-4CDA-87F1-A3292611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Wenyu.Qiu@FA</cp:lastModifiedBy>
  <cp:revision>268</cp:revision>
  <dcterms:created xsi:type="dcterms:W3CDTF">2012-10-16T06:07:00Z</dcterms:created>
  <dcterms:modified xsi:type="dcterms:W3CDTF">2022-01-21T05:12:00Z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