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上投摩根核心成长股票型证券投资基金</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年第</w:t>
      </w:r>
      <w:r w:rsidRPr="00FF6B9A">
        <w:rPr>
          <w:rFonts w:eastAsiaTheme="minorEastAsia"/>
          <w:b/>
          <w:color w:val="000000" w:themeColor="text1"/>
          <w:sz w:val="36"/>
          <w:szCs w:val="36"/>
        </w:rPr>
        <w:t>4</w:t>
      </w:r>
      <w:r w:rsidRPr="00FF6B9A">
        <w:rPr>
          <w:rFonts w:eastAsiaTheme="minorEastAsia"/>
          <w:b/>
          <w:color w:val="000000" w:themeColor="text1"/>
          <w:sz w:val="36"/>
          <w:szCs w:val="36"/>
        </w:rPr>
        <w:t>季度报告</w:t>
      </w:r>
    </w:p>
    <w:p w:rsidR="00D06738" w:rsidRPr="00FF6B9A" w:rsidRDefault="00454D20">
      <w:pPr>
        <w:spacing w:line="360" w:lineRule="auto"/>
        <w:jc w:val="center"/>
        <w:rPr>
          <w:rFonts w:eastAsiaTheme="minorEastAsia"/>
          <w:b/>
          <w:color w:val="000000" w:themeColor="text1"/>
          <w:sz w:val="36"/>
          <w:szCs w:val="36"/>
        </w:rPr>
      </w:pPr>
      <w:r w:rsidRPr="00FF6B9A">
        <w:rPr>
          <w:rFonts w:eastAsiaTheme="minorEastAsia"/>
          <w:b/>
          <w:color w:val="000000" w:themeColor="text1"/>
          <w:sz w:val="36"/>
          <w:szCs w:val="36"/>
        </w:rPr>
        <w:t>2021</w:t>
      </w:r>
      <w:r w:rsidRPr="00FF6B9A">
        <w:rPr>
          <w:rFonts w:eastAsiaTheme="minorEastAsia"/>
          <w:b/>
          <w:color w:val="000000" w:themeColor="text1"/>
          <w:sz w:val="36"/>
          <w:szCs w:val="36"/>
        </w:rPr>
        <w:t>年</w:t>
      </w:r>
      <w:r w:rsidRPr="00FF6B9A">
        <w:rPr>
          <w:rFonts w:eastAsiaTheme="minorEastAsia"/>
          <w:b/>
          <w:color w:val="000000" w:themeColor="text1"/>
          <w:sz w:val="36"/>
          <w:szCs w:val="36"/>
        </w:rPr>
        <w:t>12</w:t>
      </w:r>
      <w:r w:rsidRPr="00FF6B9A">
        <w:rPr>
          <w:rFonts w:eastAsiaTheme="minorEastAsia"/>
          <w:b/>
          <w:color w:val="000000" w:themeColor="text1"/>
          <w:sz w:val="36"/>
          <w:szCs w:val="36"/>
        </w:rPr>
        <w:t>月</w:t>
      </w:r>
      <w:r w:rsidRPr="00FF6B9A">
        <w:rPr>
          <w:rFonts w:eastAsiaTheme="minorEastAsia"/>
          <w:b/>
          <w:color w:val="000000" w:themeColor="text1"/>
          <w:sz w:val="36"/>
          <w:szCs w:val="36"/>
        </w:rPr>
        <w:t>31</w:t>
      </w:r>
      <w:r w:rsidRPr="00FF6B9A">
        <w:rPr>
          <w:rFonts w:eastAsiaTheme="minorEastAsia"/>
          <w:b/>
          <w:color w:val="000000" w:themeColor="text1"/>
          <w:sz w:val="36"/>
          <w:szCs w:val="36"/>
        </w:rPr>
        <w:t>日</w:t>
      </w: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bookmarkStart w:id="0" w:name="_GoBack"/>
      <w:bookmarkEnd w:id="0"/>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jc w:val="center"/>
        <w:rPr>
          <w:rFonts w:eastAsiaTheme="minorEastAsia"/>
          <w:b/>
          <w:bCs/>
          <w:color w:val="000000" w:themeColor="text1"/>
          <w:sz w:val="24"/>
          <w:szCs w:val="24"/>
        </w:rPr>
      </w:pPr>
    </w:p>
    <w:p w:rsidR="00D06738" w:rsidRPr="00FF6B9A" w:rsidRDefault="00D06738">
      <w:pPr>
        <w:spacing w:line="360" w:lineRule="auto"/>
        <w:rPr>
          <w:rFonts w:eastAsiaTheme="minorEastAsia"/>
          <w:b/>
          <w:bCs/>
          <w:color w:val="000000" w:themeColor="text1"/>
          <w:sz w:val="24"/>
          <w:szCs w:val="24"/>
        </w:rPr>
      </w:pP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基金管理人：上投摩根基金管理有限公司</w:t>
      </w:r>
    </w:p>
    <w:p w:rsidR="00D06738" w:rsidRPr="00FF6B9A" w:rsidRDefault="00454D20">
      <w:pPr>
        <w:spacing w:line="360" w:lineRule="auto"/>
        <w:ind w:firstLineChars="900" w:firstLine="2168"/>
        <w:rPr>
          <w:rFonts w:eastAsiaTheme="minorEastAsia"/>
          <w:b/>
          <w:color w:val="000000" w:themeColor="text1"/>
          <w:sz w:val="24"/>
          <w:szCs w:val="24"/>
        </w:rPr>
      </w:pPr>
      <w:r w:rsidRPr="00FF6B9A">
        <w:rPr>
          <w:rFonts w:eastAsiaTheme="minorEastAsia"/>
          <w:b/>
          <w:color w:val="000000" w:themeColor="text1"/>
          <w:sz w:val="24"/>
          <w:szCs w:val="24"/>
        </w:rPr>
        <w:t>基金托管人：中国银行股份有限公司</w:t>
      </w:r>
    </w:p>
    <w:p w:rsidR="00D06738" w:rsidRPr="00FF6B9A" w:rsidRDefault="00454D20">
      <w:pPr>
        <w:spacing w:line="360" w:lineRule="auto"/>
        <w:ind w:firstLineChars="900" w:firstLine="2168"/>
        <w:rPr>
          <w:rFonts w:eastAsiaTheme="minorEastAsia"/>
          <w:b/>
          <w:color w:val="000000" w:themeColor="text1"/>
          <w:sz w:val="24"/>
          <w:szCs w:val="24"/>
        </w:rPr>
        <w:sectPr w:rsidR="00D06738" w:rsidRPr="00FF6B9A">
          <w:headerReference w:type="default" r:id="rId8"/>
          <w:footerReference w:type="default" r:id="rId9"/>
          <w:pgSz w:w="11926" w:h="15840"/>
          <w:pgMar w:top="1418" w:right="1418" w:bottom="851" w:left="1418" w:header="851" w:footer="992" w:gutter="0"/>
          <w:cols w:space="720"/>
        </w:sectPr>
      </w:pPr>
      <w:r w:rsidRPr="00FF6B9A">
        <w:rPr>
          <w:rFonts w:eastAsiaTheme="minorEastAsia"/>
          <w:b/>
          <w:color w:val="000000" w:themeColor="text1"/>
          <w:sz w:val="24"/>
          <w:szCs w:val="24"/>
        </w:rPr>
        <w:t>报告送出日期：二〇二二年一月二十四日</w:t>
      </w:r>
    </w:p>
    <w:p w:rsidR="00D06738" w:rsidRPr="00FF6B9A" w:rsidRDefault="00454D20">
      <w:pPr>
        <w:pStyle w:val="1"/>
        <w:spacing w:beforeLines="100" w:before="312" w:afterLines="100" w:after="312" w:line="360" w:lineRule="auto"/>
        <w:jc w:val="center"/>
        <w:rPr>
          <w:rFonts w:eastAsiaTheme="minorEastAsia"/>
          <w:b w:val="0"/>
          <w:bCs w:val="0"/>
          <w:color w:val="000000" w:themeColor="text1"/>
          <w:kern w:val="0"/>
          <w:sz w:val="24"/>
          <w:szCs w:val="24"/>
        </w:rPr>
      </w:pPr>
      <w:r w:rsidRPr="00FF6B9A">
        <w:rPr>
          <w:rFonts w:eastAsiaTheme="minorEastAsia"/>
          <w:color w:val="000000" w:themeColor="text1"/>
          <w:kern w:val="0"/>
          <w:sz w:val="24"/>
          <w:szCs w:val="24"/>
        </w:rPr>
        <w:lastRenderedPageBreak/>
        <w:t xml:space="preserve">§1  </w:t>
      </w:r>
      <w:r w:rsidRPr="00FF6B9A">
        <w:rPr>
          <w:rFonts w:eastAsiaTheme="minorEastAsia"/>
          <w:color w:val="000000" w:themeColor="text1"/>
          <w:kern w:val="0"/>
          <w:sz w:val="24"/>
          <w:szCs w:val="24"/>
        </w:rPr>
        <w:t>重要提示</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基金管理人的董事会及董事保证本报告所载资料不存在虚假记载、误导性陈述或重大遗漏，并对其内容的真实性、准确性和完整性承担个别及连带责任。</w:t>
      </w:r>
      <w:r>
        <w:rPr>
          <w:rFonts w:eastAsiaTheme="minorEastAsia"/>
          <w:color w:val="000000" w:themeColor="text1"/>
        </w:rPr>
        <w:t xml:space="preserve"> </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基金托管人中国银行股份有限公司根据本基金合同规定，于</w:t>
      </w:r>
      <w:r>
        <w:rPr>
          <w:rFonts w:eastAsiaTheme="minorEastAsia"/>
          <w:color w:val="000000" w:themeColor="text1"/>
        </w:rPr>
        <w:t>2022</w:t>
      </w:r>
      <w:r>
        <w:rPr>
          <w:rFonts w:eastAsiaTheme="minorEastAsia"/>
          <w:color w:val="000000" w:themeColor="text1"/>
        </w:rPr>
        <w:t>年</w:t>
      </w:r>
      <w:r>
        <w:rPr>
          <w:rFonts w:eastAsiaTheme="minorEastAsia"/>
          <w:color w:val="000000" w:themeColor="text1"/>
        </w:rPr>
        <w:t>1</w:t>
      </w:r>
      <w:r>
        <w:rPr>
          <w:rFonts w:eastAsiaTheme="minorEastAsia"/>
          <w:color w:val="000000" w:themeColor="text1"/>
        </w:rPr>
        <w:t>月</w:t>
      </w:r>
      <w:r>
        <w:rPr>
          <w:rFonts w:eastAsiaTheme="minorEastAsia"/>
          <w:color w:val="000000" w:themeColor="text1"/>
        </w:rPr>
        <w:t>21</w:t>
      </w:r>
      <w:r>
        <w:rPr>
          <w:rFonts w:eastAsiaTheme="minorEastAsia"/>
          <w:color w:val="000000" w:themeColor="text1"/>
        </w:rPr>
        <w:t>日复核了本报告中的财务指标、净值表现和投资组合报告等内容，保证复核内容不存在虚假记载、误导性陈述或者重大遗漏。</w:t>
      </w:r>
      <w:r>
        <w:rPr>
          <w:rFonts w:eastAsiaTheme="minorEastAsia"/>
          <w:color w:val="000000" w:themeColor="text1"/>
        </w:rPr>
        <w:t xml:space="preserve"> </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基金管理人承诺以诚实信用、勤勉尽责的原则管理和运用基金资产，但不保证基金一定盈利。</w:t>
      </w:r>
      <w:r>
        <w:rPr>
          <w:rFonts w:eastAsiaTheme="minorEastAsia"/>
          <w:color w:val="000000" w:themeColor="text1"/>
        </w:rPr>
        <w:t xml:space="preserve"> </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基金的过往业绩并不代表其未来表现。投资有风险，投资者在作出投资决策前应仔细阅读本基金的招募说明书。</w:t>
      </w:r>
      <w:r>
        <w:rPr>
          <w:rFonts w:eastAsiaTheme="minorEastAsia"/>
          <w:color w:val="000000" w:themeColor="text1"/>
        </w:rPr>
        <w:t xml:space="preserve"> </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本报告中财务资料未经审计。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本报告期自</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日起至</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日止。</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§2  </w:t>
      </w:r>
      <w:r w:rsidRPr="00FF6B9A">
        <w:rPr>
          <w:rFonts w:eastAsiaTheme="minorEastAsia"/>
          <w:color w:val="000000" w:themeColor="text1"/>
          <w:kern w:val="0"/>
          <w:sz w:val="24"/>
          <w:szCs w:val="24"/>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5479"/>
      </w:tblGrid>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基金简称</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上投摩根核心成长股票</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基金主代码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交易代码</w:t>
            </w:r>
          </w:p>
        </w:tc>
        <w:tc>
          <w:tcPr>
            <w:tcW w:w="5479" w:type="dxa"/>
            <w:tcBorders>
              <w:top w:val="single" w:sz="4" w:space="0" w:color="auto"/>
              <w:left w:val="single" w:sz="4" w:space="0" w:color="auto"/>
              <w:bottom w:val="single" w:sz="4" w:space="0" w:color="auto"/>
              <w:right w:val="single" w:sz="4" w:space="0" w:color="auto"/>
            </w:tcBorders>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000457</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基金运作方式</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契约型开放式</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基金合同生效日</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2014</w:t>
            </w:r>
            <w:r w:rsidRPr="00FF6B9A">
              <w:rPr>
                <w:rFonts w:eastAsiaTheme="minorEastAsia"/>
                <w:color w:val="000000" w:themeColor="text1"/>
                <w:kern w:val="0"/>
              </w:rPr>
              <w:t>年</w:t>
            </w:r>
            <w:r w:rsidRPr="00FF6B9A">
              <w:rPr>
                <w:rFonts w:eastAsiaTheme="minorEastAsia"/>
                <w:color w:val="000000" w:themeColor="text1"/>
                <w:kern w:val="0"/>
              </w:rPr>
              <w:t>2</w:t>
            </w:r>
            <w:r w:rsidRPr="00FF6B9A">
              <w:rPr>
                <w:rFonts w:eastAsiaTheme="minorEastAsia"/>
                <w:color w:val="000000" w:themeColor="text1"/>
                <w:kern w:val="0"/>
              </w:rPr>
              <w:t>月</w:t>
            </w:r>
            <w:r w:rsidRPr="00FF6B9A">
              <w:rPr>
                <w:rFonts w:eastAsiaTheme="minorEastAsia"/>
                <w:color w:val="000000" w:themeColor="text1"/>
                <w:kern w:val="0"/>
              </w:rPr>
              <w:t>10</w:t>
            </w:r>
            <w:r w:rsidRPr="00FF6B9A">
              <w:rPr>
                <w:rFonts w:eastAsiaTheme="minorEastAsia"/>
                <w:color w:val="000000" w:themeColor="text1"/>
                <w:kern w:val="0"/>
              </w:rPr>
              <w:t>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报告期末基金份额总额</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495,435,429.27</w:t>
            </w:r>
            <w:r w:rsidRPr="00FF6B9A">
              <w:rPr>
                <w:rFonts w:eastAsiaTheme="minorEastAsia"/>
                <w:color w:val="000000" w:themeColor="text1"/>
                <w:kern w:val="0"/>
              </w:rPr>
              <w:t>份</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投资目标</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本基金将充分利用管理人的投资研究平台，通过系统和深入的基本面研究，选择公司治理良好且具有较高增长潜力的公司进行投资，力争实现基金资产的长期稳定增值。</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投资策略</w:t>
            </w:r>
          </w:p>
        </w:tc>
        <w:tc>
          <w:tcPr>
            <w:tcW w:w="5479" w:type="dxa"/>
            <w:vAlign w:val="center"/>
          </w:tcPr>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1</w:t>
            </w:r>
            <w:r>
              <w:rPr>
                <w:rFonts w:eastAsiaTheme="minorEastAsia"/>
                <w:color w:val="000000" w:themeColor="text1"/>
                <w:kern w:val="0"/>
              </w:rPr>
              <w:t>、资产配置策略</w:t>
            </w:r>
          </w:p>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本基金将综合分析和持续跟踪基本面、政策面、市场面等多方面因素，对宏观经济、国家政策、资金面和市场情绪等影响证券市场的重要因素进行深入分析，重点关注包括、</w:t>
            </w:r>
            <w:r>
              <w:rPr>
                <w:rFonts w:eastAsiaTheme="minorEastAsia"/>
                <w:color w:val="000000" w:themeColor="text1"/>
                <w:kern w:val="0"/>
              </w:rPr>
              <w:t>GDP</w:t>
            </w:r>
            <w:r>
              <w:rPr>
                <w:rFonts w:eastAsiaTheme="minorEastAsia"/>
                <w:color w:val="000000" w:themeColor="text1"/>
                <w:kern w:val="0"/>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w:t>
            </w:r>
          </w:p>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2</w:t>
            </w:r>
            <w:r>
              <w:rPr>
                <w:rFonts w:eastAsiaTheme="minorEastAsia"/>
                <w:color w:val="000000" w:themeColor="text1"/>
                <w:kern w:val="0"/>
              </w:rPr>
              <w:t>、股票投资策略</w:t>
            </w:r>
          </w:p>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本基金采用</w:t>
            </w:r>
            <w:r>
              <w:rPr>
                <w:rFonts w:eastAsiaTheme="minorEastAsia"/>
                <w:color w:val="000000" w:themeColor="text1"/>
                <w:kern w:val="0"/>
              </w:rPr>
              <w:t>“</w:t>
            </w:r>
            <w:r>
              <w:rPr>
                <w:rFonts w:eastAsiaTheme="minorEastAsia"/>
                <w:color w:val="000000" w:themeColor="text1"/>
                <w:kern w:val="0"/>
              </w:rPr>
              <w:t>自下而上</w:t>
            </w:r>
            <w:r>
              <w:rPr>
                <w:rFonts w:eastAsiaTheme="minorEastAsia"/>
                <w:color w:val="000000" w:themeColor="text1"/>
                <w:kern w:val="0"/>
              </w:rPr>
              <w:t>”</w:t>
            </w:r>
            <w:r>
              <w:rPr>
                <w:rFonts w:eastAsiaTheme="minorEastAsia"/>
                <w:color w:val="000000" w:themeColor="text1"/>
                <w:kern w:val="0"/>
              </w:rPr>
              <w:t>的个股精选策略，综合运用定量分析与定性分析</w:t>
            </w:r>
            <w:r>
              <w:rPr>
                <w:rFonts w:eastAsiaTheme="minorEastAsia"/>
                <w:color w:val="000000" w:themeColor="text1"/>
                <w:kern w:val="0"/>
              </w:rPr>
              <w:t>的手段，基于公司内部研究团队对于个股基本面的深入研究和细致的实地调研，重点投资于公司治理良好且具有较高增长潜力的公司。在行业配置层面，本基金将对宏观经济发展状况及趋势、行业周期性及景气度、行业相对估值水平等方面进行研究，判断各个行业的相对投资价值，参考整体市场的行业资产分布比例，确定和动态调整各个行业的配置比例。在个股选择层面，本基金通过纪律化的投资约束，力争最大程度地将内部研究成果转化为投资业绩，公司研究团队负责内部研究组合的构建与维护。</w:t>
            </w:r>
          </w:p>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3</w:t>
            </w:r>
            <w:r>
              <w:rPr>
                <w:rFonts w:eastAsiaTheme="minorEastAsia"/>
                <w:color w:val="000000" w:themeColor="text1"/>
                <w:kern w:val="0"/>
              </w:rPr>
              <w:t>、行业配置策略</w:t>
            </w:r>
          </w:p>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本基金在精选个股的基础上，对股票投资组合进行适度</w:t>
            </w:r>
            <w:r>
              <w:rPr>
                <w:rFonts w:eastAsiaTheme="minorEastAsia"/>
                <w:color w:val="000000" w:themeColor="text1"/>
                <w:kern w:val="0"/>
              </w:rPr>
              <w:t>均衡的行业配置。本基金将对宏观经济发展状况及趋势、行业周期性及景气度、行业相对估值水平等方面进行研究，判断各个行业的相对投资价值。在此基础上，参考整体市场的行业资产分布比例，确定和动态调整各个行业的配置比例。</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4</w:t>
            </w:r>
            <w:r w:rsidRPr="00FF6B9A">
              <w:rPr>
                <w:rFonts w:eastAsiaTheme="minorEastAsia"/>
                <w:color w:val="000000" w:themeColor="text1"/>
                <w:kern w:val="0"/>
              </w:rPr>
              <w:t>、其他投资策略：包括固定收益类投资策略、可转换债券投资策略、中小企业私募债投资策略、股指期货投资策略、存托凭证投资策略。</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业绩比较基准</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沪深</w:t>
            </w:r>
            <w:r w:rsidRPr="00FF6B9A">
              <w:rPr>
                <w:rFonts w:eastAsiaTheme="minorEastAsia"/>
                <w:color w:val="000000" w:themeColor="text1"/>
                <w:kern w:val="0"/>
              </w:rPr>
              <w:t>300</w:t>
            </w:r>
            <w:r w:rsidRPr="00FF6B9A">
              <w:rPr>
                <w:rFonts w:eastAsiaTheme="minorEastAsia"/>
                <w:color w:val="000000" w:themeColor="text1"/>
                <w:kern w:val="0"/>
              </w:rPr>
              <w:t>指数收益率</w:t>
            </w:r>
            <w:r w:rsidRPr="00FF6B9A">
              <w:rPr>
                <w:rFonts w:eastAsiaTheme="minorEastAsia"/>
                <w:color w:val="000000" w:themeColor="text1"/>
                <w:kern w:val="0"/>
              </w:rPr>
              <w:t>×85%+</w:t>
            </w:r>
            <w:r w:rsidRPr="00FF6B9A">
              <w:rPr>
                <w:rFonts w:eastAsiaTheme="minorEastAsia"/>
                <w:color w:val="000000" w:themeColor="text1"/>
                <w:kern w:val="0"/>
              </w:rPr>
              <w:t>中债总指数收益率</w:t>
            </w:r>
            <w:r w:rsidRPr="00FF6B9A">
              <w:rPr>
                <w:rFonts w:eastAsiaTheme="minorEastAsia"/>
                <w:color w:val="000000" w:themeColor="text1"/>
                <w:kern w:val="0"/>
              </w:rPr>
              <w:t>×15%</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风险收益特征</w:t>
            </w:r>
          </w:p>
        </w:tc>
        <w:tc>
          <w:tcPr>
            <w:tcW w:w="5479" w:type="dxa"/>
            <w:vAlign w:val="center"/>
          </w:tcPr>
          <w:p w:rsidR="000B45C5" w:rsidRDefault="00641258">
            <w:pPr>
              <w:adjustRightInd w:val="0"/>
              <w:spacing w:before="29" w:line="360" w:lineRule="auto"/>
              <w:ind w:left="17"/>
              <w:rPr>
                <w:rFonts w:eastAsiaTheme="minorEastAsia"/>
                <w:color w:val="000000" w:themeColor="text1"/>
              </w:rPr>
            </w:pPr>
            <w:r>
              <w:rPr>
                <w:rFonts w:eastAsiaTheme="minorEastAsia"/>
                <w:color w:val="000000" w:themeColor="text1"/>
                <w:kern w:val="0"/>
              </w:rPr>
              <w:t>本基金属于股票型基金产品，预期风险和收益水平高于混合型基金、债券型基金和货币市场基金</w:t>
            </w:r>
            <w:r>
              <w:rPr>
                <w:rFonts w:eastAsiaTheme="minorEastAsia"/>
                <w:color w:val="000000" w:themeColor="text1"/>
                <w:kern w:val="0"/>
              </w:rPr>
              <w:t xml:space="preserve"> </w:t>
            </w:r>
            <w:r>
              <w:rPr>
                <w:rFonts w:eastAsiaTheme="minorEastAsia"/>
                <w:color w:val="000000" w:themeColor="text1"/>
                <w:kern w:val="0"/>
              </w:rPr>
              <w:t>，属于较高风险收益水平的基金产品。</w:t>
            </w:r>
          </w:p>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根据</w:t>
            </w:r>
            <w:r w:rsidRPr="00FF6B9A">
              <w:rPr>
                <w:rFonts w:eastAsiaTheme="minorEastAsia"/>
                <w:color w:val="000000" w:themeColor="text1"/>
                <w:kern w:val="0"/>
              </w:rPr>
              <w:t>2017</w:t>
            </w:r>
            <w:r w:rsidRPr="00FF6B9A">
              <w:rPr>
                <w:rFonts w:eastAsiaTheme="minorEastAsia"/>
                <w:color w:val="000000" w:themeColor="text1"/>
                <w:kern w:val="0"/>
              </w:rPr>
              <w:t>年</w:t>
            </w:r>
            <w:r w:rsidRPr="00FF6B9A">
              <w:rPr>
                <w:rFonts w:eastAsiaTheme="minorEastAsia"/>
                <w:color w:val="000000" w:themeColor="text1"/>
                <w:kern w:val="0"/>
              </w:rPr>
              <w:t>7</w:t>
            </w:r>
            <w:r w:rsidRPr="00FF6B9A">
              <w:rPr>
                <w:rFonts w:eastAsiaTheme="minorEastAsia"/>
                <w:color w:val="000000" w:themeColor="text1"/>
                <w:kern w:val="0"/>
              </w:rPr>
              <w:t>月</w:t>
            </w:r>
            <w:r w:rsidRPr="00FF6B9A">
              <w:rPr>
                <w:rFonts w:eastAsiaTheme="minorEastAsia"/>
                <w:color w:val="000000" w:themeColor="text1"/>
                <w:kern w:val="0"/>
              </w:rPr>
              <w:t>1</w:t>
            </w:r>
            <w:r w:rsidRPr="00FF6B9A">
              <w:rPr>
                <w:rFonts w:eastAsiaTheme="minorEastAsia"/>
                <w:color w:val="000000" w:themeColor="text1"/>
                <w:kern w:val="0"/>
              </w:rPr>
              <w:t>日施行的《证券期货投资者适当性管理办法》，基金管理人和相关销售机构已对本基金重新进行风险评级，风险评级行为不改变本基金的实质性风险收益特征，但由于风险等级分类标准的变化，本基金的风险等级表述可能有相应变化，具体风险评级结果应以基金管理人和销售机构提供的评级结果为准。</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基金管理人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上投摩根基金管理有限公司</w:t>
            </w:r>
          </w:p>
        </w:tc>
      </w:tr>
      <w:tr w:rsidR="00D06738" w:rsidRPr="00FF6B9A">
        <w:tc>
          <w:tcPr>
            <w:tcW w:w="2835"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基金托管人</w:t>
            </w:r>
          </w:p>
        </w:tc>
        <w:tc>
          <w:tcPr>
            <w:tcW w:w="5479" w:type="dxa"/>
            <w:vAlign w:val="center"/>
          </w:tcPr>
          <w:p w:rsidR="00D06738" w:rsidRPr="00FF6B9A" w:rsidRDefault="00454D20">
            <w:pPr>
              <w:adjustRightInd w:val="0"/>
              <w:spacing w:before="29" w:line="360" w:lineRule="auto"/>
              <w:ind w:left="17"/>
              <w:rPr>
                <w:rFonts w:eastAsiaTheme="minorEastAsia"/>
                <w:color w:val="000000" w:themeColor="text1"/>
              </w:rPr>
            </w:pPr>
            <w:r w:rsidRPr="00FF6B9A">
              <w:rPr>
                <w:rFonts w:eastAsiaTheme="minorEastAsia"/>
                <w:color w:val="000000" w:themeColor="text1"/>
                <w:kern w:val="0"/>
              </w:rPr>
              <w:t>中国银行股份有限公司</w:t>
            </w:r>
          </w:p>
        </w:tc>
      </w:tr>
    </w:tbl>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§3  </w:t>
      </w:r>
      <w:r w:rsidRPr="00FF6B9A">
        <w:rPr>
          <w:rFonts w:eastAsiaTheme="minorEastAsia"/>
          <w:color w:val="000000" w:themeColor="text1"/>
          <w:kern w:val="0"/>
          <w:sz w:val="24"/>
          <w:szCs w:val="24"/>
        </w:rPr>
        <w:t>主要财务指标和基金净值表现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3.1 </w:t>
      </w:r>
      <w:r w:rsidRPr="00FF6B9A">
        <w:rPr>
          <w:rFonts w:eastAsiaTheme="minorEastAsia"/>
          <w:b/>
          <w:bCs/>
          <w:color w:val="000000" w:themeColor="text1"/>
          <w:kern w:val="0"/>
          <w:sz w:val="24"/>
          <w:szCs w:val="24"/>
        </w:rPr>
        <w:t>主要财务指标</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4962"/>
      </w:tblGrid>
      <w:tr w:rsidR="00641258" w:rsidRPr="00FF6B9A" w:rsidTr="00641258">
        <w:tc>
          <w:tcPr>
            <w:tcW w:w="3402" w:type="dxa"/>
            <w:vAlign w:val="center"/>
          </w:tcPr>
          <w:p w:rsidR="00D06738" w:rsidRPr="00FF6B9A" w:rsidRDefault="00454D20">
            <w:pPr>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主要财务指标</w:t>
            </w:r>
          </w:p>
        </w:tc>
        <w:tc>
          <w:tcPr>
            <w:tcW w:w="4962" w:type="dxa"/>
            <w:vAlign w:val="center"/>
          </w:tcPr>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报告期</w:t>
            </w:r>
          </w:p>
          <w:p w:rsidR="00D06738" w:rsidRPr="00FF6B9A" w:rsidRDefault="00454D20">
            <w:pPr>
              <w:adjustRightInd w:val="0"/>
              <w:spacing w:before="29" w:line="360" w:lineRule="auto"/>
              <w:ind w:left="17"/>
              <w:jc w:val="center"/>
              <w:rPr>
                <w:rFonts w:eastAsiaTheme="minorEastAsia"/>
                <w:color w:val="000000" w:themeColor="text1"/>
              </w:rPr>
            </w:pP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10</w:t>
            </w:r>
            <w:r w:rsidRPr="00FF6B9A">
              <w:rPr>
                <w:rFonts w:eastAsiaTheme="minorEastAsia"/>
                <w:color w:val="000000" w:themeColor="text1"/>
              </w:rPr>
              <w:t>月</w:t>
            </w:r>
            <w:r w:rsidRPr="00FF6B9A">
              <w:rPr>
                <w:rFonts w:eastAsiaTheme="minorEastAsia"/>
                <w:color w:val="000000" w:themeColor="text1"/>
              </w:rPr>
              <w:t>1</w:t>
            </w:r>
            <w:r w:rsidRPr="00FF6B9A">
              <w:rPr>
                <w:rFonts w:eastAsiaTheme="minorEastAsia"/>
                <w:color w:val="000000" w:themeColor="text1"/>
              </w:rPr>
              <w:t>日</w:t>
            </w:r>
            <w:r w:rsidRPr="00FF6B9A">
              <w:rPr>
                <w:rFonts w:eastAsiaTheme="minorEastAsia"/>
                <w:color w:val="000000" w:themeColor="text1"/>
              </w:rPr>
              <w:t>-2021</w:t>
            </w:r>
            <w:r w:rsidRPr="00FF6B9A">
              <w:rPr>
                <w:rFonts w:eastAsiaTheme="minorEastAsia"/>
                <w:color w:val="000000" w:themeColor="text1"/>
              </w:rPr>
              <w:t>年</w:t>
            </w:r>
            <w:r w:rsidRPr="00FF6B9A">
              <w:rPr>
                <w:rFonts w:eastAsiaTheme="minorEastAsia"/>
                <w:color w:val="000000" w:themeColor="text1"/>
              </w:rPr>
              <w:t>12</w:t>
            </w:r>
            <w:r w:rsidRPr="00FF6B9A">
              <w:rPr>
                <w:rFonts w:eastAsiaTheme="minorEastAsia"/>
                <w:color w:val="000000" w:themeColor="text1"/>
              </w:rPr>
              <w:t>月</w:t>
            </w:r>
            <w:r w:rsidRPr="00FF6B9A">
              <w:rPr>
                <w:rFonts w:eastAsiaTheme="minorEastAsia"/>
                <w:color w:val="000000" w:themeColor="text1"/>
              </w:rPr>
              <w:t>31</w:t>
            </w:r>
            <w:r w:rsidRPr="00FF6B9A">
              <w:rPr>
                <w:rFonts w:eastAsiaTheme="minorEastAsia"/>
                <w:color w:val="000000" w:themeColor="text1"/>
              </w:rPr>
              <w:t>日</w:t>
            </w:r>
            <w:r w:rsidRPr="00FF6B9A">
              <w:rPr>
                <w:rFonts w:eastAsiaTheme="minorEastAsia"/>
                <w:color w:val="000000" w:themeColor="text1"/>
              </w:rPr>
              <w:t>)</w:t>
            </w:r>
          </w:p>
        </w:tc>
      </w:tr>
      <w:tr w:rsidR="00641258" w:rsidRPr="00FF6B9A" w:rsidTr="00641258">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1.</w:t>
            </w:r>
            <w:r w:rsidRPr="00FF6B9A">
              <w:rPr>
                <w:rFonts w:eastAsiaTheme="minorEastAsia"/>
                <w:color w:val="000000" w:themeColor="text1"/>
                <w:kern w:val="0"/>
              </w:rPr>
              <w:t>本期已实现收益</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-3,094,131.50</w:t>
            </w:r>
          </w:p>
        </w:tc>
      </w:tr>
      <w:tr w:rsidR="00641258" w:rsidRPr="00FF6B9A" w:rsidTr="00641258">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2.</w:t>
            </w:r>
            <w:r w:rsidRPr="00FF6B9A">
              <w:rPr>
                <w:rFonts w:eastAsiaTheme="minorEastAsia"/>
                <w:color w:val="000000" w:themeColor="text1"/>
                <w:kern w:val="0"/>
              </w:rPr>
              <w:t>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96,367,613.16</w:t>
            </w:r>
          </w:p>
        </w:tc>
      </w:tr>
      <w:tr w:rsidR="00641258" w:rsidRPr="00FF6B9A" w:rsidTr="00641258">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3.</w:t>
            </w:r>
            <w:r w:rsidRPr="00FF6B9A">
              <w:rPr>
                <w:rFonts w:eastAsiaTheme="minorEastAsia"/>
                <w:color w:val="000000" w:themeColor="text1"/>
                <w:kern w:val="0"/>
              </w:rPr>
              <w:t>加权平均基金份额本期利润</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0.1925</w:t>
            </w:r>
          </w:p>
        </w:tc>
      </w:tr>
      <w:tr w:rsidR="00641258" w:rsidRPr="00FF6B9A" w:rsidTr="00641258">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4.</w:t>
            </w:r>
            <w:r w:rsidRPr="00FF6B9A">
              <w:rPr>
                <w:rFonts w:eastAsiaTheme="minorEastAsia"/>
                <w:color w:val="000000" w:themeColor="text1"/>
                <w:kern w:val="0"/>
              </w:rPr>
              <w:t>期末基金资产净值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1,468,625,309.89</w:t>
            </w:r>
          </w:p>
        </w:tc>
      </w:tr>
      <w:tr w:rsidR="00641258" w:rsidRPr="00FF6B9A" w:rsidTr="00641258">
        <w:trPr>
          <w:trHeight w:val="158"/>
        </w:trPr>
        <w:tc>
          <w:tcPr>
            <w:tcW w:w="3402" w:type="dxa"/>
            <w:vAlign w:val="center"/>
          </w:tcPr>
          <w:p w:rsidR="00D06738" w:rsidRPr="00FF6B9A" w:rsidRDefault="00454D20">
            <w:pPr>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5.</w:t>
            </w:r>
            <w:r w:rsidRPr="00FF6B9A">
              <w:rPr>
                <w:rFonts w:eastAsiaTheme="minorEastAsia"/>
                <w:color w:val="000000" w:themeColor="text1"/>
                <w:kern w:val="0"/>
              </w:rPr>
              <w:t>期末基金份额净值</w:t>
            </w:r>
          </w:p>
        </w:tc>
        <w:tc>
          <w:tcPr>
            <w:tcW w:w="4962" w:type="dxa"/>
            <w:vAlign w:val="center"/>
          </w:tcPr>
          <w:p w:rsidR="00D06738" w:rsidRPr="00FF6B9A" w:rsidRDefault="00454D20">
            <w:pPr>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2.9643</w:t>
            </w:r>
          </w:p>
        </w:tc>
      </w:tr>
    </w:tbl>
    <w:p w:rsidR="000B45C5" w:rsidRDefault="00641258">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注：本期已实现收益指基金本期利息收入、投资收益、其他收入</w:t>
      </w:r>
      <w:r>
        <w:rPr>
          <w:rFonts w:eastAsiaTheme="minorEastAsia"/>
          <w:color w:val="000000" w:themeColor="text1"/>
        </w:rPr>
        <w:t>(</w:t>
      </w:r>
      <w:r>
        <w:rPr>
          <w:rFonts w:eastAsiaTheme="minorEastAsia"/>
          <w:color w:val="000000" w:themeColor="text1"/>
        </w:rPr>
        <w:t>不含公允价值变动收益</w:t>
      </w:r>
      <w:r>
        <w:rPr>
          <w:rFonts w:eastAsiaTheme="minorEastAsia"/>
          <w:color w:val="000000" w:themeColor="text1"/>
        </w:rPr>
        <w:t>)</w:t>
      </w:r>
      <w:r>
        <w:rPr>
          <w:rFonts w:eastAsiaTheme="minorEastAsia"/>
          <w:color w:val="000000" w:themeColor="text1"/>
        </w:rPr>
        <w:t>扣除相关费用后的余额，本期利润为本期已实现收益加上本期公允价值变动收益。</w:t>
      </w:r>
      <w:r>
        <w:rPr>
          <w:rFonts w:eastAsiaTheme="minorEastAsia"/>
          <w:color w:val="000000" w:themeColor="text1"/>
        </w:rPr>
        <w:t xml:space="preserve"> </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上述基金业绩指标不包括持有人认购或交易基金的各项费用（例如，开放式基金的申购赎回费、红利再投资费、基金转换费等），计入费用后实际收益水平要低于所列数字。</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 </w:t>
      </w:r>
      <w:r w:rsidRPr="00FF6B9A">
        <w:rPr>
          <w:rFonts w:eastAsiaTheme="minorEastAsia"/>
          <w:b/>
          <w:bCs/>
          <w:color w:val="000000" w:themeColor="text1"/>
          <w:kern w:val="0"/>
          <w:sz w:val="24"/>
          <w:szCs w:val="24"/>
        </w:rPr>
        <w:t>基金净值表现</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3.2.1 </w:t>
      </w:r>
      <w:r w:rsidRPr="00FF6B9A">
        <w:rPr>
          <w:rFonts w:eastAsiaTheme="minorEastAsia"/>
          <w:b/>
          <w:bCs/>
          <w:color w:val="000000" w:themeColor="text1"/>
          <w:kern w:val="0"/>
          <w:sz w:val="24"/>
          <w:szCs w:val="24"/>
        </w:rPr>
        <w:t>本报告期基金份额净值增长率及其与同期业绩比较基准收益率的比较</w:t>
      </w:r>
    </w:p>
    <w:tbl>
      <w:tblPr>
        <w:tblStyle w:val="aff4"/>
        <w:tblW w:w="8420" w:type="dxa"/>
        <w:tblInd w:w="108" w:type="dxa"/>
        <w:tblLayout w:type="fixed"/>
        <w:tblLook w:val="04A0" w:firstRow="1" w:lastRow="0" w:firstColumn="1" w:lastColumn="0" w:noHBand="0" w:noVBand="1"/>
      </w:tblPr>
      <w:tblGrid>
        <w:gridCol w:w="1395"/>
        <w:gridCol w:w="1092"/>
        <w:gridCol w:w="1161"/>
        <w:gridCol w:w="1181"/>
        <w:gridCol w:w="1188"/>
        <w:gridCol w:w="1199"/>
        <w:gridCol w:w="1204"/>
      </w:tblGrid>
      <w:tr w:rsidR="00D06738" w:rsidRPr="00FF6B9A">
        <w:tc>
          <w:tcPr>
            <w:tcW w:w="139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阶段</w:t>
            </w:r>
          </w:p>
        </w:tc>
        <w:tc>
          <w:tcPr>
            <w:tcW w:w="1092"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w:t>
            </w:r>
            <w:r w:rsidRPr="00FF6B9A">
              <w:rPr>
                <w:rFonts w:ascii="宋体" w:hAnsi="宋体" w:cs="宋体" w:hint="eastAsia"/>
                <w:color w:val="000000" w:themeColor="text1"/>
                <w:kern w:val="0"/>
              </w:rPr>
              <w:t>①</w:t>
            </w:r>
          </w:p>
        </w:tc>
        <w:tc>
          <w:tcPr>
            <w:tcW w:w="116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净值增长率标准差</w:t>
            </w:r>
            <w:r w:rsidRPr="00FF6B9A">
              <w:rPr>
                <w:rFonts w:ascii="宋体" w:hAnsi="宋体" w:cs="宋体" w:hint="eastAsia"/>
                <w:color w:val="000000" w:themeColor="text1"/>
                <w:kern w:val="0"/>
              </w:rPr>
              <w:t>②</w:t>
            </w:r>
          </w:p>
        </w:tc>
        <w:tc>
          <w:tcPr>
            <w:tcW w:w="1181"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w:t>
            </w:r>
            <w:r w:rsidRPr="00FF6B9A">
              <w:rPr>
                <w:rFonts w:ascii="宋体" w:hAnsi="宋体" w:cs="宋体" w:hint="eastAsia"/>
                <w:color w:val="000000" w:themeColor="text1"/>
                <w:kern w:val="0"/>
              </w:rPr>
              <w:t>③</w:t>
            </w:r>
          </w:p>
        </w:tc>
        <w:tc>
          <w:tcPr>
            <w:tcW w:w="118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业绩比较基准收益率标准差</w:t>
            </w:r>
            <w:r w:rsidRPr="00FF6B9A">
              <w:rPr>
                <w:rFonts w:ascii="宋体" w:hAnsi="宋体" w:cs="宋体" w:hint="eastAsia"/>
                <w:color w:val="000000" w:themeColor="text1"/>
                <w:kern w:val="0"/>
              </w:rPr>
              <w:t>④</w:t>
            </w:r>
          </w:p>
        </w:tc>
        <w:tc>
          <w:tcPr>
            <w:tcW w:w="119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①</w:t>
            </w:r>
            <w:r w:rsidRPr="00FF6B9A">
              <w:rPr>
                <w:rFonts w:eastAsiaTheme="minorEastAsia"/>
                <w:color w:val="000000" w:themeColor="text1"/>
                <w:kern w:val="0"/>
              </w:rPr>
              <w:t>-</w:t>
            </w:r>
            <w:r w:rsidRPr="00FF6B9A">
              <w:rPr>
                <w:rFonts w:ascii="宋体" w:hAnsi="宋体" w:cs="宋体" w:hint="eastAsia"/>
                <w:color w:val="000000" w:themeColor="text1"/>
                <w:kern w:val="0"/>
              </w:rPr>
              <w:t>③</w:t>
            </w:r>
          </w:p>
        </w:tc>
        <w:tc>
          <w:tcPr>
            <w:tcW w:w="1204"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ascii="宋体" w:hAnsi="宋体" w:cs="宋体" w:hint="eastAsia"/>
                <w:color w:val="000000" w:themeColor="text1"/>
                <w:kern w:val="0"/>
              </w:rPr>
              <w:t>②</w:t>
            </w:r>
            <w:r w:rsidRPr="00FF6B9A">
              <w:rPr>
                <w:rFonts w:eastAsiaTheme="minorEastAsia"/>
                <w:color w:val="000000" w:themeColor="text1"/>
                <w:kern w:val="0"/>
              </w:rPr>
              <w:t>-</w:t>
            </w:r>
            <w:r w:rsidRPr="00FF6B9A">
              <w:rPr>
                <w:rFonts w:ascii="宋体" w:hAnsi="宋体" w:cs="宋体" w:hint="eastAsia"/>
                <w:color w:val="000000" w:themeColor="text1"/>
                <w:kern w:val="0"/>
              </w:rPr>
              <w:t>④</w:t>
            </w:r>
          </w:p>
        </w:tc>
      </w:tr>
      <w:tr w:rsidR="000B45C5">
        <w:tc>
          <w:tcPr>
            <w:tcW w:w="1395" w:type="dxa"/>
            <w:vAlign w:val="center"/>
          </w:tcPr>
          <w:p w:rsidR="000B45C5" w:rsidRDefault="00641258">
            <w:pPr>
              <w:jc w:val="left"/>
            </w:pPr>
            <w:r>
              <w:rPr>
                <w:rFonts w:eastAsiaTheme="minorEastAsia"/>
                <w:color w:val="000000" w:themeColor="text1"/>
                <w:kern w:val="0"/>
              </w:rPr>
              <w:t>过去三个月</w:t>
            </w:r>
          </w:p>
        </w:tc>
        <w:tc>
          <w:tcPr>
            <w:tcW w:w="1092" w:type="dxa"/>
            <w:vAlign w:val="center"/>
          </w:tcPr>
          <w:p w:rsidR="000B45C5" w:rsidRDefault="00641258">
            <w:pPr>
              <w:jc w:val="center"/>
            </w:pPr>
            <w:r>
              <w:rPr>
                <w:rFonts w:eastAsiaTheme="minorEastAsia"/>
                <w:color w:val="000000" w:themeColor="text1"/>
                <w:kern w:val="0"/>
              </w:rPr>
              <w:t>6.90%</w:t>
            </w:r>
          </w:p>
        </w:tc>
        <w:tc>
          <w:tcPr>
            <w:tcW w:w="1161" w:type="dxa"/>
            <w:vAlign w:val="center"/>
          </w:tcPr>
          <w:p w:rsidR="000B45C5" w:rsidRDefault="00641258">
            <w:pPr>
              <w:jc w:val="center"/>
            </w:pPr>
            <w:r>
              <w:rPr>
                <w:rFonts w:eastAsiaTheme="minorEastAsia"/>
                <w:color w:val="000000" w:themeColor="text1"/>
                <w:kern w:val="0"/>
              </w:rPr>
              <w:t>0.82%</w:t>
            </w:r>
          </w:p>
        </w:tc>
        <w:tc>
          <w:tcPr>
            <w:tcW w:w="1181" w:type="dxa"/>
            <w:vAlign w:val="center"/>
          </w:tcPr>
          <w:p w:rsidR="000B45C5" w:rsidRDefault="00641258">
            <w:pPr>
              <w:jc w:val="center"/>
            </w:pPr>
            <w:r>
              <w:rPr>
                <w:rFonts w:eastAsiaTheme="minorEastAsia"/>
                <w:color w:val="000000" w:themeColor="text1"/>
                <w:kern w:val="0"/>
              </w:rPr>
              <w:t>1.41%</w:t>
            </w:r>
          </w:p>
        </w:tc>
        <w:tc>
          <w:tcPr>
            <w:tcW w:w="1188" w:type="dxa"/>
            <w:vAlign w:val="center"/>
          </w:tcPr>
          <w:p w:rsidR="000B45C5" w:rsidRDefault="00641258">
            <w:pPr>
              <w:jc w:val="center"/>
            </w:pPr>
            <w:r>
              <w:rPr>
                <w:rFonts w:eastAsiaTheme="minorEastAsia"/>
                <w:color w:val="000000" w:themeColor="text1"/>
                <w:kern w:val="0"/>
              </w:rPr>
              <w:t>0.67%</w:t>
            </w:r>
          </w:p>
        </w:tc>
        <w:tc>
          <w:tcPr>
            <w:tcW w:w="1199" w:type="dxa"/>
            <w:vAlign w:val="center"/>
          </w:tcPr>
          <w:p w:rsidR="000B45C5" w:rsidRDefault="00641258">
            <w:pPr>
              <w:jc w:val="center"/>
            </w:pPr>
            <w:r>
              <w:rPr>
                <w:rFonts w:eastAsiaTheme="minorEastAsia"/>
                <w:color w:val="000000" w:themeColor="text1"/>
                <w:kern w:val="0"/>
              </w:rPr>
              <w:t>5.49%</w:t>
            </w:r>
          </w:p>
        </w:tc>
        <w:tc>
          <w:tcPr>
            <w:tcW w:w="1204" w:type="dxa"/>
            <w:vAlign w:val="center"/>
          </w:tcPr>
          <w:p w:rsidR="000B45C5" w:rsidRDefault="00641258">
            <w:pPr>
              <w:jc w:val="center"/>
            </w:pPr>
            <w:r>
              <w:rPr>
                <w:rFonts w:eastAsiaTheme="minorEastAsia"/>
                <w:color w:val="000000" w:themeColor="text1"/>
                <w:kern w:val="0"/>
              </w:rPr>
              <w:t>0.15%</w:t>
            </w:r>
          </w:p>
        </w:tc>
      </w:tr>
      <w:tr w:rsidR="000B45C5">
        <w:tc>
          <w:tcPr>
            <w:tcW w:w="1395" w:type="dxa"/>
            <w:vAlign w:val="center"/>
          </w:tcPr>
          <w:p w:rsidR="000B45C5" w:rsidRDefault="00641258">
            <w:pPr>
              <w:jc w:val="left"/>
            </w:pPr>
            <w:r>
              <w:rPr>
                <w:rFonts w:eastAsiaTheme="minorEastAsia"/>
                <w:color w:val="000000" w:themeColor="text1"/>
                <w:kern w:val="0"/>
              </w:rPr>
              <w:t>过去六个月</w:t>
            </w:r>
          </w:p>
        </w:tc>
        <w:tc>
          <w:tcPr>
            <w:tcW w:w="1092" w:type="dxa"/>
            <w:vAlign w:val="center"/>
          </w:tcPr>
          <w:p w:rsidR="000B45C5" w:rsidRDefault="00641258">
            <w:pPr>
              <w:jc w:val="center"/>
            </w:pPr>
            <w:r>
              <w:rPr>
                <w:rFonts w:eastAsiaTheme="minorEastAsia"/>
                <w:color w:val="000000" w:themeColor="text1"/>
                <w:kern w:val="0"/>
              </w:rPr>
              <w:t>2.48%</w:t>
            </w:r>
          </w:p>
        </w:tc>
        <w:tc>
          <w:tcPr>
            <w:tcW w:w="1161" w:type="dxa"/>
            <w:vAlign w:val="center"/>
          </w:tcPr>
          <w:p w:rsidR="000B45C5" w:rsidRDefault="00641258">
            <w:pPr>
              <w:jc w:val="center"/>
            </w:pPr>
            <w:r>
              <w:rPr>
                <w:rFonts w:eastAsiaTheme="minorEastAsia"/>
                <w:color w:val="000000" w:themeColor="text1"/>
                <w:kern w:val="0"/>
              </w:rPr>
              <w:t>0.90%</w:t>
            </w:r>
          </w:p>
        </w:tc>
        <w:tc>
          <w:tcPr>
            <w:tcW w:w="1181" w:type="dxa"/>
            <w:vAlign w:val="center"/>
          </w:tcPr>
          <w:p w:rsidR="000B45C5" w:rsidRDefault="00641258">
            <w:pPr>
              <w:jc w:val="center"/>
            </w:pPr>
            <w:r>
              <w:rPr>
                <w:rFonts w:eastAsiaTheme="minorEastAsia"/>
                <w:color w:val="000000" w:themeColor="text1"/>
                <w:kern w:val="0"/>
              </w:rPr>
              <w:t>-4.31%</w:t>
            </w:r>
          </w:p>
        </w:tc>
        <w:tc>
          <w:tcPr>
            <w:tcW w:w="1188" w:type="dxa"/>
            <w:vAlign w:val="center"/>
          </w:tcPr>
          <w:p w:rsidR="000B45C5" w:rsidRDefault="00641258">
            <w:pPr>
              <w:jc w:val="center"/>
            </w:pPr>
            <w:r>
              <w:rPr>
                <w:rFonts w:eastAsiaTheme="minorEastAsia"/>
                <w:color w:val="000000" w:themeColor="text1"/>
                <w:kern w:val="0"/>
              </w:rPr>
              <w:t>0.87%</w:t>
            </w:r>
          </w:p>
        </w:tc>
        <w:tc>
          <w:tcPr>
            <w:tcW w:w="1199" w:type="dxa"/>
            <w:vAlign w:val="center"/>
          </w:tcPr>
          <w:p w:rsidR="000B45C5" w:rsidRDefault="00641258">
            <w:pPr>
              <w:jc w:val="center"/>
            </w:pPr>
            <w:r>
              <w:rPr>
                <w:rFonts w:eastAsiaTheme="minorEastAsia"/>
                <w:color w:val="000000" w:themeColor="text1"/>
                <w:kern w:val="0"/>
              </w:rPr>
              <w:t>6.79%</w:t>
            </w:r>
          </w:p>
        </w:tc>
        <w:tc>
          <w:tcPr>
            <w:tcW w:w="1204" w:type="dxa"/>
            <w:vAlign w:val="center"/>
          </w:tcPr>
          <w:p w:rsidR="000B45C5" w:rsidRDefault="00641258">
            <w:pPr>
              <w:jc w:val="center"/>
            </w:pPr>
            <w:r>
              <w:rPr>
                <w:rFonts w:eastAsiaTheme="minorEastAsia"/>
                <w:color w:val="000000" w:themeColor="text1"/>
                <w:kern w:val="0"/>
              </w:rPr>
              <w:t>0.03%</w:t>
            </w:r>
          </w:p>
        </w:tc>
      </w:tr>
      <w:tr w:rsidR="000B45C5">
        <w:tc>
          <w:tcPr>
            <w:tcW w:w="1395" w:type="dxa"/>
            <w:vAlign w:val="center"/>
          </w:tcPr>
          <w:p w:rsidR="000B45C5" w:rsidRDefault="00641258">
            <w:pPr>
              <w:jc w:val="left"/>
            </w:pPr>
            <w:r>
              <w:rPr>
                <w:rFonts w:eastAsiaTheme="minorEastAsia"/>
                <w:color w:val="000000" w:themeColor="text1"/>
                <w:kern w:val="0"/>
              </w:rPr>
              <w:t>过去一年</w:t>
            </w:r>
          </w:p>
        </w:tc>
        <w:tc>
          <w:tcPr>
            <w:tcW w:w="1092" w:type="dxa"/>
            <w:vAlign w:val="center"/>
          </w:tcPr>
          <w:p w:rsidR="000B45C5" w:rsidRDefault="00641258">
            <w:pPr>
              <w:jc w:val="center"/>
            </w:pPr>
            <w:r>
              <w:rPr>
                <w:rFonts w:eastAsiaTheme="minorEastAsia"/>
                <w:color w:val="000000" w:themeColor="text1"/>
                <w:kern w:val="0"/>
              </w:rPr>
              <w:t>17.98%</w:t>
            </w:r>
          </w:p>
        </w:tc>
        <w:tc>
          <w:tcPr>
            <w:tcW w:w="1161" w:type="dxa"/>
            <w:vAlign w:val="center"/>
          </w:tcPr>
          <w:p w:rsidR="000B45C5" w:rsidRDefault="00641258">
            <w:pPr>
              <w:jc w:val="center"/>
            </w:pPr>
            <w:r>
              <w:rPr>
                <w:rFonts w:eastAsiaTheme="minorEastAsia"/>
                <w:color w:val="000000" w:themeColor="text1"/>
                <w:kern w:val="0"/>
              </w:rPr>
              <w:t>1.02%</w:t>
            </w:r>
          </w:p>
        </w:tc>
        <w:tc>
          <w:tcPr>
            <w:tcW w:w="1181" w:type="dxa"/>
            <w:vAlign w:val="center"/>
          </w:tcPr>
          <w:p w:rsidR="000B45C5" w:rsidRDefault="00641258">
            <w:pPr>
              <w:jc w:val="center"/>
            </w:pPr>
            <w:r>
              <w:rPr>
                <w:rFonts w:eastAsiaTheme="minorEastAsia"/>
                <w:color w:val="000000" w:themeColor="text1"/>
                <w:kern w:val="0"/>
              </w:rPr>
              <w:t>-4.08%</w:t>
            </w:r>
          </w:p>
        </w:tc>
        <w:tc>
          <w:tcPr>
            <w:tcW w:w="1188" w:type="dxa"/>
            <w:vAlign w:val="center"/>
          </w:tcPr>
          <w:p w:rsidR="000B45C5" w:rsidRDefault="00641258">
            <w:pPr>
              <w:jc w:val="center"/>
            </w:pPr>
            <w:r>
              <w:rPr>
                <w:rFonts w:eastAsiaTheme="minorEastAsia"/>
                <w:color w:val="000000" w:themeColor="text1"/>
                <w:kern w:val="0"/>
              </w:rPr>
              <w:t>1.00%</w:t>
            </w:r>
          </w:p>
        </w:tc>
        <w:tc>
          <w:tcPr>
            <w:tcW w:w="1199" w:type="dxa"/>
            <w:vAlign w:val="center"/>
          </w:tcPr>
          <w:p w:rsidR="000B45C5" w:rsidRDefault="00641258">
            <w:pPr>
              <w:jc w:val="center"/>
            </w:pPr>
            <w:r>
              <w:rPr>
                <w:rFonts w:eastAsiaTheme="minorEastAsia"/>
                <w:color w:val="000000" w:themeColor="text1"/>
                <w:kern w:val="0"/>
              </w:rPr>
              <w:t>22.06%</w:t>
            </w:r>
          </w:p>
        </w:tc>
        <w:tc>
          <w:tcPr>
            <w:tcW w:w="1204" w:type="dxa"/>
            <w:vAlign w:val="center"/>
          </w:tcPr>
          <w:p w:rsidR="000B45C5" w:rsidRDefault="00641258">
            <w:pPr>
              <w:jc w:val="center"/>
            </w:pPr>
            <w:r>
              <w:rPr>
                <w:rFonts w:eastAsiaTheme="minorEastAsia"/>
                <w:color w:val="000000" w:themeColor="text1"/>
                <w:kern w:val="0"/>
              </w:rPr>
              <w:t>0.02%</w:t>
            </w:r>
          </w:p>
        </w:tc>
      </w:tr>
      <w:tr w:rsidR="000B45C5">
        <w:tc>
          <w:tcPr>
            <w:tcW w:w="1395" w:type="dxa"/>
            <w:vAlign w:val="center"/>
          </w:tcPr>
          <w:p w:rsidR="000B45C5" w:rsidRDefault="00641258">
            <w:pPr>
              <w:jc w:val="left"/>
            </w:pPr>
            <w:r>
              <w:rPr>
                <w:rFonts w:eastAsiaTheme="minorEastAsia"/>
                <w:color w:val="000000" w:themeColor="text1"/>
                <w:kern w:val="0"/>
              </w:rPr>
              <w:t>过去三年</w:t>
            </w:r>
          </w:p>
        </w:tc>
        <w:tc>
          <w:tcPr>
            <w:tcW w:w="1092" w:type="dxa"/>
            <w:vAlign w:val="center"/>
          </w:tcPr>
          <w:p w:rsidR="000B45C5" w:rsidRDefault="00641258">
            <w:pPr>
              <w:jc w:val="center"/>
            </w:pPr>
            <w:r>
              <w:rPr>
                <w:rFonts w:eastAsiaTheme="minorEastAsia"/>
                <w:color w:val="000000" w:themeColor="text1"/>
                <w:kern w:val="0"/>
              </w:rPr>
              <w:t>147.85%</w:t>
            </w:r>
          </w:p>
        </w:tc>
        <w:tc>
          <w:tcPr>
            <w:tcW w:w="1161" w:type="dxa"/>
            <w:vAlign w:val="center"/>
          </w:tcPr>
          <w:p w:rsidR="000B45C5" w:rsidRDefault="00641258">
            <w:pPr>
              <w:jc w:val="center"/>
            </w:pPr>
            <w:r>
              <w:rPr>
                <w:rFonts w:eastAsiaTheme="minorEastAsia"/>
                <w:color w:val="000000" w:themeColor="text1"/>
                <w:kern w:val="0"/>
              </w:rPr>
              <w:t>1.26%</w:t>
            </w:r>
          </w:p>
        </w:tc>
        <w:tc>
          <w:tcPr>
            <w:tcW w:w="1181" w:type="dxa"/>
            <w:vAlign w:val="center"/>
          </w:tcPr>
          <w:p w:rsidR="000B45C5" w:rsidRDefault="00641258">
            <w:pPr>
              <w:jc w:val="center"/>
            </w:pPr>
            <w:r>
              <w:rPr>
                <w:rFonts w:eastAsiaTheme="minorEastAsia"/>
                <w:color w:val="000000" w:themeColor="text1"/>
                <w:kern w:val="0"/>
              </w:rPr>
              <w:t>54.97%</w:t>
            </w:r>
          </w:p>
        </w:tc>
        <w:tc>
          <w:tcPr>
            <w:tcW w:w="1188" w:type="dxa"/>
            <w:vAlign w:val="center"/>
          </w:tcPr>
          <w:p w:rsidR="000B45C5" w:rsidRDefault="00641258">
            <w:pPr>
              <w:jc w:val="center"/>
            </w:pPr>
            <w:r>
              <w:rPr>
                <w:rFonts w:eastAsiaTheme="minorEastAsia"/>
                <w:color w:val="000000" w:themeColor="text1"/>
                <w:kern w:val="0"/>
              </w:rPr>
              <w:t>1.09%</w:t>
            </w:r>
          </w:p>
        </w:tc>
        <w:tc>
          <w:tcPr>
            <w:tcW w:w="1199" w:type="dxa"/>
            <w:vAlign w:val="center"/>
          </w:tcPr>
          <w:p w:rsidR="000B45C5" w:rsidRDefault="00641258">
            <w:pPr>
              <w:jc w:val="center"/>
            </w:pPr>
            <w:r>
              <w:rPr>
                <w:rFonts w:eastAsiaTheme="minorEastAsia"/>
                <w:color w:val="000000" w:themeColor="text1"/>
                <w:kern w:val="0"/>
              </w:rPr>
              <w:t>92.88%</w:t>
            </w:r>
          </w:p>
        </w:tc>
        <w:tc>
          <w:tcPr>
            <w:tcW w:w="1204" w:type="dxa"/>
            <w:vAlign w:val="center"/>
          </w:tcPr>
          <w:p w:rsidR="000B45C5" w:rsidRDefault="00641258">
            <w:pPr>
              <w:jc w:val="center"/>
            </w:pPr>
            <w:r>
              <w:rPr>
                <w:rFonts w:eastAsiaTheme="minorEastAsia"/>
                <w:color w:val="000000" w:themeColor="text1"/>
                <w:kern w:val="0"/>
              </w:rPr>
              <w:t>0.17%</w:t>
            </w:r>
          </w:p>
        </w:tc>
      </w:tr>
      <w:tr w:rsidR="000B45C5">
        <w:tc>
          <w:tcPr>
            <w:tcW w:w="1395" w:type="dxa"/>
            <w:vAlign w:val="center"/>
          </w:tcPr>
          <w:p w:rsidR="000B45C5" w:rsidRDefault="00641258">
            <w:pPr>
              <w:jc w:val="left"/>
            </w:pPr>
            <w:r>
              <w:rPr>
                <w:rFonts w:eastAsiaTheme="minorEastAsia"/>
                <w:color w:val="000000" w:themeColor="text1"/>
                <w:kern w:val="0"/>
              </w:rPr>
              <w:t>过去五年</w:t>
            </w:r>
          </w:p>
        </w:tc>
        <w:tc>
          <w:tcPr>
            <w:tcW w:w="1092" w:type="dxa"/>
            <w:vAlign w:val="center"/>
          </w:tcPr>
          <w:p w:rsidR="000B45C5" w:rsidRDefault="00641258">
            <w:pPr>
              <w:jc w:val="center"/>
            </w:pPr>
            <w:r>
              <w:rPr>
                <w:rFonts w:eastAsiaTheme="minorEastAsia"/>
                <w:color w:val="000000" w:themeColor="text1"/>
                <w:kern w:val="0"/>
              </w:rPr>
              <w:t>93.03%</w:t>
            </w:r>
          </w:p>
        </w:tc>
        <w:tc>
          <w:tcPr>
            <w:tcW w:w="1161" w:type="dxa"/>
            <w:vAlign w:val="center"/>
          </w:tcPr>
          <w:p w:rsidR="000B45C5" w:rsidRDefault="00641258">
            <w:pPr>
              <w:jc w:val="center"/>
            </w:pPr>
            <w:r>
              <w:rPr>
                <w:rFonts w:eastAsiaTheme="minorEastAsia"/>
                <w:color w:val="000000" w:themeColor="text1"/>
                <w:kern w:val="0"/>
              </w:rPr>
              <w:t>1.31%</w:t>
            </w:r>
          </w:p>
        </w:tc>
        <w:tc>
          <w:tcPr>
            <w:tcW w:w="1181" w:type="dxa"/>
            <w:vAlign w:val="center"/>
          </w:tcPr>
          <w:p w:rsidR="000B45C5" w:rsidRDefault="00641258">
            <w:pPr>
              <w:jc w:val="center"/>
            </w:pPr>
            <w:r>
              <w:rPr>
                <w:rFonts w:eastAsiaTheme="minorEastAsia"/>
                <w:color w:val="000000" w:themeColor="text1"/>
                <w:kern w:val="0"/>
              </w:rPr>
              <w:t>42.60%</w:t>
            </w:r>
          </w:p>
        </w:tc>
        <w:tc>
          <w:tcPr>
            <w:tcW w:w="1188" w:type="dxa"/>
            <w:vAlign w:val="center"/>
          </w:tcPr>
          <w:p w:rsidR="000B45C5" w:rsidRDefault="00641258">
            <w:pPr>
              <w:jc w:val="center"/>
            </w:pPr>
            <w:r>
              <w:rPr>
                <w:rFonts w:eastAsiaTheme="minorEastAsia"/>
                <w:color w:val="000000" w:themeColor="text1"/>
                <w:kern w:val="0"/>
              </w:rPr>
              <w:t>1.02%</w:t>
            </w:r>
          </w:p>
        </w:tc>
        <w:tc>
          <w:tcPr>
            <w:tcW w:w="1199" w:type="dxa"/>
            <w:vAlign w:val="center"/>
          </w:tcPr>
          <w:p w:rsidR="000B45C5" w:rsidRDefault="00641258">
            <w:pPr>
              <w:jc w:val="center"/>
            </w:pPr>
            <w:r>
              <w:rPr>
                <w:rFonts w:eastAsiaTheme="minorEastAsia"/>
                <w:color w:val="000000" w:themeColor="text1"/>
                <w:kern w:val="0"/>
              </w:rPr>
              <w:t>50.43%</w:t>
            </w:r>
          </w:p>
        </w:tc>
        <w:tc>
          <w:tcPr>
            <w:tcW w:w="1204" w:type="dxa"/>
            <w:vAlign w:val="center"/>
          </w:tcPr>
          <w:p w:rsidR="000B45C5" w:rsidRDefault="00641258">
            <w:pPr>
              <w:jc w:val="center"/>
            </w:pPr>
            <w:r>
              <w:rPr>
                <w:rFonts w:eastAsiaTheme="minorEastAsia"/>
                <w:color w:val="000000" w:themeColor="text1"/>
                <w:kern w:val="0"/>
              </w:rPr>
              <w:t>0.29%</w:t>
            </w:r>
          </w:p>
        </w:tc>
      </w:tr>
      <w:tr w:rsidR="000B45C5">
        <w:tc>
          <w:tcPr>
            <w:tcW w:w="1395" w:type="dxa"/>
            <w:vAlign w:val="center"/>
          </w:tcPr>
          <w:p w:rsidR="000B45C5" w:rsidRDefault="00641258">
            <w:pPr>
              <w:jc w:val="left"/>
            </w:pPr>
            <w:r>
              <w:rPr>
                <w:rFonts w:eastAsiaTheme="minorEastAsia"/>
                <w:color w:val="000000" w:themeColor="text1"/>
                <w:kern w:val="0"/>
              </w:rPr>
              <w:t>自基金合同生效起至今</w:t>
            </w:r>
          </w:p>
        </w:tc>
        <w:tc>
          <w:tcPr>
            <w:tcW w:w="1092" w:type="dxa"/>
            <w:vAlign w:val="center"/>
          </w:tcPr>
          <w:p w:rsidR="000B45C5" w:rsidRDefault="00641258">
            <w:pPr>
              <w:jc w:val="center"/>
            </w:pPr>
            <w:r>
              <w:rPr>
                <w:rFonts w:eastAsiaTheme="minorEastAsia"/>
                <w:color w:val="000000" w:themeColor="text1"/>
                <w:kern w:val="0"/>
              </w:rPr>
              <w:t>245.52%</w:t>
            </w:r>
          </w:p>
        </w:tc>
        <w:tc>
          <w:tcPr>
            <w:tcW w:w="1161" w:type="dxa"/>
            <w:vAlign w:val="center"/>
          </w:tcPr>
          <w:p w:rsidR="000B45C5" w:rsidRDefault="00641258">
            <w:pPr>
              <w:jc w:val="center"/>
            </w:pPr>
            <w:r>
              <w:rPr>
                <w:rFonts w:eastAsiaTheme="minorEastAsia"/>
                <w:color w:val="000000" w:themeColor="text1"/>
                <w:kern w:val="0"/>
              </w:rPr>
              <w:t>1.61%</w:t>
            </w:r>
          </w:p>
        </w:tc>
        <w:tc>
          <w:tcPr>
            <w:tcW w:w="1181" w:type="dxa"/>
            <w:vAlign w:val="center"/>
          </w:tcPr>
          <w:p w:rsidR="000B45C5" w:rsidRDefault="00641258">
            <w:pPr>
              <w:jc w:val="center"/>
            </w:pPr>
            <w:r>
              <w:rPr>
                <w:rFonts w:eastAsiaTheme="minorEastAsia"/>
                <w:color w:val="000000" w:themeColor="text1"/>
                <w:kern w:val="0"/>
              </w:rPr>
              <w:t>106.98%</w:t>
            </w:r>
          </w:p>
        </w:tc>
        <w:tc>
          <w:tcPr>
            <w:tcW w:w="1188" w:type="dxa"/>
            <w:vAlign w:val="center"/>
          </w:tcPr>
          <w:p w:rsidR="000B45C5" w:rsidRDefault="00641258">
            <w:pPr>
              <w:jc w:val="center"/>
            </w:pPr>
            <w:r>
              <w:rPr>
                <w:rFonts w:eastAsiaTheme="minorEastAsia"/>
                <w:color w:val="000000" w:themeColor="text1"/>
                <w:kern w:val="0"/>
              </w:rPr>
              <w:t>1.23%</w:t>
            </w:r>
          </w:p>
        </w:tc>
        <w:tc>
          <w:tcPr>
            <w:tcW w:w="1199" w:type="dxa"/>
            <w:vAlign w:val="center"/>
          </w:tcPr>
          <w:p w:rsidR="000B45C5" w:rsidRDefault="00641258">
            <w:pPr>
              <w:jc w:val="center"/>
            </w:pPr>
            <w:r>
              <w:rPr>
                <w:rFonts w:eastAsiaTheme="minorEastAsia"/>
                <w:color w:val="000000" w:themeColor="text1"/>
                <w:kern w:val="0"/>
              </w:rPr>
              <w:t>138.54%</w:t>
            </w:r>
          </w:p>
        </w:tc>
        <w:tc>
          <w:tcPr>
            <w:tcW w:w="1204" w:type="dxa"/>
            <w:vAlign w:val="center"/>
          </w:tcPr>
          <w:p w:rsidR="000B45C5" w:rsidRDefault="00641258">
            <w:pPr>
              <w:jc w:val="center"/>
            </w:pPr>
            <w:r>
              <w:rPr>
                <w:rFonts w:eastAsiaTheme="minorEastAsia"/>
                <w:color w:val="000000" w:themeColor="text1"/>
                <w:kern w:val="0"/>
              </w:rPr>
              <w:t>0.38%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3.2.2</w:t>
      </w:r>
      <w:r w:rsidRPr="00FF6B9A">
        <w:rPr>
          <w:rStyle w:val="afe"/>
          <w:color w:val="000000" w:themeColor="text1"/>
          <w:sz w:val="24"/>
          <w:szCs w:val="24"/>
          <w:shd w:val="clear" w:color="auto" w:fill="FFFFFF"/>
        </w:rPr>
        <w:t>自基金合同生效以来</w:t>
      </w:r>
      <w:r w:rsidRPr="00FF6B9A">
        <w:rPr>
          <w:rFonts w:eastAsiaTheme="minorEastAsia"/>
          <w:b/>
          <w:bCs/>
          <w:color w:val="000000" w:themeColor="text1"/>
          <w:kern w:val="0"/>
          <w:sz w:val="24"/>
          <w:szCs w:val="24"/>
        </w:rPr>
        <w:t>基金累计净值增长率变动及其与同期业绩比较基准收益率变动的比较</w:t>
      </w:r>
    </w:p>
    <w:p w:rsidR="00D06738" w:rsidRPr="00FF6B9A" w:rsidRDefault="00454D20">
      <w:pPr>
        <w:spacing w:line="360" w:lineRule="auto"/>
        <w:jc w:val="center"/>
        <w:rPr>
          <w:rFonts w:eastAsiaTheme="minorEastAsia"/>
          <w:color w:val="000000" w:themeColor="text1"/>
        </w:rPr>
      </w:pPr>
      <w:r w:rsidRPr="00FF6B9A">
        <w:rPr>
          <w:rFonts w:eastAsiaTheme="minorEastAsia"/>
          <w:color w:val="000000" w:themeColor="text1"/>
        </w:rPr>
        <w:t>上投摩根核心成长股票型证券投资基金</w:t>
      </w:r>
    </w:p>
    <w:p w:rsidR="00D06738" w:rsidRPr="00FF6B9A" w:rsidRDefault="00454D20">
      <w:pPr>
        <w:pStyle w:val="ae"/>
        <w:snapToGrid w:val="0"/>
        <w:spacing w:line="360" w:lineRule="auto"/>
        <w:jc w:val="center"/>
        <w:rPr>
          <w:rFonts w:ascii="Times New Roman" w:eastAsiaTheme="minorEastAsia" w:hAnsi="Times New Roman" w:cs="Times New Roman"/>
          <w:color w:val="000000" w:themeColor="text1"/>
        </w:rPr>
      </w:pPr>
      <w:r w:rsidRPr="00FF6B9A">
        <w:rPr>
          <w:rFonts w:ascii="Times New Roman" w:eastAsiaTheme="minorEastAsia" w:hAnsi="Times New Roman" w:cs="Times New Roman"/>
          <w:color w:val="000000" w:themeColor="text1"/>
        </w:rPr>
        <w:t>累计净值增长率与业绩比较基准收益率历史走势对比图</w:t>
      </w:r>
    </w:p>
    <w:p w:rsidR="00D06738" w:rsidRPr="00FF6B9A" w:rsidRDefault="00454D20">
      <w:pPr>
        <w:pStyle w:val="ae"/>
        <w:snapToGrid w:val="0"/>
        <w:spacing w:line="360" w:lineRule="auto"/>
        <w:ind w:firstLine="480"/>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color w:val="000000" w:themeColor="text1"/>
        </w:rPr>
        <w:t>(2014</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10</w:t>
      </w:r>
      <w:r w:rsidRPr="00FF6B9A">
        <w:rPr>
          <w:rFonts w:ascii="Times New Roman" w:eastAsiaTheme="minorEastAsia" w:hAnsi="Times New Roman" w:cs="Times New Roman"/>
          <w:color w:val="000000" w:themeColor="text1"/>
        </w:rPr>
        <w:t>日至</w:t>
      </w:r>
      <w:r w:rsidRPr="00FF6B9A">
        <w:rPr>
          <w:rFonts w:ascii="Times New Roman" w:eastAsiaTheme="minorEastAsia" w:hAnsi="Times New Roman" w:cs="Times New Roman"/>
          <w:color w:val="000000" w:themeColor="text1"/>
        </w:rPr>
        <w:t>2021</w:t>
      </w:r>
      <w:r w:rsidRPr="00FF6B9A">
        <w:rPr>
          <w:rFonts w:ascii="Times New Roman" w:eastAsiaTheme="minorEastAsia" w:hAnsi="Times New Roman" w:cs="Times New Roman"/>
          <w:color w:val="000000" w:themeColor="text1"/>
        </w:rPr>
        <w:t>年</w:t>
      </w:r>
      <w:r w:rsidRPr="00FF6B9A">
        <w:rPr>
          <w:rFonts w:ascii="Times New Roman" w:eastAsiaTheme="minorEastAsia" w:hAnsi="Times New Roman" w:cs="Times New Roman"/>
          <w:color w:val="000000" w:themeColor="text1"/>
        </w:rPr>
        <w:t>12</w:t>
      </w:r>
      <w:r w:rsidRPr="00FF6B9A">
        <w:rPr>
          <w:rFonts w:ascii="Times New Roman" w:eastAsiaTheme="minorEastAsia" w:hAnsi="Times New Roman" w:cs="Times New Roman"/>
          <w:color w:val="000000" w:themeColor="text1"/>
        </w:rPr>
        <w:t>月</w:t>
      </w:r>
      <w:r w:rsidRPr="00FF6B9A">
        <w:rPr>
          <w:rFonts w:ascii="Times New Roman" w:eastAsiaTheme="minorEastAsia" w:hAnsi="Times New Roman" w:cs="Times New Roman"/>
          <w:color w:val="000000" w:themeColor="text1"/>
        </w:rPr>
        <w:t>31</w:t>
      </w:r>
      <w:r w:rsidRPr="00FF6B9A">
        <w:rPr>
          <w:rFonts w:ascii="Times New Roman" w:eastAsiaTheme="minorEastAsia" w:hAnsi="Times New Roman" w:cs="Times New Roman"/>
          <w:color w:val="000000" w:themeColor="text1"/>
        </w:rPr>
        <w:t>日</w:t>
      </w:r>
      <w:r w:rsidRPr="00FF6B9A">
        <w:rPr>
          <w:rFonts w:ascii="Times New Roman" w:eastAsiaTheme="minorEastAsia" w:hAnsi="Times New Roman" w:cs="Times New Roman"/>
          <w:color w:val="000000" w:themeColor="text1"/>
        </w:rPr>
        <w:t>)</w:t>
      </w:r>
    </w:p>
    <w:p w:rsidR="00D06738" w:rsidRPr="00FF6B9A" w:rsidRDefault="00454D20">
      <w:pPr>
        <w:pStyle w:val="ae"/>
        <w:snapToGrid w:val="0"/>
        <w:spacing w:before="120" w:line="360" w:lineRule="auto"/>
        <w:jc w:val="center"/>
        <w:rPr>
          <w:rFonts w:ascii="Times New Roman" w:eastAsiaTheme="minorEastAsia" w:hAnsi="Times New Roman" w:cs="Times New Roman"/>
          <w:color w:val="000000" w:themeColor="text1"/>
          <w:sz w:val="24"/>
          <w:szCs w:val="24"/>
        </w:rPr>
      </w:pPr>
      <w:r w:rsidRPr="00FF6B9A">
        <w:rPr>
          <w:rFonts w:ascii="Times New Roman" w:eastAsiaTheme="minorEastAsia" w:hAnsi="Times New Roman" w:cs="Times New Roman"/>
          <w:noProof/>
          <w:color w:val="000000" w:themeColor="text1"/>
          <w:sz w:val="24"/>
          <w:szCs w:val="24"/>
        </w:rPr>
        <w:drawing>
          <wp:inline distT="0" distB="0" distL="0" distR="0" wp14:anchorId="41E8FF0D" wp14:editId="228D69F2">
            <wp:extent cx="5276850" cy="3086100"/>
            <wp:effectExtent l="0" t="0" r="0" b="0"/>
            <wp:docPr id="1" name="图片 1"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5276850" cy="3086100"/>
                    </a:xfrm>
                    <a:prstGeom prst="rect">
                      <a:avLst/>
                    </a:prstGeom>
                    <a:noFill/>
                    <a:ln>
                      <a:noFill/>
                    </a:ln>
                  </pic:spPr>
                </pic:pic>
              </a:graphicData>
            </a:graphic>
          </wp:inline>
        </w:drawing>
      </w:r>
    </w:p>
    <w:p w:rsidR="000B45C5" w:rsidRDefault="00641258">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注：本基金合同生效日为</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2</w:t>
      </w:r>
      <w:r>
        <w:rPr>
          <w:rFonts w:eastAsiaTheme="minorEastAsia"/>
          <w:color w:val="000000" w:themeColor="text1"/>
        </w:rPr>
        <w:t>月</w:t>
      </w:r>
      <w:r>
        <w:rPr>
          <w:rFonts w:eastAsiaTheme="minorEastAsia"/>
          <w:color w:val="000000" w:themeColor="text1"/>
        </w:rPr>
        <w:t>10</w:t>
      </w:r>
      <w:r>
        <w:rPr>
          <w:rFonts w:eastAsiaTheme="minorEastAsia"/>
          <w:color w:val="000000" w:themeColor="text1"/>
        </w:rPr>
        <w:t>日，图示的时间段为合同生效日至本报告期末。</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本基金建仓期为本基金合同生效日起</w:t>
      </w:r>
      <w:r w:rsidRPr="00FF6B9A">
        <w:rPr>
          <w:rFonts w:eastAsiaTheme="minorEastAsia"/>
          <w:color w:val="000000" w:themeColor="text1"/>
        </w:rPr>
        <w:t xml:space="preserve"> 6 </w:t>
      </w:r>
      <w:r w:rsidRPr="00FF6B9A">
        <w:rPr>
          <w:rFonts w:eastAsiaTheme="minorEastAsia"/>
          <w:color w:val="000000" w:themeColor="text1"/>
        </w:rPr>
        <w:t>个月，建仓期结束时资产配置比例符合本基金基金合同规定。</w:t>
      </w:r>
    </w:p>
    <w:p w:rsidR="00D06738" w:rsidRPr="00FF6B9A" w:rsidRDefault="00D06738">
      <w:pPr>
        <w:tabs>
          <w:tab w:val="left" w:pos="1800"/>
        </w:tabs>
        <w:spacing w:line="360" w:lineRule="auto"/>
        <w:rPr>
          <w:rFonts w:eastAsiaTheme="minorEastAsia"/>
          <w:color w:val="000000" w:themeColor="text1"/>
          <w:sz w:val="24"/>
          <w:szCs w:val="24"/>
        </w:rPr>
      </w:pPr>
    </w:p>
    <w:p w:rsidR="00D06738" w:rsidRPr="00FF6B9A" w:rsidRDefault="00D06738">
      <w:pPr>
        <w:tabs>
          <w:tab w:val="left" w:pos="1800"/>
        </w:tabs>
        <w:spacing w:line="288" w:lineRule="auto"/>
        <w:rPr>
          <w:rFonts w:eastAsiaTheme="minorEastAsia"/>
          <w:color w:val="000000" w:themeColor="text1"/>
          <w:sz w:val="24"/>
          <w:szCs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§4  </w:t>
      </w:r>
      <w:r w:rsidRPr="00FF6B9A">
        <w:rPr>
          <w:rFonts w:eastAsiaTheme="minorEastAsia"/>
          <w:color w:val="000000" w:themeColor="text1"/>
          <w:kern w:val="0"/>
          <w:sz w:val="24"/>
          <w:szCs w:val="24"/>
        </w:rPr>
        <w:t>管理人报告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4.1 </w:t>
      </w:r>
      <w:r w:rsidRPr="00FF6B9A">
        <w:rPr>
          <w:rFonts w:eastAsiaTheme="minorEastAsia"/>
          <w:b/>
          <w:bCs/>
          <w:color w:val="000000" w:themeColor="text1"/>
          <w:kern w:val="0"/>
          <w:sz w:val="24"/>
          <w:szCs w:val="24"/>
        </w:rPr>
        <w:t>基金经理</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或基金经理小组</w:t>
      </w:r>
      <w:r w:rsidRPr="00FF6B9A">
        <w:rPr>
          <w:rFonts w:eastAsiaTheme="minorEastAsia"/>
          <w:b/>
          <w:bCs/>
          <w:color w:val="000000" w:themeColor="text1"/>
          <w:kern w:val="0"/>
          <w:sz w:val="24"/>
          <w:szCs w:val="24"/>
        </w:rPr>
        <w:t>)</w:t>
      </w:r>
      <w:r w:rsidRPr="00FF6B9A">
        <w:rPr>
          <w:rFonts w:eastAsiaTheme="minorEastAsia"/>
          <w:b/>
          <w:bCs/>
          <w:color w:val="000000" w:themeColor="text1"/>
          <w:kern w:val="0"/>
          <w:sz w:val="24"/>
          <w:szCs w:val="24"/>
        </w:rPr>
        <w:t>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850"/>
        <w:gridCol w:w="1560"/>
        <w:gridCol w:w="1559"/>
        <w:gridCol w:w="1417"/>
        <w:gridCol w:w="2694"/>
      </w:tblGrid>
      <w:tr w:rsidR="00D06738" w:rsidRPr="00FF6B9A">
        <w:trPr>
          <w:cantSplit/>
          <w:trHeight w:val="292"/>
        </w:trPr>
        <w:tc>
          <w:tcPr>
            <w:tcW w:w="851"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姓名</w:t>
            </w:r>
          </w:p>
        </w:tc>
        <w:tc>
          <w:tcPr>
            <w:tcW w:w="850"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职务</w:t>
            </w:r>
          </w:p>
        </w:tc>
        <w:tc>
          <w:tcPr>
            <w:tcW w:w="3119" w:type="dxa"/>
            <w:gridSpan w:val="2"/>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任本基金的基金经理期限</w:t>
            </w:r>
          </w:p>
        </w:tc>
        <w:tc>
          <w:tcPr>
            <w:tcW w:w="1417" w:type="dxa"/>
            <w:vMerge w:val="restart"/>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证券从业年限</w:t>
            </w:r>
          </w:p>
        </w:tc>
        <w:tc>
          <w:tcPr>
            <w:tcW w:w="2694" w:type="dxa"/>
            <w:vMerge w:val="restart"/>
            <w:vAlign w:val="center"/>
          </w:tcPr>
          <w:p w:rsidR="00D06738" w:rsidRPr="00FF6B9A" w:rsidRDefault="00454D20">
            <w:pPr>
              <w:widowControl/>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说明</w:t>
            </w:r>
          </w:p>
        </w:tc>
      </w:tr>
      <w:tr w:rsidR="00D06738" w:rsidRPr="00FF6B9A">
        <w:trPr>
          <w:cantSplit/>
        </w:trPr>
        <w:tc>
          <w:tcPr>
            <w:tcW w:w="851"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850"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156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任职日期</w:t>
            </w:r>
          </w:p>
        </w:tc>
        <w:tc>
          <w:tcPr>
            <w:tcW w:w="1559"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离任日期</w:t>
            </w:r>
          </w:p>
        </w:tc>
        <w:tc>
          <w:tcPr>
            <w:tcW w:w="1417" w:type="dxa"/>
            <w:vMerge/>
            <w:vAlign w:val="center"/>
          </w:tcPr>
          <w:p w:rsidR="00D06738" w:rsidRPr="00FF6B9A" w:rsidRDefault="00D06738">
            <w:pPr>
              <w:widowControl/>
              <w:spacing w:line="360" w:lineRule="auto"/>
              <w:jc w:val="left"/>
              <w:rPr>
                <w:rFonts w:eastAsiaTheme="minorEastAsia"/>
                <w:color w:val="000000" w:themeColor="text1"/>
                <w:kern w:val="0"/>
              </w:rPr>
            </w:pPr>
          </w:p>
        </w:tc>
        <w:tc>
          <w:tcPr>
            <w:tcW w:w="2694" w:type="dxa"/>
            <w:vMerge/>
            <w:vAlign w:val="center"/>
          </w:tcPr>
          <w:p w:rsidR="00D06738" w:rsidRPr="00FF6B9A" w:rsidRDefault="00D06738">
            <w:pPr>
              <w:widowControl/>
              <w:spacing w:line="360" w:lineRule="auto"/>
              <w:jc w:val="left"/>
              <w:rPr>
                <w:rFonts w:eastAsiaTheme="minorEastAsia"/>
                <w:color w:val="000000" w:themeColor="text1"/>
                <w:kern w:val="0"/>
              </w:rPr>
            </w:pPr>
          </w:p>
        </w:tc>
      </w:tr>
      <w:tr w:rsidR="000B45C5">
        <w:tc>
          <w:tcPr>
            <w:tcW w:w="851" w:type="dxa"/>
            <w:vAlign w:val="center"/>
          </w:tcPr>
          <w:p w:rsidR="000B45C5" w:rsidRDefault="00641258">
            <w:pPr>
              <w:jc w:val="center"/>
            </w:pPr>
            <w:r>
              <w:rPr>
                <w:rFonts w:eastAsiaTheme="minorEastAsia"/>
                <w:color w:val="000000" w:themeColor="text1"/>
              </w:rPr>
              <w:t>李博</w:t>
            </w:r>
          </w:p>
        </w:tc>
        <w:tc>
          <w:tcPr>
            <w:tcW w:w="850" w:type="dxa"/>
            <w:vAlign w:val="center"/>
          </w:tcPr>
          <w:p w:rsidR="000B45C5" w:rsidRDefault="00641258">
            <w:pPr>
              <w:jc w:val="center"/>
            </w:pPr>
            <w:r>
              <w:rPr>
                <w:rFonts w:eastAsiaTheme="minorEastAsia"/>
                <w:color w:val="000000" w:themeColor="text1"/>
              </w:rPr>
              <w:t>本基金基金经理</w:t>
            </w:r>
          </w:p>
        </w:tc>
        <w:tc>
          <w:tcPr>
            <w:tcW w:w="1560" w:type="dxa"/>
            <w:vAlign w:val="center"/>
          </w:tcPr>
          <w:p w:rsidR="000B45C5" w:rsidRDefault="00641258">
            <w:pPr>
              <w:jc w:val="center"/>
            </w:pPr>
            <w:r>
              <w:rPr>
                <w:rFonts w:eastAsiaTheme="minorEastAsia"/>
                <w:color w:val="000000" w:themeColor="text1"/>
              </w:rPr>
              <w:t>2014-12-31</w:t>
            </w:r>
          </w:p>
        </w:tc>
        <w:tc>
          <w:tcPr>
            <w:tcW w:w="1559" w:type="dxa"/>
            <w:vAlign w:val="center"/>
          </w:tcPr>
          <w:p w:rsidR="000B45C5" w:rsidRDefault="00641258">
            <w:pPr>
              <w:jc w:val="center"/>
            </w:pPr>
            <w:r>
              <w:rPr>
                <w:rFonts w:eastAsiaTheme="minorEastAsia"/>
                <w:color w:val="000000" w:themeColor="text1"/>
              </w:rPr>
              <w:t>-</w:t>
            </w:r>
          </w:p>
        </w:tc>
        <w:tc>
          <w:tcPr>
            <w:tcW w:w="1417" w:type="dxa"/>
            <w:vAlign w:val="center"/>
          </w:tcPr>
          <w:p w:rsidR="000B45C5" w:rsidRDefault="00641258">
            <w:pPr>
              <w:jc w:val="center"/>
            </w:pPr>
            <w:r>
              <w:rPr>
                <w:rFonts w:eastAsiaTheme="minorEastAsia"/>
                <w:color w:val="000000" w:themeColor="text1"/>
              </w:rPr>
              <w:t>12</w:t>
            </w:r>
            <w:r>
              <w:rPr>
                <w:rFonts w:eastAsiaTheme="minorEastAsia"/>
                <w:color w:val="000000" w:themeColor="text1"/>
              </w:rPr>
              <w:t>年</w:t>
            </w:r>
          </w:p>
        </w:tc>
        <w:tc>
          <w:tcPr>
            <w:tcW w:w="2694" w:type="dxa"/>
            <w:vAlign w:val="center"/>
          </w:tcPr>
          <w:p w:rsidR="000B45C5" w:rsidRDefault="00641258">
            <w:r>
              <w:rPr>
                <w:rFonts w:eastAsiaTheme="minorEastAsia"/>
                <w:color w:val="000000" w:themeColor="text1"/>
              </w:rPr>
              <w:t>李博先生，上海交通大学硕士，自</w:t>
            </w:r>
            <w:r>
              <w:rPr>
                <w:rFonts w:eastAsiaTheme="minorEastAsia"/>
                <w:color w:val="000000" w:themeColor="text1"/>
              </w:rPr>
              <w:t>2009</w:t>
            </w:r>
            <w:r>
              <w:rPr>
                <w:rFonts w:eastAsiaTheme="minorEastAsia"/>
                <w:color w:val="000000" w:themeColor="text1"/>
              </w:rPr>
              <w:t>年</w:t>
            </w:r>
            <w:r>
              <w:rPr>
                <w:rFonts w:eastAsiaTheme="minorEastAsia"/>
                <w:color w:val="000000" w:themeColor="text1"/>
              </w:rPr>
              <w:t>3</w:t>
            </w:r>
            <w:r>
              <w:rPr>
                <w:rFonts w:eastAsiaTheme="minorEastAsia"/>
                <w:color w:val="000000" w:themeColor="text1"/>
              </w:rPr>
              <w:t>月至</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月在中银国际证券有限公司担任研究员，负责研究方面的工作。自</w:t>
            </w:r>
            <w:r>
              <w:rPr>
                <w:rFonts w:eastAsiaTheme="minorEastAsia"/>
                <w:color w:val="000000" w:themeColor="text1"/>
              </w:rPr>
              <w:t>2010</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月起加入上投摩根基金管理有限公司，先后担任行业专家、基金经理、资深基金经理、国内权益投资部价值成长组组长兼资深基金经理，自</w:t>
            </w:r>
            <w:r>
              <w:rPr>
                <w:rFonts w:eastAsiaTheme="minorEastAsia"/>
                <w:color w:val="000000" w:themeColor="text1"/>
              </w:rPr>
              <w:t>2014</w:t>
            </w:r>
            <w:r>
              <w:rPr>
                <w:rFonts w:eastAsiaTheme="minorEastAsia"/>
                <w:color w:val="000000" w:themeColor="text1"/>
              </w:rPr>
              <w:t>年</w:t>
            </w:r>
            <w:r>
              <w:rPr>
                <w:rFonts w:eastAsiaTheme="minorEastAsia"/>
                <w:color w:val="000000" w:themeColor="text1"/>
              </w:rPr>
              <w:t>12</w:t>
            </w:r>
            <w:r>
              <w:rPr>
                <w:rFonts w:eastAsiaTheme="minorEastAsia"/>
                <w:color w:val="000000" w:themeColor="text1"/>
              </w:rPr>
              <w:t>月起担任上投摩根核心成长股票型证券投资基金基金经理，</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8</w:t>
            </w:r>
            <w:r>
              <w:rPr>
                <w:rFonts w:eastAsiaTheme="minorEastAsia"/>
                <w:color w:val="000000" w:themeColor="text1"/>
              </w:rPr>
              <w:t>月至</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月同时担任上投摩根科技前沿灵活配置混合型证券投资基金基金经理，自</w:t>
            </w:r>
            <w:r>
              <w:rPr>
                <w:rFonts w:eastAsiaTheme="minorEastAsia"/>
                <w:color w:val="000000" w:themeColor="text1"/>
              </w:rPr>
              <w:t>2015</w:t>
            </w:r>
            <w:r>
              <w:rPr>
                <w:rFonts w:eastAsiaTheme="minorEastAsia"/>
                <w:color w:val="000000" w:themeColor="text1"/>
              </w:rPr>
              <w:t>年</w:t>
            </w:r>
            <w:r>
              <w:rPr>
                <w:rFonts w:eastAsiaTheme="minorEastAsia"/>
                <w:color w:val="000000" w:themeColor="text1"/>
              </w:rPr>
              <w:t>9</w:t>
            </w:r>
            <w:r>
              <w:rPr>
                <w:rFonts w:eastAsiaTheme="minorEastAsia"/>
                <w:color w:val="000000" w:themeColor="text1"/>
              </w:rPr>
              <w:t>月起同时担任上投摩根阿尔法混合型证券投资基金基金经理，自</w:t>
            </w:r>
            <w:r>
              <w:rPr>
                <w:rFonts w:eastAsiaTheme="minorEastAsia"/>
                <w:color w:val="000000" w:themeColor="text1"/>
              </w:rPr>
              <w:t>2016</w:t>
            </w:r>
            <w:r>
              <w:rPr>
                <w:rFonts w:eastAsiaTheme="minorEastAsia"/>
                <w:color w:val="000000" w:themeColor="text1"/>
              </w:rPr>
              <w:t>年</w:t>
            </w:r>
            <w:r>
              <w:rPr>
                <w:rFonts w:eastAsiaTheme="minorEastAsia"/>
                <w:color w:val="000000" w:themeColor="text1"/>
              </w:rPr>
              <w:t>10</w:t>
            </w:r>
            <w:r>
              <w:rPr>
                <w:rFonts w:eastAsiaTheme="minorEastAsia"/>
                <w:color w:val="000000" w:themeColor="text1"/>
              </w:rPr>
              <w:t>月</w:t>
            </w:r>
            <w:r>
              <w:rPr>
                <w:rFonts w:eastAsiaTheme="minorEastAsia"/>
                <w:color w:val="000000" w:themeColor="text1"/>
              </w:rPr>
              <w:t>起同时担任上投摩根双息平衡混合型证券投资基金基金经理，自</w:t>
            </w:r>
            <w:r>
              <w:rPr>
                <w:rFonts w:eastAsiaTheme="minorEastAsia"/>
                <w:color w:val="000000" w:themeColor="text1"/>
              </w:rPr>
              <w:t>2018</w:t>
            </w:r>
            <w:r>
              <w:rPr>
                <w:rFonts w:eastAsiaTheme="minorEastAsia"/>
                <w:color w:val="000000" w:themeColor="text1"/>
              </w:rPr>
              <w:t>年</w:t>
            </w:r>
            <w:r>
              <w:rPr>
                <w:rFonts w:eastAsiaTheme="minorEastAsia"/>
                <w:color w:val="000000" w:themeColor="text1"/>
              </w:rPr>
              <w:t>11</w:t>
            </w:r>
            <w:r>
              <w:rPr>
                <w:rFonts w:eastAsiaTheme="minorEastAsia"/>
                <w:color w:val="000000" w:themeColor="text1"/>
              </w:rPr>
              <w:t>月起同时担任上投摩根核心精选股票型证券投资基金基金经理。</w:t>
            </w:r>
          </w:p>
        </w:tc>
      </w:tr>
    </w:tbl>
    <w:p w:rsidR="000B45C5" w:rsidRDefault="00641258">
      <w:pPr>
        <w:autoSpaceDE w:val="0"/>
        <w:autoSpaceDN w:val="0"/>
        <w:adjustRightInd w:val="0"/>
        <w:spacing w:line="360" w:lineRule="auto"/>
        <w:jc w:val="left"/>
        <w:rPr>
          <w:rFonts w:eastAsiaTheme="minorEastAsia"/>
          <w:color w:val="000000" w:themeColor="text1"/>
        </w:rPr>
      </w:pPr>
      <w:r>
        <w:rPr>
          <w:rFonts w:eastAsiaTheme="minorEastAsia"/>
          <w:color w:val="000000" w:themeColor="text1"/>
        </w:rPr>
        <w:t>注：</w:t>
      </w:r>
      <w:r>
        <w:rPr>
          <w:rFonts w:eastAsiaTheme="minorEastAsia"/>
          <w:color w:val="000000" w:themeColor="text1"/>
        </w:rPr>
        <w:t xml:space="preserve">1. </w:t>
      </w:r>
      <w:r>
        <w:rPr>
          <w:rFonts w:eastAsiaTheme="minorEastAsia"/>
          <w:color w:val="000000" w:themeColor="text1"/>
        </w:rPr>
        <w:t>任职日期和离任日期均指根据公司决定确定的聘任日期和解聘日期。</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 xml:space="preserve">2. </w:t>
      </w:r>
      <w:r w:rsidRPr="00FF6B9A">
        <w:rPr>
          <w:rFonts w:eastAsiaTheme="minorEastAsia"/>
          <w:color w:val="000000" w:themeColor="text1"/>
        </w:rPr>
        <w:t>证券从业的含义遵从行业协会《证券业从业人员资格管理办法》的相关规定。</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4.2 </w:t>
      </w:r>
      <w:r w:rsidRPr="00FF6B9A">
        <w:rPr>
          <w:rFonts w:eastAsiaTheme="minorEastAsia"/>
          <w:b/>
          <w:bCs/>
          <w:color w:val="000000" w:themeColor="text1"/>
          <w:kern w:val="0"/>
          <w:sz w:val="24"/>
          <w:szCs w:val="24"/>
        </w:rPr>
        <w:t>管理人对报告期内本基金运作遵规守信情况的说明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在本报告期内，基金管理人不存在损害基金份额持有人利益的行为，勤勉尽责地为基金份额持有人谋求利益。基金管理人遵守了《证券投资基金法》及其他有关法律法规、《上投摩根核心成长股票型证券投资基金基金合同》的规定。除以下情况外，基金经理对个股和投资组合的比例遵循了投资决策委员会的授权限制，基金投资比例符合基金合同和法律法规的要求：本基金曾出现个别由于市场原因引起的投资组合的投资指标被动偏离相关比例要求的情形，但已在规定时间内调整完毕。</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4.3 </w:t>
      </w:r>
      <w:r w:rsidRPr="00FF6B9A">
        <w:rPr>
          <w:rFonts w:eastAsiaTheme="minorEastAsia"/>
          <w:b/>
          <w:bCs/>
          <w:color w:val="000000" w:themeColor="text1"/>
          <w:kern w:val="0"/>
          <w:sz w:val="24"/>
          <w:szCs w:val="24"/>
        </w:rPr>
        <w:t>公平交易专项说明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4.3.1 </w:t>
      </w:r>
      <w:r w:rsidRPr="00FF6B9A">
        <w:rPr>
          <w:rFonts w:eastAsiaTheme="minorEastAsia"/>
          <w:color w:val="000000" w:themeColor="text1"/>
          <w:sz w:val="24"/>
          <w:szCs w:val="24"/>
        </w:rPr>
        <w:t>公平交易制度的执行情况</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对于交易所市场投资活动，本公司执行集中交易制度，确保不同投资组合在买卖同一证券时，按照时间优先、比例分配的原则在各投资组合间公平分配交易量；对于银行间市场投资活动</w:t>
      </w:r>
      <w:r>
        <w:rPr>
          <w:rFonts w:eastAsiaTheme="minorEastAsia"/>
          <w:color w:val="000000" w:themeColor="text1"/>
        </w:rPr>
        <w:t>，本公司通过对手库控制和交易室询价机制，严格防范对手风险并检查价格公允性；对于申购投资行为，本公司遵循价格优先、比例分配的原则，根据事前独立申报的价格和数量对交易结果进行公平分配。</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报告期内，通过对不同投资组合之间的收益率差异比较、对同向交易和反向交易的交易时机和交易价差监控分析，未发现整体公平交易执行出现异常的情况。</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 xml:space="preserve">4.3.2 </w:t>
      </w:r>
      <w:r w:rsidRPr="00FF6B9A">
        <w:rPr>
          <w:rFonts w:eastAsiaTheme="minorEastAsia"/>
          <w:color w:val="000000" w:themeColor="text1"/>
          <w:sz w:val="24"/>
          <w:szCs w:val="24"/>
        </w:rPr>
        <w:t>异常交易行为的专项说明</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报告期内，通过对交易价格、交易时间、交易方向等的分析，未发现有可能导致不公平交易和利益输送的异常交易行为。</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所有投资组合参与的交易所公开竞价同日反向交易成交较少的单边交易量超过该证券当日成交量的</w:t>
      </w:r>
      <w:r w:rsidRPr="00FF6B9A">
        <w:rPr>
          <w:rFonts w:eastAsiaTheme="minorEastAsia"/>
          <w:color w:val="000000" w:themeColor="text1"/>
        </w:rPr>
        <w:t>5%</w:t>
      </w:r>
      <w:r w:rsidRPr="00FF6B9A">
        <w:rPr>
          <w:rFonts w:eastAsiaTheme="minorEastAsia"/>
          <w:color w:val="000000" w:themeColor="text1"/>
        </w:rPr>
        <w:t>的情形：无。</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4.4 </w:t>
      </w:r>
      <w:r w:rsidRPr="00FF6B9A">
        <w:rPr>
          <w:rFonts w:eastAsiaTheme="minorEastAsia"/>
          <w:b/>
          <w:bCs/>
          <w:color w:val="000000" w:themeColor="text1"/>
          <w:kern w:val="0"/>
          <w:sz w:val="24"/>
          <w:szCs w:val="24"/>
        </w:rPr>
        <w:t>报告期内基金的投资策略和业绩表现说明</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4.4.1</w:t>
      </w:r>
      <w:r w:rsidRPr="00FF6B9A">
        <w:rPr>
          <w:rFonts w:eastAsiaTheme="minorEastAsia"/>
          <w:color w:val="000000" w:themeColor="text1"/>
          <w:sz w:val="24"/>
          <w:szCs w:val="24"/>
        </w:rPr>
        <w:t>报告期内基金投资策略和运作分析</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四季度，市场整体波动下降，沪深</w:t>
      </w:r>
      <w:r>
        <w:rPr>
          <w:rFonts w:eastAsiaTheme="minorEastAsia"/>
          <w:color w:val="000000" w:themeColor="text1"/>
        </w:rPr>
        <w:t>300</w:t>
      </w:r>
      <w:r>
        <w:rPr>
          <w:rFonts w:eastAsiaTheme="minorEastAsia"/>
          <w:color w:val="000000" w:themeColor="text1"/>
        </w:rPr>
        <w:t>微涨</w:t>
      </w:r>
      <w:r>
        <w:rPr>
          <w:rFonts w:eastAsiaTheme="minorEastAsia"/>
          <w:color w:val="000000" w:themeColor="text1"/>
        </w:rPr>
        <w:t>1.5%</w:t>
      </w:r>
      <w:r>
        <w:rPr>
          <w:rFonts w:eastAsiaTheme="minorEastAsia"/>
          <w:color w:val="000000" w:themeColor="text1"/>
        </w:rPr>
        <w:t>，创业板上涨</w:t>
      </w:r>
      <w:r>
        <w:rPr>
          <w:rFonts w:eastAsiaTheme="minorEastAsia"/>
          <w:color w:val="000000" w:themeColor="text1"/>
        </w:rPr>
        <w:t>2.4%</w:t>
      </w:r>
      <w:r>
        <w:rPr>
          <w:rFonts w:eastAsiaTheme="minorEastAsia"/>
          <w:color w:val="000000" w:themeColor="text1"/>
        </w:rPr>
        <w:t>。板块方面，结构分化较大，传媒、军工和通信行业领涨，煤炭、石油石化和钢铁行业领跌。四季度，在整个经济增速放缓的情况下，个股涨幅趋缓，前期涨幅较大的周期板块也出现了较大幅度调整。本基金重点配置了估值和成长相匹配的个股，此外，本季度还减持了部分前期超额收益较多个股，增持了部分市场关注度不高的成长股。</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进入</w:t>
      </w:r>
      <w:r w:rsidRPr="00FF6B9A">
        <w:rPr>
          <w:rFonts w:eastAsiaTheme="minorEastAsia"/>
          <w:color w:val="000000" w:themeColor="text1"/>
        </w:rPr>
        <w:t>2022</w:t>
      </w:r>
      <w:r w:rsidRPr="00FF6B9A">
        <w:rPr>
          <w:rFonts w:eastAsiaTheme="minorEastAsia"/>
          <w:color w:val="000000" w:themeColor="text1"/>
        </w:rPr>
        <w:t>年，我们判断市场机会将大于风险，</w:t>
      </w:r>
      <w:r w:rsidRPr="00FF6B9A">
        <w:rPr>
          <w:rFonts w:eastAsiaTheme="minorEastAsia"/>
          <w:color w:val="000000" w:themeColor="text1"/>
        </w:rPr>
        <w:t>A</w:t>
      </w:r>
      <w:r w:rsidRPr="00FF6B9A">
        <w:rPr>
          <w:rFonts w:eastAsiaTheme="minorEastAsia"/>
          <w:color w:val="000000" w:themeColor="text1"/>
        </w:rPr>
        <w:t>股有望呈现结构性的投资机会。站在目前的时点，我们认为未来公司估值继续提升的可能性大幅降低，我们将更看重公司业绩的增长。我们将继续以精选个股作为首要方向。首先，重点关注成长股，尤其是近两年涨幅不大但业绩稳定增长的个股，这些个股伴随业绩兑现全年有望获得超额收益；其次，关注大消费领域，居民可支配收入仍处于稳步提升阶段，和居民消费相关的领域存在投资机会；最后，关注经济转型带来的投资机会。</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4.4.2</w:t>
      </w:r>
      <w:r w:rsidRPr="00FF6B9A">
        <w:rPr>
          <w:rFonts w:eastAsiaTheme="minorEastAsia"/>
          <w:color w:val="000000" w:themeColor="text1"/>
          <w:sz w:val="24"/>
          <w:szCs w:val="24"/>
        </w:rPr>
        <w:t>报告期内基金的业绩表现</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本报告期核心成长份额净值增长率为</w:t>
      </w:r>
      <w:r w:rsidRPr="00FF6B9A">
        <w:rPr>
          <w:rFonts w:eastAsiaTheme="minorEastAsia"/>
          <w:color w:val="000000" w:themeColor="text1"/>
        </w:rPr>
        <w:t>:6.90%</w:t>
      </w:r>
      <w:r w:rsidRPr="00FF6B9A">
        <w:rPr>
          <w:rFonts w:eastAsiaTheme="minorEastAsia"/>
          <w:color w:val="000000" w:themeColor="text1"/>
        </w:rPr>
        <w:t>，同期业绩比较基准收益率为</w:t>
      </w:r>
      <w:r w:rsidRPr="00FF6B9A">
        <w:rPr>
          <w:rFonts w:eastAsiaTheme="minorEastAsia"/>
          <w:color w:val="000000" w:themeColor="text1"/>
        </w:rPr>
        <w:t>:1.41%</w:t>
      </w:r>
      <w:r w:rsidRPr="00FF6B9A">
        <w:rPr>
          <w:rFonts w:eastAsiaTheme="minorEastAsia"/>
          <w:color w:val="000000" w:themeColor="text1"/>
        </w:rPr>
        <w:t>。</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spacing w:line="360" w:lineRule="auto"/>
        <w:rPr>
          <w:rFonts w:eastAsiaTheme="minorEastAsia"/>
          <w:color w:val="000000" w:themeColor="text1"/>
          <w:sz w:val="24"/>
          <w:szCs w:val="24"/>
        </w:rPr>
      </w:pPr>
      <w:r w:rsidRPr="00FF6B9A">
        <w:rPr>
          <w:rFonts w:eastAsiaTheme="minorEastAsia"/>
          <w:b/>
          <w:color w:val="000000" w:themeColor="text1"/>
          <w:kern w:val="0"/>
          <w:sz w:val="24"/>
          <w:szCs w:val="24"/>
        </w:rPr>
        <w:t>4.5</w:t>
      </w:r>
      <w:r w:rsidRPr="00FF6B9A">
        <w:rPr>
          <w:rFonts w:eastAsiaTheme="minorEastAsia"/>
          <w:b/>
          <w:color w:val="000000" w:themeColor="text1"/>
          <w:kern w:val="0"/>
          <w:sz w:val="24"/>
          <w:szCs w:val="24"/>
        </w:rPr>
        <w:t>报告期内基金持有人数或基金资产净值预警说明</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kern w:val="0"/>
        </w:rPr>
        <w:t>无。</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§5  </w:t>
      </w:r>
      <w:r w:rsidRPr="00FF6B9A">
        <w:rPr>
          <w:rFonts w:eastAsiaTheme="minorEastAsia"/>
          <w:color w:val="000000" w:themeColor="text1"/>
          <w:kern w:val="0"/>
          <w:sz w:val="24"/>
          <w:szCs w:val="24"/>
        </w:rPr>
        <w:t>投资组合报告</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 </w:t>
      </w:r>
      <w:r w:rsidRPr="00FF6B9A">
        <w:rPr>
          <w:rFonts w:eastAsiaTheme="minorEastAsia"/>
          <w:b/>
          <w:bCs/>
          <w:color w:val="000000" w:themeColor="text1"/>
          <w:kern w:val="0"/>
          <w:sz w:val="24"/>
          <w:szCs w:val="24"/>
        </w:rPr>
        <w:t>报告期末基金资产组合情况</w:t>
      </w:r>
    </w:p>
    <w:tbl>
      <w:tblPr>
        <w:tblStyle w:val="aff4"/>
        <w:tblW w:w="8897" w:type="dxa"/>
        <w:jc w:val="center"/>
        <w:tblLayout w:type="fixed"/>
        <w:tblLook w:val="04A0" w:firstRow="1" w:lastRow="0" w:firstColumn="1" w:lastColumn="0" w:noHBand="0" w:noVBand="1"/>
      </w:tblPr>
      <w:tblGrid>
        <w:gridCol w:w="720"/>
        <w:gridCol w:w="3357"/>
        <w:gridCol w:w="2977"/>
        <w:gridCol w:w="1843"/>
      </w:tblGrid>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35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项目</w:t>
            </w:r>
          </w:p>
        </w:tc>
        <w:tc>
          <w:tcPr>
            <w:tcW w:w="297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占基金总资产的比例</w:t>
            </w: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权益投资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1,186,399,878.88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80.09</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其中：股票</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1,186,399,878.88</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80.09</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固定收益投资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3,554,000.00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0.24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其中：债券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3,554,000.00</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0.24</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autoSpaceDE w:val="0"/>
              <w:autoSpaceDN w:val="0"/>
              <w:adjustRightInd w:val="0"/>
              <w:spacing w:before="29" w:line="360" w:lineRule="auto"/>
              <w:ind w:left="17" w:firstLineChars="250" w:firstLine="525"/>
              <w:jc w:val="left"/>
              <w:rPr>
                <w:rFonts w:eastAsiaTheme="minorEastAsia"/>
                <w:color w:val="000000" w:themeColor="text1"/>
                <w:kern w:val="0"/>
              </w:rPr>
            </w:pPr>
            <w:r w:rsidRPr="00FF6B9A">
              <w:rPr>
                <w:rFonts w:eastAsiaTheme="minorEastAsia"/>
                <w:color w:val="000000" w:themeColor="text1"/>
                <w:kern w:val="0"/>
              </w:rPr>
              <w:t>资产支持证券</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357" w:type="dxa"/>
          </w:tcPr>
          <w:p w:rsidR="00D06738" w:rsidRPr="00FF6B9A" w:rsidRDefault="00454D20">
            <w:pPr>
              <w:spacing w:before="29" w:line="360" w:lineRule="auto"/>
              <w:ind w:leftChars="50" w:left="105"/>
              <w:rPr>
                <w:rFonts w:eastAsiaTheme="minorEastAsia"/>
                <w:color w:val="000000" w:themeColor="text1"/>
                <w:kern w:val="0"/>
              </w:rPr>
            </w:pPr>
            <w:r w:rsidRPr="00FF6B9A">
              <w:rPr>
                <w:rFonts w:eastAsiaTheme="minorEastAsia"/>
                <w:color w:val="000000" w:themeColor="text1"/>
                <w:kern w:val="0"/>
              </w:rPr>
              <w:t>贵金属投资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金融衍生品投资</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其中：买断式回购的买入返售金融资产</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357"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银行存款和结算备付金合计</w:t>
            </w:r>
          </w:p>
        </w:tc>
        <w:tc>
          <w:tcPr>
            <w:tcW w:w="2977"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288,202,324.42</w:t>
            </w:r>
          </w:p>
        </w:tc>
        <w:tc>
          <w:tcPr>
            <w:tcW w:w="1843"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19.45</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其他各项资产</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3,223,557.63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0.22</w:t>
            </w:r>
          </w:p>
        </w:tc>
      </w:tr>
      <w:tr w:rsidR="00D06738" w:rsidRPr="00FF6B9A">
        <w:trPr>
          <w:jc w:val="center"/>
        </w:trPr>
        <w:tc>
          <w:tcPr>
            <w:tcW w:w="72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357" w:type="dxa"/>
            <w:vAlign w:val="center"/>
          </w:tcPr>
          <w:p w:rsidR="00D06738" w:rsidRPr="00FF6B9A" w:rsidRDefault="00454D20">
            <w:pPr>
              <w:jc w:val="left"/>
              <w:rPr>
                <w:rFonts w:eastAsiaTheme="minorEastAsia"/>
                <w:color w:val="000000" w:themeColor="text1"/>
                <w:kern w:val="0"/>
              </w:rPr>
            </w:pPr>
            <w:r w:rsidRPr="00FF6B9A">
              <w:rPr>
                <w:rFonts w:eastAsiaTheme="minorEastAsia"/>
                <w:color w:val="000000" w:themeColor="text1"/>
                <w:kern w:val="0"/>
              </w:rPr>
              <w:t>合计</w:t>
            </w:r>
          </w:p>
        </w:tc>
        <w:tc>
          <w:tcPr>
            <w:tcW w:w="2977"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1,481,379,760.93</w:t>
            </w:r>
          </w:p>
        </w:tc>
        <w:tc>
          <w:tcPr>
            <w:tcW w:w="1843" w:type="dxa"/>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100.00</w:t>
            </w:r>
          </w:p>
        </w:tc>
      </w:tr>
    </w:tbl>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5.2 </w:t>
      </w:r>
      <w:r w:rsidRPr="00FF6B9A">
        <w:rPr>
          <w:rFonts w:eastAsiaTheme="minorEastAsia"/>
          <w:b/>
          <w:bCs/>
          <w:color w:val="000000" w:themeColor="text1"/>
          <w:kern w:val="0"/>
          <w:sz w:val="24"/>
          <w:szCs w:val="24"/>
        </w:rPr>
        <w:t>报告期末按行业分类的股票投资组合</w:t>
      </w:r>
    </w:p>
    <w:p w:rsidR="00D06738" w:rsidRPr="00FF6B9A" w:rsidRDefault="00454D20">
      <w:pPr>
        <w:rPr>
          <w:b/>
        </w:rPr>
      </w:pPr>
      <w:r w:rsidRPr="00FF6B9A">
        <w:rPr>
          <w:rFonts w:eastAsiaTheme="minorEastAsia"/>
          <w:b/>
          <w:color w:val="000000" w:themeColor="text1"/>
          <w:kern w:val="0"/>
        </w:rPr>
        <w:t>5.2.1</w:t>
      </w:r>
      <w:r w:rsidRPr="00FF6B9A">
        <w:rPr>
          <w:rFonts w:eastAsiaTheme="minorEastAsia"/>
          <w:b/>
          <w:color w:val="000000" w:themeColor="text1"/>
          <w:kern w:val="0"/>
        </w:rPr>
        <w:t>报告期末按行业分类的境内股票投资组合</w:t>
      </w:r>
    </w:p>
    <w:tbl>
      <w:tblPr>
        <w:tblW w:w="87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540"/>
        <w:gridCol w:w="3691"/>
        <w:gridCol w:w="2852"/>
        <w:gridCol w:w="1648"/>
      </w:tblGrid>
      <w:tr w:rsidR="00D06738" w:rsidRPr="00FF6B9A">
        <w:trPr>
          <w:trHeight w:val="390"/>
        </w:trPr>
        <w:tc>
          <w:tcPr>
            <w:tcW w:w="540" w:type="dxa"/>
            <w:tcBorders>
              <w:top w:val="single" w:sz="4" w:space="0" w:color="000000"/>
              <w:left w:val="single" w:sz="4" w:space="0" w:color="000000"/>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占基金资产净值比例（％）</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17,613,920.94</w:t>
            </w:r>
          </w:p>
          <w:p w:rsidR="00D06738" w:rsidRPr="00FF6B9A" w:rsidRDefault="00D06738">
            <w:pPr>
              <w:jc w:val="right"/>
              <w:rPr>
                <w:rFonts w:eastAsiaTheme="minorEastAsia"/>
                <w:color w:val="000000" w:themeColor="text1"/>
                <w:kern w:val="0"/>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1.20</w:t>
            </w:r>
          </w:p>
          <w:p w:rsidR="00D06738" w:rsidRPr="00FF6B9A" w:rsidRDefault="00D06738">
            <w:pPr>
              <w:jc w:val="right"/>
              <w:rPr>
                <w:rFonts w:eastAsiaTheme="minorEastAsia"/>
                <w:color w:val="000000" w:themeColor="text1"/>
                <w:kern w:val="0"/>
              </w:rPr>
            </w:pP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906,246,887.90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61.71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4,713.80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64,804,258.50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4.41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4,608.00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39,185,060.91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2.67</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129,690,468.50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8.83</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13,884,739.56</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0.95</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45,710.34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19,803.79</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0.00</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14,899,706.64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1.01</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adjustRightInd w:val="0"/>
              <w:snapToGrid w:val="0"/>
              <w:spacing w:line="400" w:lineRule="exact"/>
              <w:jc w:val="center"/>
              <w:rPr>
                <w:rFonts w:eastAsiaTheme="minorEastAsia"/>
                <w:color w:val="000000" w:themeColor="text1"/>
                <w:kern w:val="0"/>
              </w:rPr>
            </w:pPr>
            <w:r w:rsidRPr="00FF6B9A">
              <w:rPr>
                <w:rFonts w:eastAsiaTheme="minorEastAsia"/>
                <w:color w:val="000000" w:themeColor="text1"/>
                <w:kern w:val="0"/>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trHeight w:val="285"/>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D06738">
            <w:pPr>
              <w:adjustRightInd w:val="0"/>
              <w:snapToGrid w:val="0"/>
              <w:spacing w:line="400" w:lineRule="exact"/>
              <w:jc w:val="center"/>
              <w:rPr>
                <w:rFonts w:eastAsiaTheme="minorEastAsia"/>
                <w:color w:val="000000" w:themeColor="text1"/>
                <w:kern w:val="0"/>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D06738" w:rsidRPr="00FF6B9A" w:rsidRDefault="00454D20">
            <w:pPr>
              <w:adjustRightInd w:val="0"/>
              <w:snapToGrid w:val="0"/>
              <w:spacing w:line="400" w:lineRule="exact"/>
              <w:rPr>
                <w:rFonts w:eastAsiaTheme="minorEastAsia"/>
                <w:color w:val="000000" w:themeColor="text1"/>
                <w:kern w:val="0"/>
              </w:rPr>
            </w:pPr>
            <w:r w:rsidRPr="00FF6B9A">
              <w:rPr>
                <w:rFonts w:eastAsiaTheme="minorEastAsia"/>
                <w:color w:val="000000" w:themeColor="text1"/>
                <w:kern w:val="0"/>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1,186,399,878.88</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D06738" w:rsidRPr="00FF6B9A" w:rsidRDefault="00454D20">
            <w:pPr>
              <w:jc w:val="right"/>
              <w:rPr>
                <w:rFonts w:eastAsiaTheme="minorEastAsia"/>
                <w:color w:val="000000" w:themeColor="text1"/>
                <w:kern w:val="0"/>
              </w:rPr>
            </w:pPr>
            <w:r w:rsidRPr="00FF6B9A">
              <w:rPr>
                <w:rFonts w:eastAsiaTheme="minorEastAsia"/>
                <w:color w:val="000000" w:themeColor="text1"/>
                <w:kern w:val="0"/>
              </w:rPr>
              <w:t>80.78</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FF6B9A" w:rsidRPr="00FF6B9A" w:rsidRDefault="00FF6B9A" w:rsidP="00FF6B9A">
      <w:pPr>
        <w:spacing w:line="360" w:lineRule="auto"/>
        <w:rPr>
          <w:rFonts w:eastAsiaTheme="minorEastAsia"/>
          <w:sz w:val="24"/>
          <w:szCs w:val="24"/>
        </w:rPr>
      </w:pPr>
      <w:bookmarkStart w:id="1" w:name="_Hlk73460790"/>
      <w:r w:rsidRPr="00FF6B9A">
        <w:rPr>
          <w:rFonts w:eastAsiaTheme="minorEastAsia"/>
          <w:b/>
          <w:bCs/>
          <w:kern w:val="0"/>
          <w:sz w:val="24"/>
          <w:szCs w:val="24"/>
        </w:rPr>
        <w:t>5.3</w:t>
      </w:r>
      <w:r w:rsidRPr="00FF6B9A">
        <w:rPr>
          <w:rFonts w:asciiTheme="minorEastAsia" w:eastAsiaTheme="minorEastAsia" w:hAnsiTheme="minorEastAsia" w:hint="eastAsia"/>
          <w:b/>
          <w:bCs/>
          <w:kern w:val="0"/>
          <w:sz w:val="24"/>
          <w:szCs w:val="24"/>
        </w:rPr>
        <w:t>期末按公允价值占基金资产净值比例大小排序的股票投资明细</w:t>
      </w:r>
      <w:r w:rsidRPr="00FF6B9A">
        <w:rPr>
          <w:rFonts w:asciiTheme="minorEastAsia" w:eastAsiaTheme="minorEastAsia" w:hAnsiTheme="minorEastAsia" w:hint="eastAsia"/>
          <w:b/>
          <w:bCs/>
          <w:kern w:val="0"/>
          <w:sz w:val="24"/>
          <w:szCs w:val="24"/>
        </w:rPr>
        <w:cr/>
      </w:r>
      <w:r w:rsidRPr="00FF6B9A">
        <w:rPr>
          <w:rFonts w:eastAsiaTheme="minorEastAsia"/>
          <w:b/>
          <w:bCs/>
          <w:kern w:val="0"/>
          <w:sz w:val="24"/>
          <w:szCs w:val="24"/>
        </w:rPr>
        <w:t>5.3.1</w:t>
      </w:r>
      <w:r w:rsidRPr="00FF6B9A">
        <w:rPr>
          <w:rFonts w:asciiTheme="minorEastAsia" w:eastAsiaTheme="minorEastAsia" w:hAnsiTheme="minorEastAsia" w:hint="eastAsia"/>
          <w:b/>
          <w:bCs/>
          <w:kern w:val="0"/>
          <w:sz w:val="24"/>
          <w:szCs w:val="24"/>
        </w:rPr>
        <w:t>报告期末按公允价值占基金资产净值比例大小排序的前十名股票投资明细</w:t>
      </w:r>
    </w:p>
    <w:tbl>
      <w:tblPr>
        <w:tblStyle w:val="aff4"/>
        <w:tblW w:w="0" w:type="auto"/>
        <w:tblLayout w:type="fixed"/>
        <w:tblLook w:val="04A0" w:firstRow="1" w:lastRow="0" w:firstColumn="1" w:lastColumn="0" w:noHBand="0" w:noVBand="1"/>
      </w:tblPr>
      <w:tblGrid>
        <w:gridCol w:w="817"/>
        <w:gridCol w:w="1276"/>
        <w:gridCol w:w="1701"/>
        <w:gridCol w:w="1276"/>
        <w:gridCol w:w="1842"/>
        <w:gridCol w:w="1616"/>
      </w:tblGrid>
      <w:tr w:rsidR="00FF6B9A" w:rsidRPr="00FF6B9A" w:rsidTr="00D913A1">
        <w:tc>
          <w:tcPr>
            <w:tcW w:w="817"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序号</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股票代码</w:t>
            </w:r>
          </w:p>
        </w:tc>
        <w:tc>
          <w:tcPr>
            <w:tcW w:w="1701"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股票名称</w:t>
            </w:r>
          </w:p>
        </w:tc>
        <w:tc>
          <w:tcPr>
            <w:tcW w:w="127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数量</w:t>
            </w:r>
            <w:r w:rsidRPr="00FF6B9A">
              <w:rPr>
                <w:rFonts w:eastAsiaTheme="minorEastAsia"/>
                <w:kern w:val="0"/>
                <w:sz w:val="24"/>
                <w:szCs w:val="24"/>
              </w:rPr>
              <w:t>(</w:t>
            </w:r>
            <w:r w:rsidRPr="00FF6B9A">
              <w:rPr>
                <w:rFonts w:eastAsiaTheme="minorEastAsia"/>
                <w:kern w:val="0"/>
                <w:sz w:val="24"/>
                <w:szCs w:val="24"/>
              </w:rPr>
              <w:t>股</w:t>
            </w:r>
            <w:r w:rsidRPr="00FF6B9A">
              <w:rPr>
                <w:rFonts w:eastAsiaTheme="minorEastAsia"/>
                <w:kern w:val="0"/>
                <w:sz w:val="24"/>
                <w:szCs w:val="24"/>
              </w:rPr>
              <w:t>)</w:t>
            </w:r>
          </w:p>
        </w:tc>
        <w:tc>
          <w:tcPr>
            <w:tcW w:w="1842" w:type="dxa"/>
            <w:vAlign w:val="center"/>
          </w:tcPr>
          <w:p w:rsidR="00FF6B9A" w:rsidRPr="00FF6B9A" w:rsidRDefault="00FF6B9A" w:rsidP="00D913A1">
            <w:pPr>
              <w:autoSpaceDE w:val="0"/>
              <w:autoSpaceDN w:val="0"/>
              <w:adjustRightInd w:val="0"/>
              <w:spacing w:before="29" w:line="360" w:lineRule="auto"/>
              <w:ind w:left="17"/>
              <w:jc w:val="center"/>
              <w:rPr>
                <w:rFonts w:eastAsiaTheme="minorEastAsia"/>
                <w:kern w:val="0"/>
                <w:sz w:val="24"/>
                <w:szCs w:val="24"/>
              </w:rPr>
            </w:pPr>
            <w:r w:rsidRPr="00FF6B9A">
              <w:rPr>
                <w:rFonts w:eastAsiaTheme="minorEastAsia"/>
                <w:kern w:val="0"/>
                <w:sz w:val="24"/>
                <w:szCs w:val="24"/>
              </w:rPr>
              <w:t>公允价值</w:t>
            </w:r>
            <w:r w:rsidRPr="00FF6B9A">
              <w:rPr>
                <w:rFonts w:eastAsiaTheme="minorEastAsia"/>
                <w:kern w:val="0"/>
                <w:sz w:val="24"/>
                <w:szCs w:val="24"/>
              </w:rPr>
              <w:t>(</w:t>
            </w:r>
            <w:r w:rsidRPr="00FF6B9A">
              <w:rPr>
                <w:rFonts w:eastAsiaTheme="minorEastAsia"/>
                <w:kern w:val="0"/>
                <w:sz w:val="24"/>
                <w:szCs w:val="24"/>
              </w:rPr>
              <w:t>元</w:t>
            </w:r>
            <w:r w:rsidRPr="00FF6B9A">
              <w:rPr>
                <w:rFonts w:eastAsiaTheme="minorEastAsia"/>
                <w:kern w:val="0"/>
                <w:sz w:val="24"/>
                <w:szCs w:val="24"/>
              </w:rPr>
              <w:t>)</w:t>
            </w:r>
          </w:p>
        </w:tc>
        <w:tc>
          <w:tcPr>
            <w:tcW w:w="1616" w:type="dxa"/>
            <w:vAlign w:val="center"/>
          </w:tcPr>
          <w:p w:rsidR="00FF6B9A" w:rsidRPr="00FF6B9A" w:rsidRDefault="00FF6B9A" w:rsidP="00D913A1">
            <w:pPr>
              <w:spacing w:before="29" w:line="360" w:lineRule="auto"/>
              <w:ind w:left="17"/>
              <w:jc w:val="center"/>
              <w:rPr>
                <w:rFonts w:eastAsiaTheme="minorEastAsia"/>
                <w:kern w:val="0"/>
                <w:sz w:val="24"/>
                <w:szCs w:val="24"/>
              </w:rPr>
            </w:pPr>
            <w:r w:rsidRPr="00FF6B9A">
              <w:rPr>
                <w:rFonts w:eastAsiaTheme="minorEastAsia"/>
                <w:kern w:val="0"/>
                <w:sz w:val="24"/>
                <w:szCs w:val="24"/>
              </w:rPr>
              <w:t>占基金资产净值比例</w:t>
            </w:r>
            <w:r w:rsidRPr="00FF6B9A">
              <w:rPr>
                <w:rFonts w:eastAsiaTheme="minorEastAsia"/>
                <w:kern w:val="0"/>
                <w:sz w:val="24"/>
                <w:szCs w:val="24"/>
              </w:rPr>
              <w:t>(</w:t>
            </w:r>
            <w:r w:rsidRPr="00FF6B9A">
              <w:rPr>
                <w:rFonts w:eastAsiaTheme="minorEastAsia"/>
                <w:kern w:val="0"/>
                <w:sz w:val="24"/>
                <w:szCs w:val="24"/>
              </w:rPr>
              <w:t>％</w:t>
            </w:r>
            <w:r w:rsidRPr="00FF6B9A">
              <w:rPr>
                <w:rFonts w:eastAsiaTheme="minorEastAsia"/>
                <w:kern w:val="0"/>
                <w:sz w:val="24"/>
                <w:szCs w:val="24"/>
              </w:rPr>
              <w:t>)</w:t>
            </w:r>
          </w:p>
        </w:tc>
      </w:tr>
      <w:tr w:rsidR="000B45C5">
        <w:tc>
          <w:tcPr>
            <w:tcW w:w="817" w:type="dxa"/>
            <w:vAlign w:val="center"/>
          </w:tcPr>
          <w:p w:rsidR="000B45C5" w:rsidRDefault="00641258">
            <w:pPr>
              <w:jc w:val="center"/>
            </w:pPr>
            <w:r>
              <w:rPr>
                <w:rFonts w:eastAsiaTheme="minorEastAsia"/>
                <w:kern w:val="0"/>
                <w:sz w:val="24"/>
                <w:szCs w:val="24"/>
              </w:rPr>
              <w:t>1</w:t>
            </w:r>
          </w:p>
        </w:tc>
        <w:tc>
          <w:tcPr>
            <w:tcW w:w="1276" w:type="dxa"/>
            <w:vAlign w:val="center"/>
          </w:tcPr>
          <w:p w:rsidR="000B45C5" w:rsidRDefault="00641258">
            <w:pPr>
              <w:jc w:val="center"/>
            </w:pPr>
            <w:r>
              <w:rPr>
                <w:rFonts w:eastAsiaTheme="minorEastAsia"/>
                <w:kern w:val="0"/>
                <w:sz w:val="24"/>
                <w:szCs w:val="24"/>
              </w:rPr>
              <w:t>002236</w:t>
            </w:r>
          </w:p>
        </w:tc>
        <w:tc>
          <w:tcPr>
            <w:tcW w:w="1701" w:type="dxa"/>
            <w:vAlign w:val="center"/>
          </w:tcPr>
          <w:p w:rsidR="000B45C5" w:rsidRDefault="00641258">
            <w:pPr>
              <w:jc w:val="center"/>
            </w:pPr>
            <w:r>
              <w:rPr>
                <w:rFonts w:eastAsiaTheme="minorEastAsia"/>
                <w:kern w:val="0"/>
                <w:sz w:val="24"/>
                <w:szCs w:val="24"/>
              </w:rPr>
              <w:t>大华股份</w:t>
            </w:r>
          </w:p>
        </w:tc>
        <w:tc>
          <w:tcPr>
            <w:tcW w:w="1276" w:type="dxa"/>
            <w:vAlign w:val="center"/>
          </w:tcPr>
          <w:p w:rsidR="000B45C5" w:rsidRDefault="00641258">
            <w:pPr>
              <w:jc w:val="right"/>
            </w:pPr>
            <w:r>
              <w:rPr>
                <w:rFonts w:eastAsiaTheme="minorEastAsia"/>
                <w:kern w:val="0"/>
                <w:sz w:val="24"/>
                <w:szCs w:val="24"/>
              </w:rPr>
              <w:t>5,443,944</w:t>
            </w:r>
          </w:p>
        </w:tc>
        <w:tc>
          <w:tcPr>
            <w:tcW w:w="1842" w:type="dxa"/>
            <w:vAlign w:val="center"/>
          </w:tcPr>
          <w:p w:rsidR="000B45C5" w:rsidRDefault="00641258">
            <w:pPr>
              <w:jc w:val="right"/>
            </w:pPr>
            <w:r>
              <w:rPr>
                <w:rFonts w:eastAsiaTheme="minorEastAsia"/>
                <w:kern w:val="0"/>
                <w:sz w:val="24"/>
                <w:szCs w:val="24"/>
              </w:rPr>
              <w:t>127,823,805.12</w:t>
            </w:r>
          </w:p>
        </w:tc>
        <w:tc>
          <w:tcPr>
            <w:tcW w:w="1616" w:type="dxa"/>
            <w:vAlign w:val="center"/>
          </w:tcPr>
          <w:p w:rsidR="000B45C5" w:rsidRDefault="00641258">
            <w:pPr>
              <w:jc w:val="right"/>
            </w:pPr>
            <w:r>
              <w:rPr>
                <w:rFonts w:eastAsiaTheme="minorEastAsia"/>
                <w:kern w:val="0"/>
                <w:sz w:val="24"/>
                <w:szCs w:val="24"/>
              </w:rPr>
              <w:t>8.70</w:t>
            </w:r>
          </w:p>
        </w:tc>
      </w:tr>
      <w:tr w:rsidR="000B45C5">
        <w:tc>
          <w:tcPr>
            <w:tcW w:w="817" w:type="dxa"/>
            <w:vAlign w:val="center"/>
          </w:tcPr>
          <w:p w:rsidR="000B45C5" w:rsidRDefault="00641258">
            <w:pPr>
              <w:jc w:val="center"/>
            </w:pPr>
            <w:r>
              <w:rPr>
                <w:rFonts w:eastAsiaTheme="minorEastAsia"/>
                <w:kern w:val="0"/>
                <w:sz w:val="24"/>
                <w:szCs w:val="24"/>
              </w:rPr>
              <w:t>2</w:t>
            </w:r>
          </w:p>
        </w:tc>
        <w:tc>
          <w:tcPr>
            <w:tcW w:w="1276" w:type="dxa"/>
            <w:vAlign w:val="center"/>
          </w:tcPr>
          <w:p w:rsidR="000B45C5" w:rsidRDefault="00641258">
            <w:pPr>
              <w:jc w:val="center"/>
            </w:pPr>
            <w:r>
              <w:rPr>
                <w:rFonts w:eastAsiaTheme="minorEastAsia"/>
                <w:kern w:val="0"/>
                <w:sz w:val="24"/>
                <w:szCs w:val="24"/>
              </w:rPr>
              <w:t>002043</w:t>
            </w:r>
          </w:p>
        </w:tc>
        <w:tc>
          <w:tcPr>
            <w:tcW w:w="1701" w:type="dxa"/>
            <w:vAlign w:val="center"/>
          </w:tcPr>
          <w:p w:rsidR="000B45C5" w:rsidRDefault="00641258">
            <w:pPr>
              <w:jc w:val="center"/>
            </w:pPr>
            <w:r>
              <w:rPr>
                <w:rFonts w:eastAsiaTheme="minorEastAsia"/>
                <w:kern w:val="0"/>
                <w:sz w:val="24"/>
                <w:szCs w:val="24"/>
              </w:rPr>
              <w:t>兔</w:t>
            </w:r>
            <w:r>
              <w:rPr>
                <w:rFonts w:eastAsiaTheme="minorEastAsia"/>
                <w:kern w:val="0"/>
                <w:sz w:val="24"/>
                <w:szCs w:val="24"/>
              </w:rPr>
              <w:t xml:space="preserve"> </w:t>
            </w:r>
            <w:r>
              <w:rPr>
                <w:rFonts w:eastAsiaTheme="minorEastAsia"/>
                <w:kern w:val="0"/>
                <w:sz w:val="24"/>
                <w:szCs w:val="24"/>
              </w:rPr>
              <w:t>宝</w:t>
            </w:r>
            <w:r>
              <w:rPr>
                <w:rFonts w:eastAsiaTheme="minorEastAsia"/>
                <w:kern w:val="0"/>
                <w:sz w:val="24"/>
                <w:szCs w:val="24"/>
              </w:rPr>
              <w:t xml:space="preserve"> </w:t>
            </w:r>
            <w:r>
              <w:rPr>
                <w:rFonts w:eastAsiaTheme="minorEastAsia"/>
                <w:kern w:val="0"/>
                <w:sz w:val="24"/>
                <w:szCs w:val="24"/>
              </w:rPr>
              <w:t>宝</w:t>
            </w:r>
          </w:p>
        </w:tc>
        <w:tc>
          <w:tcPr>
            <w:tcW w:w="1276" w:type="dxa"/>
            <w:vAlign w:val="center"/>
          </w:tcPr>
          <w:p w:rsidR="000B45C5" w:rsidRDefault="00641258">
            <w:pPr>
              <w:jc w:val="right"/>
            </w:pPr>
            <w:r>
              <w:rPr>
                <w:rFonts w:eastAsiaTheme="minorEastAsia"/>
                <w:kern w:val="0"/>
                <w:sz w:val="24"/>
                <w:szCs w:val="24"/>
              </w:rPr>
              <w:t>9,282,277</w:t>
            </w:r>
          </w:p>
        </w:tc>
        <w:tc>
          <w:tcPr>
            <w:tcW w:w="1842" w:type="dxa"/>
            <w:vAlign w:val="center"/>
          </w:tcPr>
          <w:p w:rsidR="000B45C5" w:rsidRDefault="00641258">
            <w:pPr>
              <w:jc w:val="right"/>
            </w:pPr>
            <w:r>
              <w:rPr>
                <w:rFonts w:eastAsiaTheme="minorEastAsia"/>
                <w:kern w:val="0"/>
                <w:sz w:val="24"/>
                <w:szCs w:val="24"/>
              </w:rPr>
              <w:t>112,129,906.16</w:t>
            </w:r>
          </w:p>
        </w:tc>
        <w:tc>
          <w:tcPr>
            <w:tcW w:w="1616" w:type="dxa"/>
            <w:vAlign w:val="center"/>
          </w:tcPr>
          <w:p w:rsidR="000B45C5" w:rsidRDefault="00641258">
            <w:pPr>
              <w:jc w:val="right"/>
            </w:pPr>
            <w:r>
              <w:rPr>
                <w:rFonts w:eastAsiaTheme="minorEastAsia"/>
                <w:kern w:val="0"/>
                <w:sz w:val="24"/>
                <w:szCs w:val="24"/>
              </w:rPr>
              <w:t>7.64</w:t>
            </w:r>
          </w:p>
        </w:tc>
      </w:tr>
      <w:tr w:rsidR="000B45C5">
        <w:tc>
          <w:tcPr>
            <w:tcW w:w="817" w:type="dxa"/>
            <w:vAlign w:val="center"/>
          </w:tcPr>
          <w:p w:rsidR="000B45C5" w:rsidRDefault="00641258">
            <w:pPr>
              <w:jc w:val="center"/>
            </w:pPr>
            <w:r>
              <w:rPr>
                <w:rFonts w:eastAsiaTheme="minorEastAsia"/>
                <w:kern w:val="0"/>
                <w:sz w:val="24"/>
                <w:szCs w:val="24"/>
              </w:rPr>
              <w:t>3</w:t>
            </w:r>
          </w:p>
        </w:tc>
        <w:tc>
          <w:tcPr>
            <w:tcW w:w="1276" w:type="dxa"/>
            <w:vAlign w:val="center"/>
          </w:tcPr>
          <w:p w:rsidR="000B45C5" w:rsidRDefault="00641258">
            <w:pPr>
              <w:jc w:val="center"/>
            </w:pPr>
            <w:r>
              <w:rPr>
                <w:rFonts w:eastAsiaTheme="minorEastAsia"/>
                <w:kern w:val="0"/>
                <w:sz w:val="24"/>
                <w:szCs w:val="24"/>
              </w:rPr>
              <w:t>002384</w:t>
            </w:r>
          </w:p>
        </w:tc>
        <w:tc>
          <w:tcPr>
            <w:tcW w:w="1701" w:type="dxa"/>
            <w:vAlign w:val="center"/>
          </w:tcPr>
          <w:p w:rsidR="000B45C5" w:rsidRDefault="00641258">
            <w:pPr>
              <w:jc w:val="center"/>
            </w:pPr>
            <w:r>
              <w:rPr>
                <w:rFonts w:eastAsiaTheme="minorEastAsia"/>
                <w:kern w:val="0"/>
                <w:sz w:val="24"/>
                <w:szCs w:val="24"/>
              </w:rPr>
              <w:t>东山精密</w:t>
            </w:r>
          </w:p>
        </w:tc>
        <w:tc>
          <w:tcPr>
            <w:tcW w:w="1276" w:type="dxa"/>
            <w:vAlign w:val="center"/>
          </w:tcPr>
          <w:p w:rsidR="000B45C5" w:rsidRDefault="00641258">
            <w:pPr>
              <w:jc w:val="right"/>
            </w:pPr>
            <w:r>
              <w:rPr>
                <w:rFonts w:eastAsiaTheme="minorEastAsia"/>
                <w:kern w:val="0"/>
                <w:sz w:val="24"/>
                <w:szCs w:val="24"/>
              </w:rPr>
              <w:t>1,990,200</w:t>
            </w:r>
          </w:p>
        </w:tc>
        <w:tc>
          <w:tcPr>
            <w:tcW w:w="1842" w:type="dxa"/>
            <w:vAlign w:val="center"/>
          </w:tcPr>
          <w:p w:rsidR="000B45C5" w:rsidRDefault="00641258">
            <w:pPr>
              <w:jc w:val="right"/>
            </w:pPr>
            <w:r>
              <w:rPr>
                <w:rFonts w:eastAsiaTheme="minorEastAsia"/>
                <w:kern w:val="0"/>
                <w:sz w:val="24"/>
                <w:szCs w:val="24"/>
              </w:rPr>
              <w:t>53,934,420.00</w:t>
            </w:r>
          </w:p>
        </w:tc>
        <w:tc>
          <w:tcPr>
            <w:tcW w:w="1616" w:type="dxa"/>
            <w:vAlign w:val="center"/>
          </w:tcPr>
          <w:p w:rsidR="000B45C5" w:rsidRDefault="00641258">
            <w:pPr>
              <w:jc w:val="right"/>
            </w:pPr>
            <w:r>
              <w:rPr>
                <w:rFonts w:eastAsiaTheme="minorEastAsia"/>
                <w:kern w:val="0"/>
                <w:sz w:val="24"/>
                <w:szCs w:val="24"/>
              </w:rPr>
              <w:t>3.67</w:t>
            </w:r>
          </w:p>
        </w:tc>
      </w:tr>
      <w:tr w:rsidR="000B45C5">
        <w:tc>
          <w:tcPr>
            <w:tcW w:w="817" w:type="dxa"/>
            <w:vAlign w:val="center"/>
          </w:tcPr>
          <w:p w:rsidR="000B45C5" w:rsidRDefault="00641258">
            <w:pPr>
              <w:jc w:val="center"/>
            </w:pPr>
            <w:r>
              <w:rPr>
                <w:rFonts w:eastAsiaTheme="minorEastAsia"/>
                <w:kern w:val="0"/>
                <w:sz w:val="24"/>
                <w:szCs w:val="24"/>
              </w:rPr>
              <w:t>4</w:t>
            </w:r>
          </w:p>
        </w:tc>
        <w:tc>
          <w:tcPr>
            <w:tcW w:w="1276" w:type="dxa"/>
            <w:vAlign w:val="center"/>
          </w:tcPr>
          <w:p w:rsidR="000B45C5" w:rsidRDefault="00641258">
            <w:pPr>
              <w:jc w:val="center"/>
            </w:pPr>
            <w:r>
              <w:rPr>
                <w:rFonts w:eastAsiaTheme="minorEastAsia"/>
                <w:kern w:val="0"/>
                <w:sz w:val="24"/>
                <w:szCs w:val="24"/>
              </w:rPr>
              <w:t>603816</w:t>
            </w:r>
          </w:p>
        </w:tc>
        <w:tc>
          <w:tcPr>
            <w:tcW w:w="1701" w:type="dxa"/>
            <w:vAlign w:val="center"/>
          </w:tcPr>
          <w:p w:rsidR="000B45C5" w:rsidRDefault="00641258">
            <w:pPr>
              <w:jc w:val="center"/>
            </w:pPr>
            <w:r>
              <w:rPr>
                <w:rFonts w:eastAsiaTheme="minorEastAsia"/>
                <w:kern w:val="0"/>
                <w:sz w:val="24"/>
                <w:szCs w:val="24"/>
              </w:rPr>
              <w:t>顾家家居</w:t>
            </w:r>
          </w:p>
        </w:tc>
        <w:tc>
          <w:tcPr>
            <w:tcW w:w="1276" w:type="dxa"/>
            <w:vAlign w:val="center"/>
          </w:tcPr>
          <w:p w:rsidR="000B45C5" w:rsidRDefault="00641258">
            <w:pPr>
              <w:jc w:val="right"/>
            </w:pPr>
            <w:r>
              <w:rPr>
                <w:rFonts w:eastAsiaTheme="minorEastAsia"/>
                <w:kern w:val="0"/>
                <w:sz w:val="24"/>
                <w:szCs w:val="24"/>
              </w:rPr>
              <w:t>692,923</w:t>
            </w:r>
          </w:p>
        </w:tc>
        <w:tc>
          <w:tcPr>
            <w:tcW w:w="1842" w:type="dxa"/>
            <w:vAlign w:val="center"/>
          </w:tcPr>
          <w:p w:rsidR="000B45C5" w:rsidRDefault="00641258">
            <w:pPr>
              <w:jc w:val="right"/>
            </w:pPr>
            <w:r>
              <w:rPr>
                <w:rFonts w:eastAsiaTheme="minorEastAsia"/>
                <w:kern w:val="0"/>
                <w:sz w:val="24"/>
                <w:szCs w:val="24"/>
              </w:rPr>
              <w:t>53,465,938.68</w:t>
            </w:r>
          </w:p>
        </w:tc>
        <w:tc>
          <w:tcPr>
            <w:tcW w:w="1616" w:type="dxa"/>
            <w:vAlign w:val="center"/>
          </w:tcPr>
          <w:p w:rsidR="000B45C5" w:rsidRDefault="00641258">
            <w:pPr>
              <w:jc w:val="right"/>
            </w:pPr>
            <w:r>
              <w:rPr>
                <w:rFonts w:eastAsiaTheme="minorEastAsia"/>
                <w:kern w:val="0"/>
                <w:sz w:val="24"/>
                <w:szCs w:val="24"/>
              </w:rPr>
              <w:t>3.64</w:t>
            </w:r>
          </w:p>
        </w:tc>
      </w:tr>
      <w:tr w:rsidR="000B45C5">
        <w:tc>
          <w:tcPr>
            <w:tcW w:w="817" w:type="dxa"/>
            <w:vAlign w:val="center"/>
          </w:tcPr>
          <w:p w:rsidR="000B45C5" w:rsidRDefault="00641258">
            <w:pPr>
              <w:jc w:val="center"/>
            </w:pPr>
            <w:r>
              <w:rPr>
                <w:rFonts w:eastAsiaTheme="minorEastAsia"/>
                <w:kern w:val="0"/>
                <w:sz w:val="24"/>
                <w:szCs w:val="24"/>
              </w:rPr>
              <w:t>5</w:t>
            </w:r>
          </w:p>
        </w:tc>
        <w:tc>
          <w:tcPr>
            <w:tcW w:w="1276" w:type="dxa"/>
            <w:vAlign w:val="center"/>
          </w:tcPr>
          <w:p w:rsidR="000B45C5" w:rsidRDefault="00641258">
            <w:pPr>
              <w:jc w:val="center"/>
            </w:pPr>
            <w:r>
              <w:rPr>
                <w:rFonts w:eastAsiaTheme="minorEastAsia"/>
                <w:kern w:val="0"/>
                <w:sz w:val="24"/>
                <w:szCs w:val="24"/>
              </w:rPr>
              <w:t>002727</w:t>
            </w:r>
          </w:p>
        </w:tc>
        <w:tc>
          <w:tcPr>
            <w:tcW w:w="1701" w:type="dxa"/>
            <w:vAlign w:val="center"/>
          </w:tcPr>
          <w:p w:rsidR="000B45C5" w:rsidRDefault="00641258">
            <w:pPr>
              <w:jc w:val="center"/>
            </w:pPr>
            <w:r>
              <w:rPr>
                <w:rFonts w:eastAsiaTheme="minorEastAsia"/>
                <w:kern w:val="0"/>
                <w:sz w:val="24"/>
                <w:szCs w:val="24"/>
              </w:rPr>
              <w:t>一心堂</w:t>
            </w:r>
          </w:p>
        </w:tc>
        <w:tc>
          <w:tcPr>
            <w:tcW w:w="1276" w:type="dxa"/>
            <w:vAlign w:val="center"/>
          </w:tcPr>
          <w:p w:rsidR="000B45C5" w:rsidRDefault="00641258">
            <w:pPr>
              <w:jc w:val="right"/>
            </w:pPr>
            <w:r>
              <w:rPr>
                <w:rFonts w:eastAsiaTheme="minorEastAsia"/>
                <w:kern w:val="0"/>
                <w:sz w:val="24"/>
                <w:szCs w:val="24"/>
              </w:rPr>
              <w:t>1,287,400</w:t>
            </w:r>
          </w:p>
        </w:tc>
        <w:tc>
          <w:tcPr>
            <w:tcW w:w="1842" w:type="dxa"/>
            <w:vAlign w:val="center"/>
          </w:tcPr>
          <w:p w:rsidR="000B45C5" w:rsidRDefault="00641258">
            <w:pPr>
              <w:jc w:val="right"/>
            </w:pPr>
            <w:r>
              <w:rPr>
                <w:rFonts w:eastAsiaTheme="minorEastAsia"/>
                <w:kern w:val="0"/>
                <w:sz w:val="24"/>
                <w:szCs w:val="24"/>
              </w:rPr>
              <w:t>49,577,774.00</w:t>
            </w:r>
          </w:p>
        </w:tc>
        <w:tc>
          <w:tcPr>
            <w:tcW w:w="1616" w:type="dxa"/>
            <w:vAlign w:val="center"/>
          </w:tcPr>
          <w:p w:rsidR="000B45C5" w:rsidRDefault="00641258">
            <w:pPr>
              <w:jc w:val="right"/>
            </w:pPr>
            <w:r>
              <w:rPr>
                <w:rFonts w:eastAsiaTheme="minorEastAsia"/>
                <w:kern w:val="0"/>
                <w:sz w:val="24"/>
                <w:szCs w:val="24"/>
              </w:rPr>
              <w:t>3.38</w:t>
            </w:r>
          </w:p>
        </w:tc>
      </w:tr>
      <w:tr w:rsidR="000B45C5">
        <w:tc>
          <w:tcPr>
            <w:tcW w:w="817" w:type="dxa"/>
            <w:vAlign w:val="center"/>
          </w:tcPr>
          <w:p w:rsidR="000B45C5" w:rsidRDefault="00641258">
            <w:pPr>
              <w:jc w:val="center"/>
            </w:pPr>
            <w:r>
              <w:rPr>
                <w:rFonts w:eastAsiaTheme="minorEastAsia"/>
                <w:kern w:val="0"/>
                <w:sz w:val="24"/>
                <w:szCs w:val="24"/>
              </w:rPr>
              <w:t>6</w:t>
            </w:r>
          </w:p>
        </w:tc>
        <w:tc>
          <w:tcPr>
            <w:tcW w:w="1276" w:type="dxa"/>
            <w:vAlign w:val="center"/>
          </w:tcPr>
          <w:p w:rsidR="000B45C5" w:rsidRDefault="00641258">
            <w:pPr>
              <w:jc w:val="center"/>
            </w:pPr>
            <w:r>
              <w:rPr>
                <w:rFonts w:eastAsiaTheme="minorEastAsia"/>
                <w:kern w:val="0"/>
                <w:sz w:val="24"/>
                <w:szCs w:val="24"/>
              </w:rPr>
              <w:t>605336</w:t>
            </w:r>
          </w:p>
        </w:tc>
        <w:tc>
          <w:tcPr>
            <w:tcW w:w="1701" w:type="dxa"/>
            <w:vAlign w:val="center"/>
          </w:tcPr>
          <w:p w:rsidR="000B45C5" w:rsidRDefault="00641258">
            <w:pPr>
              <w:jc w:val="center"/>
            </w:pPr>
            <w:r>
              <w:rPr>
                <w:rFonts w:eastAsiaTheme="minorEastAsia"/>
                <w:kern w:val="0"/>
                <w:sz w:val="24"/>
                <w:szCs w:val="24"/>
              </w:rPr>
              <w:t>帅丰电器</w:t>
            </w:r>
          </w:p>
        </w:tc>
        <w:tc>
          <w:tcPr>
            <w:tcW w:w="1276" w:type="dxa"/>
            <w:vAlign w:val="center"/>
          </w:tcPr>
          <w:p w:rsidR="000B45C5" w:rsidRDefault="00641258">
            <w:pPr>
              <w:jc w:val="right"/>
            </w:pPr>
            <w:r>
              <w:rPr>
                <w:rFonts w:eastAsiaTheme="minorEastAsia"/>
                <w:kern w:val="0"/>
                <w:sz w:val="24"/>
                <w:szCs w:val="24"/>
              </w:rPr>
              <w:t>1,324,510</w:t>
            </w:r>
          </w:p>
        </w:tc>
        <w:tc>
          <w:tcPr>
            <w:tcW w:w="1842" w:type="dxa"/>
            <w:vAlign w:val="center"/>
          </w:tcPr>
          <w:p w:rsidR="000B45C5" w:rsidRDefault="00641258">
            <w:pPr>
              <w:jc w:val="right"/>
            </w:pPr>
            <w:r>
              <w:rPr>
                <w:rFonts w:eastAsiaTheme="minorEastAsia"/>
                <w:kern w:val="0"/>
                <w:sz w:val="24"/>
                <w:szCs w:val="24"/>
              </w:rPr>
              <w:t>45,165,791.00</w:t>
            </w:r>
          </w:p>
        </w:tc>
        <w:tc>
          <w:tcPr>
            <w:tcW w:w="1616" w:type="dxa"/>
            <w:vAlign w:val="center"/>
          </w:tcPr>
          <w:p w:rsidR="000B45C5" w:rsidRDefault="00641258">
            <w:pPr>
              <w:jc w:val="right"/>
            </w:pPr>
            <w:r>
              <w:rPr>
                <w:rFonts w:eastAsiaTheme="minorEastAsia"/>
                <w:kern w:val="0"/>
                <w:sz w:val="24"/>
                <w:szCs w:val="24"/>
              </w:rPr>
              <w:t>3.08</w:t>
            </w:r>
          </w:p>
        </w:tc>
      </w:tr>
      <w:tr w:rsidR="000B45C5">
        <w:tc>
          <w:tcPr>
            <w:tcW w:w="817" w:type="dxa"/>
            <w:vAlign w:val="center"/>
          </w:tcPr>
          <w:p w:rsidR="000B45C5" w:rsidRDefault="00641258">
            <w:pPr>
              <w:jc w:val="center"/>
            </w:pPr>
            <w:r>
              <w:rPr>
                <w:rFonts w:eastAsiaTheme="minorEastAsia"/>
                <w:kern w:val="0"/>
                <w:sz w:val="24"/>
                <w:szCs w:val="24"/>
              </w:rPr>
              <w:t>7</w:t>
            </w:r>
          </w:p>
        </w:tc>
        <w:tc>
          <w:tcPr>
            <w:tcW w:w="1276" w:type="dxa"/>
            <w:vAlign w:val="center"/>
          </w:tcPr>
          <w:p w:rsidR="000B45C5" w:rsidRDefault="00641258">
            <w:pPr>
              <w:jc w:val="center"/>
            </w:pPr>
            <w:r>
              <w:rPr>
                <w:rFonts w:eastAsiaTheme="minorEastAsia"/>
                <w:kern w:val="0"/>
                <w:sz w:val="24"/>
                <w:szCs w:val="24"/>
              </w:rPr>
              <w:t>002832</w:t>
            </w:r>
          </w:p>
        </w:tc>
        <w:tc>
          <w:tcPr>
            <w:tcW w:w="1701" w:type="dxa"/>
            <w:vAlign w:val="center"/>
          </w:tcPr>
          <w:p w:rsidR="000B45C5" w:rsidRDefault="00641258">
            <w:pPr>
              <w:jc w:val="center"/>
            </w:pPr>
            <w:r>
              <w:rPr>
                <w:rFonts w:eastAsiaTheme="minorEastAsia"/>
                <w:kern w:val="0"/>
                <w:sz w:val="24"/>
                <w:szCs w:val="24"/>
              </w:rPr>
              <w:t>比音勒芬</w:t>
            </w:r>
          </w:p>
        </w:tc>
        <w:tc>
          <w:tcPr>
            <w:tcW w:w="1276" w:type="dxa"/>
            <w:vAlign w:val="center"/>
          </w:tcPr>
          <w:p w:rsidR="000B45C5" w:rsidRDefault="00641258">
            <w:pPr>
              <w:jc w:val="right"/>
            </w:pPr>
            <w:r>
              <w:rPr>
                <w:rFonts w:eastAsiaTheme="minorEastAsia"/>
                <w:kern w:val="0"/>
                <w:sz w:val="24"/>
                <w:szCs w:val="24"/>
              </w:rPr>
              <w:t>1,719,857</w:t>
            </w:r>
          </w:p>
        </w:tc>
        <w:tc>
          <w:tcPr>
            <w:tcW w:w="1842" w:type="dxa"/>
            <w:vAlign w:val="center"/>
          </w:tcPr>
          <w:p w:rsidR="000B45C5" w:rsidRDefault="00641258">
            <w:pPr>
              <w:jc w:val="right"/>
            </w:pPr>
            <w:r>
              <w:rPr>
                <w:rFonts w:eastAsiaTheme="minorEastAsia"/>
                <w:kern w:val="0"/>
                <w:sz w:val="24"/>
                <w:szCs w:val="24"/>
              </w:rPr>
              <w:t>43,770,360.65</w:t>
            </w:r>
          </w:p>
        </w:tc>
        <w:tc>
          <w:tcPr>
            <w:tcW w:w="1616" w:type="dxa"/>
            <w:vAlign w:val="center"/>
          </w:tcPr>
          <w:p w:rsidR="000B45C5" w:rsidRDefault="00641258">
            <w:pPr>
              <w:jc w:val="right"/>
            </w:pPr>
            <w:r>
              <w:rPr>
                <w:rFonts w:eastAsiaTheme="minorEastAsia"/>
                <w:kern w:val="0"/>
                <w:sz w:val="24"/>
                <w:szCs w:val="24"/>
              </w:rPr>
              <w:t>2.98</w:t>
            </w:r>
          </w:p>
        </w:tc>
      </w:tr>
      <w:tr w:rsidR="000B45C5">
        <w:tc>
          <w:tcPr>
            <w:tcW w:w="817" w:type="dxa"/>
            <w:vAlign w:val="center"/>
          </w:tcPr>
          <w:p w:rsidR="000B45C5" w:rsidRDefault="00641258">
            <w:pPr>
              <w:jc w:val="center"/>
            </w:pPr>
            <w:r>
              <w:rPr>
                <w:rFonts w:eastAsiaTheme="minorEastAsia"/>
                <w:kern w:val="0"/>
                <w:sz w:val="24"/>
                <w:szCs w:val="24"/>
              </w:rPr>
              <w:t>8</w:t>
            </w:r>
          </w:p>
        </w:tc>
        <w:tc>
          <w:tcPr>
            <w:tcW w:w="1276" w:type="dxa"/>
            <w:vAlign w:val="center"/>
          </w:tcPr>
          <w:p w:rsidR="000B45C5" w:rsidRDefault="00641258">
            <w:pPr>
              <w:jc w:val="center"/>
            </w:pPr>
            <w:r>
              <w:rPr>
                <w:rFonts w:eastAsiaTheme="minorEastAsia"/>
                <w:kern w:val="0"/>
                <w:sz w:val="24"/>
                <w:szCs w:val="24"/>
              </w:rPr>
              <w:t>002845</w:t>
            </w:r>
          </w:p>
        </w:tc>
        <w:tc>
          <w:tcPr>
            <w:tcW w:w="1701" w:type="dxa"/>
            <w:vAlign w:val="center"/>
          </w:tcPr>
          <w:p w:rsidR="000B45C5" w:rsidRDefault="00641258">
            <w:pPr>
              <w:jc w:val="center"/>
            </w:pPr>
            <w:r>
              <w:rPr>
                <w:rFonts w:eastAsiaTheme="minorEastAsia"/>
                <w:kern w:val="0"/>
                <w:sz w:val="24"/>
                <w:szCs w:val="24"/>
              </w:rPr>
              <w:t>同兴达</w:t>
            </w:r>
          </w:p>
        </w:tc>
        <w:tc>
          <w:tcPr>
            <w:tcW w:w="1276" w:type="dxa"/>
            <w:vAlign w:val="center"/>
          </w:tcPr>
          <w:p w:rsidR="000B45C5" w:rsidRDefault="00641258">
            <w:pPr>
              <w:jc w:val="right"/>
            </w:pPr>
            <w:r>
              <w:rPr>
                <w:rFonts w:eastAsiaTheme="minorEastAsia"/>
                <w:kern w:val="0"/>
                <w:sz w:val="24"/>
                <w:szCs w:val="24"/>
              </w:rPr>
              <w:t>1,294,500</w:t>
            </w:r>
          </w:p>
        </w:tc>
        <w:tc>
          <w:tcPr>
            <w:tcW w:w="1842" w:type="dxa"/>
            <w:vAlign w:val="center"/>
          </w:tcPr>
          <w:p w:rsidR="000B45C5" w:rsidRDefault="00641258">
            <w:pPr>
              <w:jc w:val="right"/>
            </w:pPr>
            <w:r>
              <w:rPr>
                <w:rFonts w:eastAsiaTheme="minorEastAsia"/>
                <w:kern w:val="0"/>
                <w:sz w:val="24"/>
                <w:szCs w:val="24"/>
              </w:rPr>
              <w:t>38,252,475.00</w:t>
            </w:r>
          </w:p>
        </w:tc>
        <w:tc>
          <w:tcPr>
            <w:tcW w:w="1616" w:type="dxa"/>
            <w:vAlign w:val="center"/>
          </w:tcPr>
          <w:p w:rsidR="000B45C5" w:rsidRDefault="00641258">
            <w:pPr>
              <w:jc w:val="right"/>
            </w:pPr>
            <w:r>
              <w:rPr>
                <w:rFonts w:eastAsiaTheme="minorEastAsia"/>
                <w:kern w:val="0"/>
                <w:sz w:val="24"/>
                <w:szCs w:val="24"/>
              </w:rPr>
              <w:t>2.60</w:t>
            </w:r>
          </w:p>
        </w:tc>
      </w:tr>
      <w:tr w:rsidR="000B45C5">
        <w:tc>
          <w:tcPr>
            <w:tcW w:w="817" w:type="dxa"/>
            <w:vAlign w:val="center"/>
          </w:tcPr>
          <w:p w:rsidR="000B45C5" w:rsidRDefault="00641258">
            <w:pPr>
              <w:jc w:val="center"/>
            </w:pPr>
            <w:r>
              <w:rPr>
                <w:rFonts w:eastAsiaTheme="minorEastAsia"/>
                <w:kern w:val="0"/>
                <w:sz w:val="24"/>
                <w:szCs w:val="24"/>
              </w:rPr>
              <w:t>9</w:t>
            </w:r>
          </w:p>
        </w:tc>
        <w:tc>
          <w:tcPr>
            <w:tcW w:w="1276" w:type="dxa"/>
            <w:vAlign w:val="center"/>
          </w:tcPr>
          <w:p w:rsidR="000B45C5" w:rsidRDefault="00641258">
            <w:pPr>
              <w:jc w:val="center"/>
            </w:pPr>
            <w:r>
              <w:rPr>
                <w:rFonts w:eastAsiaTheme="minorEastAsia"/>
                <w:kern w:val="0"/>
                <w:sz w:val="24"/>
                <w:szCs w:val="24"/>
              </w:rPr>
              <w:t>002475</w:t>
            </w:r>
          </w:p>
        </w:tc>
        <w:tc>
          <w:tcPr>
            <w:tcW w:w="1701" w:type="dxa"/>
            <w:vAlign w:val="center"/>
          </w:tcPr>
          <w:p w:rsidR="000B45C5" w:rsidRDefault="00641258">
            <w:pPr>
              <w:jc w:val="center"/>
            </w:pPr>
            <w:r>
              <w:rPr>
                <w:rFonts w:eastAsiaTheme="minorEastAsia"/>
                <w:kern w:val="0"/>
                <w:sz w:val="24"/>
                <w:szCs w:val="24"/>
              </w:rPr>
              <w:t>立讯精密</w:t>
            </w:r>
          </w:p>
        </w:tc>
        <w:tc>
          <w:tcPr>
            <w:tcW w:w="1276" w:type="dxa"/>
            <w:vAlign w:val="center"/>
          </w:tcPr>
          <w:p w:rsidR="000B45C5" w:rsidRDefault="00641258">
            <w:pPr>
              <w:jc w:val="right"/>
            </w:pPr>
            <w:r>
              <w:rPr>
                <w:rFonts w:eastAsiaTheme="minorEastAsia"/>
                <w:kern w:val="0"/>
                <w:sz w:val="24"/>
                <w:szCs w:val="24"/>
              </w:rPr>
              <w:t>764,400</w:t>
            </w:r>
          </w:p>
        </w:tc>
        <w:tc>
          <w:tcPr>
            <w:tcW w:w="1842" w:type="dxa"/>
            <w:vAlign w:val="center"/>
          </w:tcPr>
          <w:p w:rsidR="000B45C5" w:rsidRDefault="00641258">
            <w:pPr>
              <w:jc w:val="right"/>
            </w:pPr>
            <w:r>
              <w:rPr>
                <w:rFonts w:eastAsiaTheme="minorEastAsia"/>
                <w:kern w:val="0"/>
                <w:sz w:val="24"/>
                <w:szCs w:val="24"/>
              </w:rPr>
              <w:t>37,608,480.00</w:t>
            </w:r>
          </w:p>
        </w:tc>
        <w:tc>
          <w:tcPr>
            <w:tcW w:w="1616" w:type="dxa"/>
            <w:vAlign w:val="center"/>
          </w:tcPr>
          <w:p w:rsidR="000B45C5" w:rsidRDefault="00641258">
            <w:pPr>
              <w:jc w:val="right"/>
            </w:pPr>
            <w:r>
              <w:rPr>
                <w:rFonts w:eastAsiaTheme="minorEastAsia"/>
                <w:kern w:val="0"/>
                <w:sz w:val="24"/>
                <w:szCs w:val="24"/>
              </w:rPr>
              <w:t>2.56</w:t>
            </w:r>
          </w:p>
        </w:tc>
      </w:tr>
      <w:tr w:rsidR="000B45C5">
        <w:tc>
          <w:tcPr>
            <w:tcW w:w="817" w:type="dxa"/>
            <w:vAlign w:val="center"/>
          </w:tcPr>
          <w:p w:rsidR="000B45C5" w:rsidRDefault="00641258">
            <w:pPr>
              <w:jc w:val="center"/>
            </w:pPr>
            <w:r>
              <w:rPr>
                <w:rFonts w:eastAsiaTheme="minorEastAsia"/>
                <w:kern w:val="0"/>
                <w:sz w:val="24"/>
                <w:szCs w:val="24"/>
              </w:rPr>
              <w:t>10</w:t>
            </w:r>
          </w:p>
        </w:tc>
        <w:tc>
          <w:tcPr>
            <w:tcW w:w="1276" w:type="dxa"/>
            <w:vAlign w:val="center"/>
          </w:tcPr>
          <w:p w:rsidR="000B45C5" w:rsidRDefault="00641258">
            <w:pPr>
              <w:jc w:val="center"/>
            </w:pPr>
            <w:r>
              <w:rPr>
                <w:rFonts w:eastAsiaTheme="minorEastAsia"/>
                <w:kern w:val="0"/>
                <w:sz w:val="24"/>
                <w:szCs w:val="24"/>
              </w:rPr>
              <w:t>002938</w:t>
            </w:r>
          </w:p>
        </w:tc>
        <w:tc>
          <w:tcPr>
            <w:tcW w:w="1701" w:type="dxa"/>
            <w:vAlign w:val="center"/>
          </w:tcPr>
          <w:p w:rsidR="000B45C5" w:rsidRDefault="00641258">
            <w:pPr>
              <w:jc w:val="center"/>
            </w:pPr>
            <w:r>
              <w:rPr>
                <w:rFonts w:eastAsiaTheme="minorEastAsia"/>
                <w:kern w:val="0"/>
                <w:sz w:val="24"/>
                <w:szCs w:val="24"/>
              </w:rPr>
              <w:t>鹏鼎控股</w:t>
            </w:r>
          </w:p>
        </w:tc>
        <w:tc>
          <w:tcPr>
            <w:tcW w:w="1276" w:type="dxa"/>
            <w:vAlign w:val="center"/>
          </w:tcPr>
          <w:p w:rsidR="000B45C5" w:rsidRDefault="00641258">
            <w:pPr>
              <w:jc w:val="right"/>
            </w:pPr>
            <w:r>
              <w:rPr>
                <w:rFonts w:eastAsiaTheme="minorEastAsia"/>
                <w:kern w:val="0"/>
                <w:sz w:val="24"/>
                <w:szCs w:val="24"/>
              </w:rPr>
              <w:t>778,100</w:t>
            </w:r>
          </w:p>
        </w:tc>
        <w:tc>
          <w:tcPr>
            <w:tcW w:w="1842" w:type="dxa"/>
            <w:vAlign w:val="center"/>
          </w:tcPr>
          <w:p w:rsidR="000B45C5" w:rsidRDefault="00641258">
            <w:pPr>
              <w:jc w:val="right"/>
            </w:pPr>
            <w:r>
              <w:rPr>
                <w:rFonts w:eastAsiaTheme="minorEastAsia"/>
                <w:kern w:val="0"/>
                <w:sz w:val="24"/>
                <w:szCs w:val="24"/>
              </w:rPr>
              <w:t>33,014,783.00</w:t>
            </w:r>
          </w:p>
        </w:tc>
        <w:tc>
          <w:tcPr>
            <w:tcW w:w="1616" w:type="dxa"/>
            <w:vAlign w:val="center"/>
          </w:tcPr>
          <w:p w:rsidR="000B45C5" w:rsidRDefault="00641258">
            <w:pPr>
              <w:jc w:val="right"/>
            </w:pPr>
            <w:r>
              <w:rPr>
                <w:rFonts w:eastAsiaTheme="minorEastAsia"/>
                <w:kern w:val="0"/>
                <w:sz w:val="24"/>
                <w:szCs w:val="24"/>
              </w:rPr>
              <w:t>2.25</w:t>
            </w:r>
          </w:p>
        </w:tc>
      </w:tr>
      <w:bookmarkEnd w:id="1"/>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5.4 </w:t>
      </w:r>
      <w:r w:rsidRPr="00FF6B9A">
        <w:rPr>
          <w:rFonts w:eastAsiaTheme="minorEastAsia"/>
          <w:b/>
          <w:bCs/>
          <w:color w:val="000000" w:themeColor="text1"/>
          <w:kern w:val="0"/>
          <w:sz w:val="24"/>
          <w:szCs w:val="24"/>
        </w:rPr>
        <w:t>报告期末按债券品种分类的债券投资组合</w:t>
      </w:r>
    </w:p>
    <w:tbl>
      <w:tblPr>
        <w:tblStyle w:val="aff4"/>
        <w:tblW w:w="8755" w:type="dxa"/>
        <w:jc w:val="center"/>
        <w:tblLayout w:type="fixed"/>
        <w:tblLook w:val="04A0" w:firstRow="1" w:lastRow="0" w:firstColumn="1" w:lastColumn="0" w:noHBand="0" w:noVBand="1"/>
      </w:tblPr>
      <w:tblGrid>
        <w:gridCol w:w="817"/>
        <w:gridCol w:w="3260"/>
        <w:gridCol w:w="2949"/>
        <w:gridCol w:w="1729"/>
      </w:tblGrid>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326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债券品种</w:t>
            </w:r>
          </w:p>
        </w:tc>
        <w:tc>
          <w:tcPr>
            <w:tcW w:w="294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国家债券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2</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央行票据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3</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金融债券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D06738">
            <w:pPr>
              <w:spacing w:before="29" w:line="360" w:lineRule="auto"/>
              <w:ind w:left="17"/>
              <w:jc w:val="center"/>
              <w:rPr>
                <w:rFonts w:eastAsiaTheme="minorEastAsia"/>
                <w:color w:val="000000" w:themeColor="text1"/>
                <w:kern w:val="0"/>
              </w:rPr>
            </w:pP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其中：政策性金融债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4</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企业债券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5</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企业短期融资券</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6</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中期票据</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7</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可转债（可交换债）</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3,554,000.00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0.24</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8</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同业存单</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9</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其他</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rPr>
          <w:jc w:val="center"/>
        </w:trPr>
        <w:tc>
          <w:tcPr>
            <w:tcW w:w="817"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10</w:t>
            </w:r>
          </w:p>
        </w:tc>
        <w:tc>
          <w:tcPr>
            <w:tcW w:w="3260" w:type="dxa"/>
            <w:vAlign w:val="center"/>
          </w:tcPr>
          <w:p w:rsidR="00D06738" w:rsidRPr="00FF6B9A" w:rsidRDefault="00454D20">
            <w:pPr>
              <w:spacing w:before="29" w:line="360" w:lineRule="auto"/>
              <w:ind w:left="17"/>
              <w:jc w:val="left"/>
              <w:rPr>
                <w:rFonts w:eastAsiaTheme="minorEastAsia"/>
                <w:color w:val="000000" w:themeColor="text1"/>
                <w:kern w:val="0"/>
              </w:rPr>
            </w:pPr>
            <w:r w:rsidRPr="00FF6B9A">
              <w:rPr>
                <w:rFonts w:eastAsiaTheme="minorEastAsia"/>
                <w:color w:val="000000" w:themeColor="text1"/>
                <w:kern w:val="0"/>
              </w:rPr>
              <w:t>合计</w:t>
            </w:r>
          </w:p>
        </w:tc>
        <w:tc>
          <w:tcPr>
            <w:tcW w:w="294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3,554,000.00</w:t>
            </w:r>
          </w:p>
        </w:tc>
        <w:tc>
          <w:tcPr>
            <w:tcW w:w="1729" w:type="dxa"/>
            <w:vAlign w:val="center"/>
          </w:tcPr>
          <w:p w:rsidR="00D06738" w:rsidRPr="00FF6B9A" w:rsidRDefault="00454D20">
            <w:pPr>
              <w:spacing w:before="29" w:line="360" w:lineRule="auto"/>
              <w:ind w:left="17"/>
              <w:jc w:val="right"/>
              <w:rPr>
                <w:rFonts w:eastAsiaTheme="minorEastAsia"/>
                <w:color w:val="000000" w:themeColor="text1"/>
                <w:kern w:val="0"/>
              </w:rPr>
            </w:pPr>
            <w:r w:rsidRPr="00FF6B9A">
              <w:rPr>
                <w:rFonts w:eastAsiaTheme="minorEastAsia"/>
                <w:color w:val="000000" w:themeColor="text1"/>
                <w:kern w:val="0"/>
              </w:rPr>
              <w:t>0.24</w:t>
            </w:r>
          </w:p>
        </w:tc>
      </w:tr>
    </w:tbl>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5.5 </w:t>
      </w:r>
      <w:r w:rsidRPr="00FF6B9A">
        <w:rPr>
          <w:rFonts w:eastAsiaTheme="minorEastAsia"/>
          <w:b/>
          <w:bCs/>
          <w:color w:val="000000" w:themeColor="text1"/>
          <w:kern w:val="0"/>
          <w:sz w:val="24"/>
          <w:szCs w:val="24"/>
        </w:rPr>
        <w:t>报告期末按公允价值占基金资产净值比例大小排序的前五名债券投资明细</w:t>
      </w:r>
    </w:p>
    <w:tbl>
      <w:tblPr>
        <w:tblStyle w:val="aff4"/>
        <w:tblW w:w="8528" w:type="dxa"/>
        <w:tblLayout w:type="fixed"/>
        <w:tblLook w:val="04A0" w:firstRow="1" w:lastRow="0" w:firstColumn="1" w:lastColumn="0" w:noHBand="0" w:noVBand="1"/>
      </w:tblPr>
      <w:tblGrid>
        <w:gridCol w:w="1252"/>
        <w:gridCol w:w="1310"/>
        <w:gridCol w:w="1282"/>
        <w:gridCol w:w="1426"/>
        <w:gridCol w:w="1646"/>
        <w:gridCol w:w="1612"/>
      </w:tblGrid>
      <w:tr w:rsidR="00D06738" w:rsidRPr="00FF6B9A">
        <w:tc>
          <w:tcPr>
            <w:tcW w:w="125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1310"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债券代码</w:t>
            </w:r>
          </w:p>
        </w:tc>
        <w:tc>
          <w:tcPr>
            <w:tcW w:w="128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债券名称</w:t>
            </w:r>
          </w:p>
        </w:tc>
        <w:tc>
          <w:tcPr>
            <w:tcW w:w="142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数量</w:t>
            </w:r>
            <w:r w:rsidRPr="00FF6B9A">
              <w:rPr>
                <w:rFonts w:eastAsiaTheme="minorEastAsia"/>
                <w:color w:val="000000" w:themeColor="text1"/>
                <w:kern w:val="0"/>
              </w:rPr>
              <w:t>(</w:t>
            </w:r>
            <w:r w:rsidRPr="00FF6B9A">
              <w:rPr>
                <w:rFonts w:eastAsiaTheme="minorEastAsia"/>
                <w:color w:val="000000" w:themeColor="text1"/>
                <w:kern w:val="0"/>
              </w:rPr>
              <w:t>张</w:t>
            </w:r>
            <w:r w:rsidRPr="00FF6B9A">
              <w:rPr>
                <w:rFonts w:eastAsiaTheme="minorEastAsia"/>
                <w:color w:val="000000" w:themeColor="text1"/>
                <w:kern w:val="0"/>
              </w:rPr>
              <w:t>)</w:t>
            </w:r>
          </w:p>
        </w:tc>
        <w:tc>
          <w:tcPr>
            <w:tcW w:w="1646"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公允价值</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c>
          <w:tcPr>
            <w:tcW w:w="1612" w:type="dxa"/>
            <w:vAlign w:val="center"/>
          </w:tcPr>
          <w:p w:rsidR="00D06738" w:rsidRPr="00FF6B9A" w:rsidRDefault="00454D20">
            <w:pPr>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占基金资产净值比例</w:t>
            </w:r>
            <w:r w:rsidRPr="00FF6B9A">
              <w:rPr>
                <w:rFonts w:eastAsiaTheme="minorEastAsia"/>
                <w:color w:val="000000" w:themeColor="text1"/>
                <w:kern w:val="0"/>
              </w:rPr>
              <w:t>(</w:t>
            </w:r>
            <w:r w:rsidRPr="00FF6B9A">
              <w:rPr>
                <w:rFonts w:eastAsiaTheme="minorEastAsia"/>
                <w:color w:val="000000" w:themeColor="text1"/>
                <w:kern w:val="0"/>
              </w:rPr>
              <w:t>％</w:t>
            </w:r>
            <w:r w:rsidRPr="00FF6B9A">
              <w:rPr>
                <w:rFonts w:eastAsiaTheme="minorEastAsia"/>
                <w:color w:val="000000" w:themeColor="text1"/>
                <w:kern w:val="0"/>
              </w:rPr>
              <w:t>)</w:t>
            </w:r>
          </w:p>
        </w:tc>
      </w:tr>
      <w:tr w:rsidR="000B45C5">
        <w:tc>
          <w:tcPr>
            <w:tcW w:w="1252" w:type="dxa"/>
            <w:vAlign w:val="center"/>
          </w:tcPr>
          <w:p w:rsidR="000B45C5" w:rsidRDefault="00641258">
            <w:pPr>
              <w:jc w:val="center"/>
            </w:pPr>
            <w:r>
              <w:rPr>
                <w:rFonts w:eastAsiaTheme="minorEastAsia"/>
                <w:color w:val="000000" w:themeColor="text1"/>
                <w:kern w:val="0"/>
              </w:rPr>
              <w:t>1</w:t>
            </w:r>
          </w:p>
        </w:tc>
        <w:tc>
          <w:tcPr>
            <w:tcW w:w="1310" w:type="dxa"/>
            <w:vAlign w:val="center"/>
          </w:tcPr>
          <w:p w:rsidR="000B45C5" w:rsidRDefault="00641258">
            <w:pPr>
              <w:jc w:val="center"/>
            </w:pPr>
            <w:r>
              <w:rPr>
                <w:rFonts w:eastAsiaTheme="minorEastAsia"/>
                <w:color w:val="000000" w:themeColor="text1"/>
                <w:kern w:val="0"/>
              </w:rPr>
              <w:t>113052</w:t>
            </w:r>
          </w:p>
        </w:tc>
        <w:tc>
          <w:tcPr>
            <w:tcW w:w="1282" w:type="dxa"/>
            <w:vAlign w:val="center"/>
          </w:tcPr>
          <w:p w:rsidR="000B45C5" w:rsidRDefault="00641258">
            <w:pPr>
              <w:jc w:val="center"/>
            </w:pPr>
            <w:r>
              <w:rPr>
                <w:rFonts w:eastAsiaTheme="minorEastAsia"/>
                <w:color w:val="000000" w:themeColor="text1"/>
                <w:kern w:val="0"/>
              </w:rPr>
              <w:t>兴业转债</w:t>
            </w:r>
          </w:p>
        </w:tc>
        <w:tc>
          <w:tcPr>
            <w:tcW w:w="1426" w:type="dxa"/>
            <w:vAlign w:val="center"/>
          </w:tcPr>
          <w:p w:rsidR="000B45C5" w:rsidRDefault="00641258">
            <w:pPr>
              <w:jc w:val="right"/>
            </w:pPr>
            <w:r>
              <w:rPr>
                <w:rFonts w:eastAsiaTheme="minorEastAsia"/>
                <w:color w:val="000000" w:themeColor="text1"/>
                <w:kern w:val="0"/>
              </w:rPr>
              <w:t>35,540</w:t>
            </w:r>
          </w:p>
        </w:tc>
        <w:tc>
          <w:tcPr>
            <w:tcW w:w="1646" w:type="dxa"/>
            <w:vAlign w:val="center"/>
          </w:tcPr>
          <w:p w:rsidR="000B45C5" w:rsidRDefault="00641258">
            <w:pPr>
              <w:jc w:val="right"/>
            </w:pPr>
            <w:r>
              <w:rPr>
                <w:rFonts w:eastAsiaTheme="minorEastAsia"/>
                <w:color w:val="000000" w:themeColor="text1"/>
                <w:kern w:val="0"/>
              </w:rPr>
              <w:t>3,554,000.00</w:t>
            </w:r>
          </w:p>
        </w:tc>
        <w:tc>
          <w:tcPr>
            <w:tcW w:w="1612" w:type="dxa"/>
            <w:vAlign w:val="center"/>
          </w:tcPr>
          <w:p w:rsidR="000B45C5" w:rsidRDefault="00641258">
            <w:pPr>
              <w:jc w:val="right"/>
            </w:pPr>
            <w:r>
              <w:rPr>
                <w:rFonts w:eastAsiaTheme="minorEastAsia"/>
                <w:color w:val="000000" w:themeColor="text1"/>
                <w:kern w:val="0"/>
              </w:rPr>
              <w:t>0.24</w:t>
            </w:r>
          </w:p>
        </w:tc>
      </w:tr>
    </w:tbl>
    <w:p w:rsidR="00D06738" w:rsidRPr="00FF6B9A" w:rsidRDefault="00D06738">
      <w:pPr>
        <w:autoSpaceDE w:val="0"/>
        <w:autoSpaceDN w:val="0"/>
        <w:adjustRightInd w:val="0"/>
        <w:spacing w:line="360" w:lineRule="auto"/>
        <w:jc w:val="left"/>
        <w:rPr>
          <w:rFonts w:eastAsiaTheme="minorEastAsia"/>
          <w:b/>
          <w:bCs/>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5.6 </w:t>
      </w:r>
      <w:r w:rsidRPr="00FF6B9A">
        <w:rPr>
          <w:rFonts w:eastAsiaTheme="minorEastAsia"/>
          <w:b/>
          <w:bCs/>
          <w:color w:val="000000" w:themeColor="text1"/>
          <w:kern w:val="0"/>
          <w:sz w:val="24"/>
          <w:szCs w:val="24"/>
        </w:rPr>
        <w:t>报告期末按公允价值占基金资产净值比例大小排序的前十名资产支持证券投资明细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本基金本报告期末未持有资产支持证券。</w:t>
      </w:r>
    </w:p>
    <w:p w:rsidR="00D06738" w:rsidRPr="00FF6B9A" w:rsidRDefault="00D06738">
      <w:pPr>
        <w:autoSpaceDE w:val="0"/>
        <w:autoSpaceDN w:val="0"/>
        <w:adjustRightInd w:val="0"/>
        <w:spacing w:line="360" w:lineRule="auto"/>
        <w:jc w:val="lef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5.7 </w:t>
      </w:r>
      <w:r w:rsidRPr="00FF6B9A">
        <w:rPr>
          <w:rFonts w:eastAsiaTheme="minorEastAsia"/>
          <w:b/>
          <w:bCs/>
          <w:color w:val="000000" w:themeColor="text1"/>
          <w:kern w:val="0"/>
          <w:sz w:val="24"/>
          <w:szCs w:val="24"/>
        </w:rPr>
        <w:t>报告期末按公允价值占基金资产净值比例大小排序的前五名贵金属投资明细</w:t>
      </w:r>
    </w:p>
    <w:p w:rsidR="00D06738" w:rsidRPr="00FF6B9A" w:rsidRDefault="00454D20">
      <w:pPr>
        <w:widowControl/>
        <w:spacing w:line="360" w:lineRule="auto"/>
        <w:jc w:val="left"/>
        <w:rPr>
          <w:color w:val="000000" w:themeColor="text1"/>
        </w:rPr>
      </w:pPr>
      <w:r w:rsidRPr="00FF6B9A">
        <w:rPr>
          <w:color w:val="000000" w:themeColor="text1"/>
        </w:rPr>
        <w:t>本基金本报告期末未持有贵金属。</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5.8 </w:t>
      </w:r>
      <w:r w:rsidRPr="00FF6B9A">
        <w:rPr>
          <w:rFonts w:eastAsiaTheme="minorEastAsia"/>
          <w:b/>
          <w:bCs/>
          <w:color w:val="000000" w:themeColor="text1"/>
          <w:kern w:val="0"/>
          <w:sz w:val="24"/>
          <w:szCs w:val="24"/>
        </w:rPr>
        <w:t>报告期末按公允价值占基金资产净值比例大小排序的前五名权证投资明细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本基金本报告期末未持有权证。</w:t>
      </w:r>
    </w:p>
    <w:p w:rsidR="00D06738" w:rsidRPr="00FF6B9A" w:rsidRDefault="00D06738">
      <w:pPr>
        <w:autoSpaceDE w:val="0"/>
        <w:autoSpaceDN w:val="0"/>
        <w:adjustRightInd w:val="0"/>
        <w:spacing w:line="360" w:lineRule="auto"/>
        <w:jc w:val="left"/>
        <w:rPr>
          <w:rFonts w:eastAsiaTheme="minorEastAsia"/>
          <w:color w:val="000000" w:themeColor="text1"/>
          <w:kern w:val="0"/>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5.9 </w:t>
      </w:r>
      <w:r w:rsidRPr="00FF6B9A">
        <w:rPr>
          <w:rFonts w:eastAsiaTheme="minorEastAsia"/>
          <w:b/>
          <w:bCs/>
          <w:color w:val="000000" w:themeColor="text1"/>
          <w:kern w:val="0"/>
          <w:sz w:val="24"/>
          <w:szCs w:val="24"/>
        </w:rPr>
        <w:t>报告期末本基金投资的股指期货交易情况说明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本基金本报告期末未持有股指期货。</w:t>
      </w:r>
    </w:p>
    <w:p w:rsidR="00D06738" w:rsidRPr="00FF6B9A" w:rsidRDefault="00D06738">
      <w:pPr>
        <w:adjustRightInd w:val="0"/>
        <w:snapToGrid w:val="0"/>
        <w:spacing w:line="360" w:lineRule="exact"/>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5.10</w:t>
      </w:r>
      <w:r w:rsidRPr="00FF6B9A">
        <w:rPr>
          <w:rFonts w:eastAsiaTheme="minorEastAsia"/>
          <w:b/>
          <w:bCs/>
          <w:color w:val="000000" w:themeColor="text1"/>
          <w:kern w:val="0"/>
          <w:sz w:val="24"/>
          <w:szCs w:val="24"/>
        </w:rPr>
        <w:t>报告期末本基金投资的国债期货交易情况说明</w:t>
      </w:r>
    </w:p>
    <w:p w:rsidR="00D06738" w:rsidRPr="00FF6B9A" w:rsidRDefault="00454D20">
      <w:pPr>
        <w:autoSpaceDE w:val="0"/>
        <w:autoSpaceDN w:val="0"/>
        <w:adjustRightInd w:val="0"/>
        <w:spacing w:line="360" w:lineRule="auto"/>
        <w:jc w:val="left"/>
        <w:rPr>
          <w:rFonts w:eastAsiaTheme="minorEastAsia"/>
          <w:color w:val="000000" w:themeColor="text1"/>
          <w:sz w:val="24"/>
          <w:szCs w:val="24"/>
        </w:rPr>
      </w:pPr>
      <w:r w:rsidRPr="00FF6B9A">
        <w:rPr>
          <w:rFonts w:eastAsiaTheme="minorEastAsia"/>
          <w:color w:val="000000" w:themeColor="text1"/>
          <w:sz w:val="24"/>
          <w:szCs w:val="24"/>
        </w:rPr>
        <w:t>本基金本报告期末未持有国债期货。</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 </w:t>
      </w:r>
      <w:r w:rsidRPr="00FF6B9A">
        <w:rPr>
          <w:rFonts w:eastAsiaTheme="minorEastAsia"/>
          <w:b/>
          <w:bCs/>
          <w:color w:val="000000" w:themeColor="text1"/>
          <w:kern w:val="0"/>
          <w:sz w:val="24"/>
          <w:szCs w:val="24"/>
        </w:rPr>
        <w:t>投资组合报告附注</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5.11.1</w:t>
      </w:r>
      <w:r w:rsidRPr="00FF6B9A">
        <w:rPr>
          <w:rFonts w:eastAsiaTheme="minorEastAsia"/>
          <w:color w:val="000000" w:themeColor="text1"/>
          <w:sz w:val="24"/>
          <w:szCs w:val="24"/>
        </w:rPr>
        <w:t>报告期内本基金投资的前十名证券的发行主体本期没有出现被监管部门立案调查，或在报告编制日前一年内受到公开谴责、处罚的情形。</w:t>
      </w:r>
    </w:p>
    <w:p w:rsidR="00D06738" w:rsidRPr="00FF6B9A" w:rsidRDefault="00454D20">
      <w:pPr>
        <w:spacing w:line="360" w:lineRule="auto"/>
        <w:rPr>
          <w:rFonts w:eastAsiaTheme="minorEastAsia"/>
          <w:color w:val="000000" w:themeColor="text1"/>
          <w:sz w:val="24"/>
          <w:szCs w:val="24"/>
        </w:rPr>
      </w:pPr>
      <w:r w:rsidRPr="00FF6B9A">
        <w:rPr>
          <w:rFonts w:eastAsiaTheme="minorEastAsia"/>
          <w:color w:val="000000" w:themeColor="text1"/>
          <w:sz w:val="24"/>
          <w:szCs w:val="24"/>
        </w:rPr>
        <w:t>5.11.2</w:t>
      </w:r>
      <w:r w:rsidRPr="00FF6B9A">
        <w:rPr>
          <w:rFonts w:eastAsiaTheme="minorEastAsia"/>
          <w:color w:val="000000" w:themeColor="text1"/>
          <w:sz w:val="24"/>
          <w:szCs w:val="24"/>
        </w:rPr>
        <w:t>报告期内本基金投资的前十名股票中没有在基金合同规定备选股票库之外的股票。</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5.11.3 </w:t>
      </w:r>
      <w:r w:rsidRPr="00FF6B9A">
        <w:rPr>
          <w:rFonts w:eastAsiaTheme="minorEastAsia"/>
          <w:b/>
          <w:bCs/>
          <w:color w:val="000000" w:themeColor="text1"/>
          <w:kern w:val="0"/>
          <w:sz w:val="24"/>
          <w:szCs w:val="24"/>
        </w:rPr>
        <w:t>其他资产构成</w:t>
      </w:r>
    </w:p>
    <w:tbl>
      <w:tblPr>
        <w:tblStyle w:val="aff4"/>
        <w:tblW w:w="8513" w:type="dxa"/>
        <w:tblInd w:w="15" w:type="dxa"/>
        <w:tblLayout w:type="fixed"/>
        <w:tblLook w:val="04A0" w:firstRow="1" w:lastRow="0" w:firstColumn="1" w:lastColumn="0" w:noHBand="0" w:noVBand="1"/>
      </w:tblPr>
      <w:tblGrid>
        <w:gridCol w:w="1235"/>
        <w:gridCol w:w="2470"/>
        <w:gridCol w:w="4808"/>
      </w:tblGrid>
      <w:tr w:rsidR="00D06738" w:rsidRPr="00FF6B9A">
        <w:tc>
          <w:tcPr>
            <w:tcW w:w="1235"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序号</w:t>
            </w:r>
          </w:p>
        </w:tc>
        <w:tc>
          <w:tcPr>
            <w:tcW w:w="2470"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名称</w:t>
            </w:r>
          </w:p>
        </w:tc>
        <w:tc>
          <w:tcPr>
            <w:tcW w:w="4808" w:type="dxa"/>
            <w:vAlign w:val="center"/>
          </w:tcPr>
          <w:p w:rsidR="00D06738" w:rsidRPr="00FF6B9A" w:rsidRDefault="00454D20">
            <w:pPr>
              <w:autoSpaceDE w:val="0"/>
              <w:autoSpaceDN w:val="0"/>
              <w:adjustRightInd w:val="0"/>
              <w:spacing w:before="29" w:line="360" w:lineRule="auto"/>
              <w:ind w:left="17"/>
              <w:jc w:val="center"/>
              <w:rPr>
                <w:rFonts w:eastAsiaTheme="minorEastAsia"/>
                <w:color w:val="000000" w:themeColor="text1"/>
                <w:kern w:val="0"/>
              </w:rPr>
            </w:pPr>
            <w:r w:rsidRPr="00FF6B9A">
              <w:rPr>
                <w:rFonts w:eastAsiaTheme="minorEastAsia"/>
                <w:color w:val="000000" w:themeColor="text1"/>
                <w:kern w:val="0"/>
              </w:rPr>
              <w:t>金额</w:t>
            </w:r>
            <w:r w:rsidRPr="00FF6B9A">
              <w:rPr>
                <w:rFonts w:eastAsiaTheme="minorEastAsia"/>
                <w:color w:val="000000" w:themeColor="text1"/>
                <w:kern w:val="0"/>
              </w:rPr>
              <w:t>(</w:t>
            </w:r>
            <w:r w:rsidRPr="00FF6B9A">
              <w:rPr>
                <w:rFonts w:eastAsiaTheme="minorEastAsia"/>
                <w:color w:val="000000" w:themeColor="text1"/>
                <w:kern w:val="0"/>
              </w:rPr>
              <w:t>元</w:t>
            </w: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1</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存出保证金</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348,980.33</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2</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应收证券清算款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1,284,996.36</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3</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应收股利</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4</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应收利息</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22,499.22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5</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应收申购款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1,567,081.72</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6</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其他应收款</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7</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待摊费用</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8</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其他</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w:t>
            </w:r>
          </w:p>
        </w:tc>
      </w:tr>
      <w:tr w:rsidR="00D06738" w:rsidRPr="00FF6B9A">
        <w:tc>
          <w:tcPr>
            <w:tcW w:w="1235" w:type="dxa"/>
            <w:vAlign w:val="center"/>
          </w:tcPr>
          <w:p w:rsidR="00D06738" w:rsidRPr="00FF6B9A" w:rsidRDefault="00454D20">
            <w:pPr>
              <w:autoSpaceDE w:val="0"/>
              <w:autoSpaceDN w:val="0"/>
              <w:adjustRightInd w:val="0"/>
              <w:spacing w:before="29" w:line="360" w:lineRule="auto"/>
              <w:ind w:left="15"/>
              <w:jc w:val="center"/>
              <w:rPr>
                <w:rFonts w:eastAsiaTheme="minorEastAsia"/>
                <w:color w:val="000000" w:themeColor="text1"/>
                <w:kern w:val="0"/>
              </w:rPr>
            </w:pPr>
            <w:r w:rsidRPr="00FF6B9A">
              <w:rPr>
                <w:rFonts w:eastAsiaTheme="minorEastAsia"/>
                <w:color w:val="000000" w:themeColor="text1"/>
                <w:kern w:val="0"/>
              </w:rPr>
              <w:t>9</w:t>
            </w:r>
          </w:p>
        </w:tc>
        <w:tc>
          <w:tcPr>
            <w:tcW w:w="2470" w:type="dxa"/>
            <w:vAlign w:val="center"/>
          </w:tcPr>
          <w:p w:rsidR="00D06738" w:rsidRPr="00FF6B9A" w:rsidRDefault="00454D20">
            <w:pPr>
              <w:autoSpaceDE w:val="0"/>
              <w:autoSpaceDN w:val="0"/>
              <w:adjustRightInd w:val="0"/>
              <w:spacing w:before="29" w:line="360" w:lineRule="auto"/>
              <w:ind w:left="15"/>
              <w:rPr>
                <w:rFonts w:eastAsiaTheme="minorEastAsia"/>
                <w:color w:val="000000" w:themeColor="text1"/>
                <w:kern w:val="0"/>
              </w:rPr>
            </w:pPr>
            <w:r w:rsidRPr="00FF6B9A">
              <w:rPr>
                <w:rFonts w:eastAsiaTheme="minorEastAsia"/>
                <w:color w:val="000000" w:themeColor="text1"/>
                <w:kern w:val="0"/>
              </w:rPr>
              <w:t>合计</w:t>
            </w:r>
          </w:p>
        </w:tc>
        <w:tc>
          <w:tcPr>
            <w:tcW w:w="4808" w:type="dxa"/>
            <w:vAlign w:val="center"/>
          </w:tcPr>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rPr>
            </w:pPr>
            <w:r w:rsidRPr="00FF6B9A">
              <w:rPr>
                <w:rFonts w:eastAsiaTheme="minorEastAsia"/>
                <w:color w:val="000000" w:themeColor="text1"/>
                <w:kern w:val="0"/>
              </w:rPr>
              <w:t>3,223,557.63</w:t>
            </w:r>
          </w:p>
        </w:tc>
      </w:tr>
    </w:tbl>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5.11.4</w:t>
      </w:r>
      <w:r w:rsidRPr="00FF6B9A">
        <w:rPr>
          <w:rFonts w:eastAsiaTheme="minorEastAsia"/>
          <w:b/>
          <w:bCs/>
          <w:color w:val="000000" w:themeColor="text1"/>
          <w:kern w:val="0"/>
          <w:sz w:val="24"/>
          <w:szCs w:val="24"/>
        </w:rPr>
        <w:t>报告期末持有的处于转股期的可转换债券明细</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本基金本报告期末未持有处于转股期的可转换债券。</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5.11.5</w:t>
      </w:r>
      <w:r w:rsidRPr="00FF6B9A">
        <w:rPr>
          <w:rFonts w:eastAsiaTheme="minorEastAsia"/>
          <w:b/>
          <w:bCs/>
          <w:color w:val="000000" w:themeColor="text1"/>
          <w:kern w:val="0"/>
          <w:sz w:val="24"/>
          <w:szCs w:val="24"/>
        </w:rPr>
        <w:t>报告期末前十名股票中存在流通受限情况的说明</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rPr>
        <w:t>本基金本报告期末前十名股票中不存在流通受限情况。</w:t>
      </w:r>
    </w:p>
    <w:p w:rsidR="00D06738" w:rsidRPr="00FF6B9A" w:rsidRDefault="00D06738">
      <w:pPr>
        <w:autoSpaceDE w:val="0"/>
        <w:autoSpaceDN w:val="0"/>
        <w:adjustRightInd w:val="0"/>
        <w:spacing w:line="360" w:lineRule="auto"/>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5.11.6</w:t>
      </w:r>
      <w:r w:rsidRPr="00FF6B9A">
        <w:rPr>
          <w:rFonts w:eastAsiaTheme="minorEastAsia"/>
          <w:b/>
          <w:bCs/>
          <w:color w:val="000000" w:themeColor="text1"/>
          <w:kern w:val="0"/>
          <w:sz w:val="24"/>
          <w:szCs w:val="24"/>
        </w:rPr>
        <w:t>投资组合报告附注的其他文字描述部分</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因四舍五入原因，投资组合报告中分项之和与合计可能存在尾差。</w:t>
      </w: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§6  </w:t>
      </w:r>
      <w:r w:rsidRPr="00FF6B9A">
        <w:rPr>
          <w:rFonts w:eastAsiaTheme="minorEastAsia"/>
          <w:color w:val="000000" w:themeColor="text1"/>
          <w:kern w:val="0"/>
          <w:sz w:val="24"/>
          <w:szCs w:val="24"/>
        </w:rPr>
        <w:t>开放式基金份额变动</w:t>
      </w:r>
    </w:p>
    <w:p w:rsidR="00D06738" w:rsidRPr="00FF6B9A" w:rsidRDefault="00454D20">
      <w:pPr>
        <w:autoSpaceDE w:val="0"/>
        <w:autoSpaceDN w:val="0"/>
        <w:adjustRightInd w:val="0"/>
        <w:spacing w:before="29" w:line="360" w:lineRule="auto"/>
        <w:ind w:left="15"/>
        <w:jc w:val="right"/>
        <w:rPr>
          <w:rFonts w:eastAsiaTheme="minorEastAsia"/>
          <w:color w:val="000000" w:themeColor="text1"/>
          <w:kern w:val="0"/>
          <w:sz w:val="24"/>
          <w:szCs w:val="24"/>
        </w:rPr>
      </w:pPr>
      <w:r w:rsidRPr="00FF6B9A">
        <w:rPr>
          <w:rFonts w:eastAsiaTheme="minorEastAsia"/>
          <w:color w:val="000000" w:themeColor="text1"/>
          <w:kern w:val="0"/>
          <w:sz w:val="24"/>
          <w:szCs w:val="24"/>
        </w:rPr>
        <w:t>单位：份</w:t>
      </w:r>
    </w:p>
    <w:tbl>
      <w:tblPr>
        <w:tblW w:w="8634" w:type="dxa"/>
        <w:tblInd w:w="-106" w:type="dxa"/>
        <w:tblLayout w:type="fixed"/>
        <w:tblLook w:val="04A0" w:firstRow="1" w:lastRow="0" w:firstColumn="1" w:lastColumn="0" w:noHBand="0" w:noVBand="1"/>
      </w:tblPr>
      <w:tblGrid>
        <w:gridCol w:w="4609"/>
        <w:gridCol w:w="4025"/>
      </w:tblGrid>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本报告期期初基金份额总额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508,904,211.05</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报告期期间基金总申购份额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27,326,842.41</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减：报告期期间基金总赎回份额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40,795,624.19</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报告期期间基金拆分变动份额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w:t>
            </w:r>
          </w:p>
        </w:tc>
      </w:tr>
      <w:tr w:rsidR="00D06738" w:rsidRPr="00FF6B9A">
        <w:tc>
          <w:tcPr>
            <w:tcW w:w="4609"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rPr>
                <w:rFonts w:eastAsiaTheme="minorEastAsia"/>
                <w:color w:val="000000" w:themeColor="text1"/>
                <w:kern w:val="0"/>
              </w:rPr>
            </w:pPr>
            <w:r w:rsidRPr="00FF6B9A">
              <w:rPr>
                <w:rFonts w:eastAsiaTheme="minorEastAsia"/>
                <w:color w:val="000000" w:themeColor="text1"/>
                <w:kern w:val="0"/>
              </w:rPr>
              <w:t>本报告期期末基金份额总额</w:t>
            </w:r>
          </w:p>
        </w:tc>
        <w:tc>
          <w:tcPr>
            <w:tcW w:w="4025" w:type="dxa"/>
            <w:tcBorders>
              <w:top w:val="single" w:sz="8" w:space="0" w:color="000000"/>
              <w:left w:val="single" w:sz="8" w:space="0" w:color="000000"/>
              <w:bottom w:val="single" w:sz="8" w:space="0" w:color="000000"/>
              <w:right w:val="single" w:sz="8" w:space="0" w:color="000000"/>
            </w:tcBorders>
            <w:vAlign w:val="center"/>
          </w:tcPr>
          <w:p w:rsidR="00D06738" w:rsidRPr="00FF6B9A" w:rsidRDefault="00454D20">
            <w:pPr>
              <w:autoSpaceDE w:val="0"/>
              <w:autoSpaceDN w:val="0"/>
              <w:adjustRightInd w:val="0"/>
              <w:spacing w:before="29" w:line="360" w:lineRule="auto"/>
              <w:ind w:left="17"/>
              <w:jc w:val="right"/>
              <w:rPr>
                <w:rFonts w:eastAsiaTheme="minorEastAsia"/>
                <w:color w:val="000000" w:themeColor="text1"/>
              </w:rPr>
            </w:pPr>
            <w:r w:rsidRPr="00FF6B9A">
              <w:rPr>
                <w:rFonts w:eastAsiaTheme="minorEastAsia"/>
                <w:color w:val="000000" w:themeColor="text1"/>
              </w:rPr>
              <w:t>495,435,429.27</w:t>
            </w:r>
          </w:p>
        </w:tc>
      </w:tr>
    </w:tbl>
    <w:p w:rsidR="00D06738" w:rsidRPr="00FF6B9A" w:rsidRDefault="00454D20">
      <w:pPr>
        <w:pStyle w:val="1"/>
        <w:tabs>
          <w:tab w:val="center" w:pos="4156"/>
          <w:tab w:val="right" w:pos="8312"/>
        </w:tabs>
        <w:spacing w:beforeLines="100" w:before="312" w:afterLines="100" w:after="312" w:line="360" w:lineRule="auto"/>
        <w:jc w:val="center"/>
        <w:rPr>
          <w:color w:val="000000" w:themeColor="text1"/>
          <w:sz w:val="24"/>
          <w:szCs w:val="24"/>
        </w:rPr>
      </w:pPr>
      <w:r w:rsidRPr="00FF6B9A">
        <w:rPr>
          <w:rFonts w:eastAsiaTheme="minorEastAsia"/>
          <w:color w:val="000000" w:themeColor="text1"/>
          <w:kern w:val="0"/>
          <w:sz w:val="24"/>
          <w:szCs w:val="24"/>
        </w:rPr>
        <w:t xml:space="preserve">§7  </w:t>
      </w:r>
      <w:r w:rsidRPr="00FF6B9A">
        <w:rPr>
          <w:color w:val="000000" w:themeColor="text1"/>
          <w:sz w:val="24"/>
          <w:szCs w:val="24"/>
        </w:rPr>
        <w:t>基金管理人运用固有资金投资本基金情况</w:t>
      </w:r>
    </w:p>
    <w:p w:rsidR="00D06738" w:rsidRPr="00FF6B9A" w:rsidRDefault="00454D20">
      <w:pPr>
        <w:spacing w:line="360" w:lineRule="auto"/>
        <w:jc w:val="left"/>
        <w:rPr>
          <w:color w:val="000000" w:themeColor="text1"/>
          <w:sz w:val="24"/>
          <w:szCs w:val="24"/>
        </w:rPr>
      </w:pPr>
      <w:r w:rsidRPr="00FF6B9A">
        <w:rPr>
          <w:b/>
          <w:color w:val="000000" w:themeColor="text1"/>
          <w:sz w:val="24"/>
        </w:rPr>
        <w:t xml:space="preserve">7.1 </w:t>
      </w:r>
      <w:r w:rsidRPr="00FF6B9A">
        <w:rPr>
          <w:b/>
          <w:color w:val="000000" w:themeColor="text1"/>
          <w:sz w:val="24"/>
        </w:rPr>
        <w:t>基金管理人持有本基金份额变动情况</w:t>
      </w:r>
    </w:p>
    <w:p w:rsidR="00D06738" w:rsidRPr="00FF6B9A" w:rsidRDefault="00454D20">
      <w:pPr>
        <w:autoSpaceDE w:val="0"/>
        <w:autoSpaceDN w:val="0"/>
        <w:adjustRightInd w:val="0"/>
        <w:spacing w:line="360" w:lineRule="auto"/>
        <w:jc w:val="left"/>
        <w:rPr>
          <w:rFonts w:eastAsiaTheme="minorEastAsia"/>
          <w:color w:val="000000" w:themeColor="text1"/>
        </w:rPr>
      </w:pPr>
      <w:r w:rsidRPr="00FF6B9A">
        <w:rPr>
          <w:rFonts w:eastAsiaTheme="minorEastAsia"/>
          <w:color w:val="000000" w:themeColor="text1"/>
          <w:kern w:val="0"/>
        </w:rPr>
        <w:t>无。</w:t>
      </w:r>
    </w:p>
    <w:p w:rsidR="00D06738" w:rsidRPr="00FF6B9A" w:rsidRDefault="00D06738">
      <w:pPr>
        <w:autoSpaceDE w:val="0"/>
        <w:autoSpaceDN w:val="0"/>
        <w:adjustRightInd w:val="0"/>
        <w:spacing w:line="360" w:lineRule="auto"/>
        <w:jc w:val="left"/>
        <w:rPr>
          <w:rFonts w:eastAsiaTheme="minorEastAsia"/>
          <w:color w:val="000000" w:themeColor="text1"/>
          <w:kern w:val="0"/>
          <w:sz w:val="24"/>
        </w:rPr>
      </w:pPr>
    </w:p>
    <w:p w:rsidR="00D06738" w:rsidRPr="00FF6B9A" w:rsidRDefault="00454D20">
      <w:pPr>
        <w:pStyle w:val="1"/>
        <w:spacing w:beforeLines="100" w:before="312" w:afterLines="100" w:after="312" w:line="360" w:lineRule="auto"/>
        <w:jc w:val="center"/>
        <w:rPr>
          <w:rFonts w:eastAsiaTheme="minorEastAsia"/>
          <w:color w:val="000000" w:themeColor="text1"/>
          <w:kern w:val="0"/>
          <w:sz w:val="24"/>
          <w:szCs w:val="24"/>
        </w:rPr>
      </w:pPr>
      <w:r w:rsidRPr="00FF6B9A">
        <w:rPr>
          <w:rFonts w:eastAsiaTheme="minorEastAsia"/>
          <w:color w:val="000000" w:themeColor="text1"/>
          <w:kern w:val="0"/>
          <w:sz w:val="24"/>
          <w:szCs w:val="24"/>
        </w:rPr>
        <w:t xml:space="preserve">§8  </w:t>
      </w:r>
      <w:r w:rsidRPr="00FF6B9A">
        <w:rPr>
          <w:rFonts w:eastAsiaTheme="minorEastAsia"/>
          <w:color w:val="000000" w:themeColor="text1"/>
          <w:kern w:val="0"/>
          <w:sz w:val="24"/>
          <w:szCs w:val="24"/>
        </w:rPr>
        <w:t>备查文件目录</w:t>
      </w: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8.1 </w:t>
      </w:r>
      <w:r w:rsidRPr="00FF6B9A">
        <w:rPr>
          <w:rFonts w:eastAsiaTheme="minorEastAsia"/>
          <w:b/>
          <w:bCs/>
          <w:color w:val="000000" w:themeColor="text1"/>
          <w:kern w:val="0"/>
          <w:sz w:val="24"/>
          <w:szCs w:val="24"/>
        </w:rPr>
        <w:t>备查文件目录</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 xml:space="preserve">1. </w:t>
      </w:r>
      <w:r>
        <w:rPr>
          <w:rFonts w:eastAsiaTheme="minorEastAsia"/>
          <w:color w:val="000000" w:themeColor="text1"/>
        </w:rPr>
        <w:t>中国证监会批准上投摩根核心成长股票型证券投资基金设立的文件；</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 xml:space="preserve">2. </w:t>
      </w:r>
      <w:r>
        <w:rPr>
          <w:rFonts w:eastAsiaTheme="minorEastAsia"/>
          <w:color w:val="000000" w:themeColor="text1"/>
        </w:rPr>
        <w:t>《上投摩根核心成长股票型证券投资基金基金合同》；</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 xml:space="preserve">3. </w:t>
      </w:r>
      <w:r>
        <w:rPr>
          <w:rFonts w:eastAsiaTheme="minorEastAsia"/>
          <w:color w:val="000000" w:themeColor="text1"/>
        </w:rPr>
        <w:t>《上投摩根核心成长股票型证券投资基金基金托管协议》；</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 xml:space="preserve">4. </w:t>
      </w:r>
      <w:r>
        <w:rPr>
          <w:rFonts w:eastAsiaTheme="minorEastAsia"/>
          <w:color w:val="000000" w:themeColor="text1"/>
        </w:rPr>
        <w:t>《上投摩根基金管理有限公司开放式基金业务规则》；</w:t>
      </w:r>
    </w:p>
    <w:p w:rsidR="000B45C5" w:rsidRDefault="00641258">
      <w:pPr>
        <w:spacing w:line="360" w:lineRule="auto"/>
        <w:ind w:firstLineChars="200" w:firstLine="420"/>
        <w:rPr>
          <w:rFonts w:eastAsiaTheme="minorEastAsia"/>
          <w:color w:val="000000" w:themeColor="text1"/>
        </w:rPr>
      </w:pPr>
      <w:r>
        <w:rPr>
          <w:rFonts w:eastAsiaTheme="minorEastAsia"/>
          <w:color w:val="000000" w:themeColor="text1"/>
        </w:rPr>
        <w:t xml:space="preserve">5. </w:t>
      </w:r>
      <w:r>
        <w:rPr>
          <w:rFonts w:eastAsiaTheme="minorEastAsia"/>
          <w:color w:val="000000" w:themeColor="text1"/>
        </w:rPr>
        <w:t>基金管理人业务资格批件、营业执照；</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 xml:space="preserve">6. </w:t>
      </w:r>
      <w:r w:rsidRPr="00FF6B9A">
        <w:rPr>
          <w:rFonts w:eastAsiaTheme="minorEastAsia"/>
          <w:color w:val="000000" w:themeColor="text1"/>
        </w:rPr>
        <w:t>基金托管人业务资格批件和营业执照。</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8.2 </w:t>
      </w:r>
      <w:r w:rsidRPr="00FF6B9A">
        <w:rPr>
          <w:rFonts w:eastAsiaTheme="minorEastAsia"/>
          <w:b/>
          <w:bCs/>
          <w:color w:val="000000" w:themeColor="text1"/>
          <w:kern w:val="0"/>
          <w:sz w:val="24"/>
          <w:szCs w:val="24"/>
        </w:rPr>
        <w:t>存放地点</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基金管理人或基金托管人住所。</w:t>
      </w:r>
    </w:p>
    <w:p w:rsidR="00D06738" w:rsidRPr="00FF6B9A" w:rsidRDefault="00D06738">
      <w:pPr>
        <w:spacing w:line="360" w:lineRule="auto"/>
        <w:ind w:firstLineChars="200" w:firstLine="480"/>
        <w:rPr>
          <w:rFonts w:eastAsiaTheme="minorEastAsia"/>
          <w:color w:val="000000" w:themeColor="text1"/>
          <w:sz w:val="24"/>
          <w:szCs w:val="24"/>
        </w:rPr>
      </w:pPr>
    </w:p>
    <w:p w:rsidR="00D06738" w:rsidRPr="00FF6B9A" w:rsidRDefault="00454D20">
      <w:pPr>
        <w:autoSpaceDE w:val="0"/>
        <w:autoSpaceDN w:val="0"/>
        <w:adjustRightInd w:val="0"/>
        <w:spacing w:line="360" w:lineRule="auto"/>
        <w:jc w:val="left"/>
        <w:rPr>
          <w:rFonts w:eastAsiaTheme="minorEastAsia"/>
          <w:b/>
          <w:bCs/>
          <w:color w:val="000000" w:themeColor="text1"/>
          <w:kern w:val="0"/>
          <w:sz w:val="24"/>
          <w:szCs w:val="24"/>
        </w:rPr>
      </w:pPr>
      <w:r w:rsidRPr="00FF6B9A">
        <w:rPr>
          <w:rFonts w:eastAsiaTheme="minorEastAsia"/>
          <w:b/>
          <w:bCs/>
          <w:color w:val="000000" w:themeColor="text1"/>
          <w:kern w:val="0"/>
          <w:sz w:val="24"/>
          <w:szCs w:val="24"/>
        </w:rPr>
        <w:t xml:space="preserve">8.3 </w:t>
      </w:r>
      <w:r w:rsidRPr="00FF6B9A">
        <w:rPr>
          <w:rFonts w:eastAsiaTheme="minorEastAsia"/>
          <w:b/>
          <w:bCs/>
          <w:color w:val="000000" w:themeColor="text1"/>
          <w:kern w:val="0"/>
          <w:sz w:val="24"/>
          <w:szCs w:val="24"/>
        </w:rPr>
        <w:t>查阅方式</w:t>
      </w:r>
    </w:p>
    <w:p w:rsidR="00D06738" w:rsidRPr="00FF6B9A" w:rsidRDefault="00454D20">
      <w:pPr>
        <w:spacing w:line="360" w:lineRule="auto"/>
        <w:ind w:firstLineChars="200" w:firstLine="420"/>
        <w:rPr>
          <w:rFonts w:eastAsiaTheme="minorEastAsia"/>
          <w:color w:val="000000" w:themeColor="text1"/>
        </w:rPr>
      </w:pPr>
      <w:r w:rsidRPr="00FF6B9A">
        <w:rPr>
          <w:rFonts w:eastAsiaTheme="minorEastAsia"/>
          <w:color w:val="000000" w:themeColor="text1"/>
        </w:rPr>
        <w:t>投资者可在营业时间免费查阅，也可按工本费购买复印件。</w:t>
      </w: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D06738">
      <w:pPr>
        <w:spacing w:line="360" w:lineRule="auto"/>
        <w:ind w:left="840"/>
        <w:jc w:val="right"/>
        <w:rPr>
          <w:rFonts w:eastAsiaTheme="minorEastAsia"/>
          <w:color w:val="000000" w:themeColor="text1"/>
          <w:sz w:val="24"/>
          <w:szCs w:val="24"/>
        </w:rPr>
      </w:pP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上投摩根基金管理有限公司</w:t>
      </w:r>
    </w:p>
    <w:p w:rsidR="00D06738" w:rsidRPr="00FF6B9A" w:rsidRDefault="00454D20">
      <w:pPr>
        <w:spacing w:line="360" w:lineRule="auto"/>
        <w:jc w:val="right"/>
        <w:rPr>
          <w:rFonts w:eastAsiaTheme="minorEastAsia"/>
          <w:b/>
          <w:bCs/>
          <w:color w:val="000000" w:themeColor="text1"/>
          <w:sz w:val="24"/>
          <w:szCs w:val="24"/>
        </w:rPr>
      </w:pPr>
      <w:r w:rsidRPr="00FF6B9A">
        <w:rPr>
          <w:rFonts w:eastAsiaTheme="minorEastAsia"/>
          <w:b/>
          <w:bCs/>
          <w:color w:val="000000" w:themeColor="text1"/>
          <w:sz w:val="24"/>
          <w:szCs w:val="24"/>
        </w:rPr>
        <w:t>二〇二二年一月二十四日</w:t>
      </w:r>
    </w:p>
    <w:p w:rsidR="00D06738" w:rsidRPr="00FF6B9A" w:rsidRDefault="00D06738">
      <w:pPr>
        <w:spacing w:line="360" w:lineRule="auto"/>
        <w:ind w:left="840"/>
        <w:jc w:val="right"/>
        <w:rPr>
          <w:rFonts w:eastAsiaTheme="minorEastAsia"/>
          <w:b/>
          <w:bCs/>
          <w:color w:val="000000" w:themeColor="text1"/>
          <w:sz w:val="24"/>
          <w:szCs w:val="24"/>
        </w:rPr>
      </w:pPr>
    </w:p>
    <w:p w:rsidR="00D06738" w:rsidRPr="00FF6B9A" w:rsidRDefault="00D06738">
      <w:pPr>
        <w:rPr>
          <w:rFonts w:eastAsiaTheme="minorEastAsia"/>
          <w:color w:val="000000" w:themeColor="text1"/>
          <w:sz w:val="24"/>
          <w:szCs w:val="24"/>
        </w:rPr>
      </w:pPr>
    </w:p>
    <w:sectPr w:rsidR="00D06738" w:rsidRPr="00FF6B9A">
      <w:footerReference w:type="default" r:id="rId1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73EA" w:rsidRDefault="007573EA">
      <w:r>
        <w:separator/>
      </w:r>
    </w:p>
  </w:endnote>
  <w:endnote w:type="continuationSeparator" w:id="0">
    <w:p w:rsidR="007573EA" w:rsidRDefault="007573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default"/>
    <w:sig w:usb0="00000000" w:usb1="00000000" w:usb2="0000003F" w:usb3="00000000" w:csb0="003F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tabs>
        <w:tab w:val="left" w:pos="4215"/>
        <w:tab w:val="center" w:pos="4545"/>
      </w:tabs>
    </w:pPr>
    <w:r>
      <w:ptab w:relativeTo="margin" w:alignment="center" w:leader="none"/>
    </w:r>
    <w:r>
      <w:ptab w:relativeTo="margin" w:alignment="center" w:leader="none"/>
    </w:r>
    <w:r>
      <w:fldChar w:fldCharType="begin"/>
    </w:r>
    <w:r>
      <w:instrText xml:space="preserve"> PAGE   \* MERGEFORMAT </w:instrText>
    </w:r>
    <w:r>
      <w:fldChar w:fldCharType="separate"/>
    </w:r>
    <w:r w:rsidR="00641258" w:rsidRPr="00641258">
      <w:rPr>
        <w:noProof/>
        <w:lang w:val="zh-CN"/>
      </w:rPr>
      <w:t>1</w:t>
    </w:r>
    <w:r>
      <w:rPr>
        <w:lang w:val="zh-C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4"/>
      <w:framePr w:wrap="around" w:vAnchor="text" w:hAnchor="margin" w:xAlign="center" w:y="1"/>
      <w:rPr>
        <w:rStyle w:val="aff"/>
      </w:rPr>
    </w:pPr>
    <w:r>
      <w:rPr>
        <w:rStyle w:val="aff"/>
      </w:rPr>
      <w:fldChar w:fldCharType="begin"/>
    </w:r>
    <w:r>
      <w:rPr>
        <w:rStyle w:val="aff"/>
      </w:rPr>
      <w:instrText xml:space="preserve">PAGE  </w:instrText>
    </w:r>
    <w:r>
      <w:rPr>
        <w:rStyle w:val="aff"/>
      </w:rPr>
      <w:fldChar w:fldCharType="separate"/>
    </w:r>
    <w:r w:rsidR="00641258">
      <w:rPr>
        <w:rStyle w:val="aff"/>
        <w:noProof/>
      </w:rPr>
      <w:t>2</w:t>
    </w:r>
    <w:r>
      <w:rPr>
        <w:rStyle w:val="aff"/>
      </w:rPr>
      <w:fldChar w:fldCharType="end"/>
    </w:r>
  </w:p>
  <w:p w:rsidR="00454D20" w:rsidRDefault="00454D20">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73EA" w:rsidRDefault="007573EA">
      <w:r>
        <w:separator/>
      </w:r>
    </w:p>
  </w:footnote>
  <w:footnote w:type="continuationSeparator" w:id="0">
    <w:p w:rsidR="007573EA" w:rsidRDefault="007573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4D20" w:rsidRDefault="00454D20">
    <w:pPr>
      <w:pStyle w:val="af6"/>
      <w:pBdr>
        <w:bottom w:val="single" w:sz="6" w:space="0" w:color="auto"/>
      </w:pBdr>
      <w:jc w:val="right"/>
    </w:pPr>
    <w:r>
      <w:rPr>
        <w:rFonts w:hint="eastAsia"/>
      </w:rPr>
      <w:t>上投摩根核心成长股票型证券投资基金</w:t>
    </w:r>
    <w:r>
      <w:rPr>
        <w:rFonts w:hint="eastAsia"/>
      </w:rPr>
      <w:t>2021</w:t>
    </w:r>
    <w:r>
      <w:rPr>
        <w:rFonts w:hint="eastAsia"/>
      </w:rPr>
      <w:t>年第</w:t>
    </w:r>
    <w:r>
      <w:rPr>
        <w:rFonts w:hint="eastAsia"/>
      </w:rPr>
      <w:t>4</w:t>
    </w:r>
    <w:r>
      <w:rPr>
        <w:rFonts w:hint="eastAsia"/>
      </w:rPr>
      <w:t>季度报告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1AC"/>
    <w:rsid w:val="00014099"/>
    <w:rsid w:val="000160C5"/>
    <w:rsid w:val="000210E7"/>
    <w:rsid w:val="00031EBB"/>
    <w:rsid w:val="00033B8D"/>
    <w:rsid w:val="00043852"/>
    <w:rsid w:val="000450DD"/>
    <w:rsid w:val="000463DE"/>
    <w:rsid w:val="0008313A"/>
    <w:rsid w:val="000907D2"/>
    <w:rsid w:val="00090A26"/>
    <w:rsid w:val="000A00FA"/>
    <w:rsid w:val="000A2B53"/>
    <w:rsid w:val="000B45C5"/>
    <w:rsid w:val="000B624F"/>
    <w:rsid w:val="000B73C6"/>
    <w:rsid w:val="000C190B"/>
    <w:rsid w:val="000C1E17"/>
    <w:rsid w:val="000C3A61"/>
    <w:rsid w:val="000C5216"/>
    <w:rsid w:val="000D0E6C"/>
    <w:rsid w:val="000D3ED4"/>
    <w:rsid w:val="000F6CC8"/>
    <w:rsid w:val="00111261"/>
    <w:rsid w:val="00137452"/>
    <w:rsid w:val="00144F93"/>
    <w:rsid w:val="00147376"/>
    <w:rsid w:val="00150E7E"/>
    <w:rsid w:val="00154BE1"/>
    <w:rsid w:val="00160EDC"/>
    <w:rsid w:val="001631C7"/>
    <w:rsid w:val="001675CD"/>
    <w:rsid w:val="00171EF0"/>
    <w:rsid w:val="00175D4F"/>
    <w:rsid w:val="001761D2"/>
    <w:rsid w:val="001830D7"/>
    <w:rsid w:val="00185A34"/>
    <w:rsid w:val="00196E6C"/>
    <w:rsid w:val="001A73E8"/>
    <w:rsid w:val="001A75C0"/>
    <w:rsid w:val="001B0A62"/>
    <w:rsid w:val="001B2F35"/>
    <w:rsid w:val="001C0993"/>
    <w:rsid w:val="001C78B2"/>
    <w:rsid w:val="001C79F2"/>
    <w:rsid w:val="001D63BB"/>
    <w:rsid w:val="001D6A4B"/>
    <w:rsid w:val="001E094F"/>
    <w:rsid w:val="001E4630"/>
    <w:rsid w:val="001F0964"/>
    <w:rsid w:val="001F30DA"/>
    <w:rsid w:val="001F5DC5"/>
    <w:rsid w:val="00200FAB"/>
    <w:rsid w:val="00213821"/>
    <w:rsid w:val="00217B92"/>
    <w:rsid w:val="00220C32"/>
    <w:rsid w:val="002279D3"/>
    <w:rsid w:val="00237F09"/>
    <w:rsid w:val="00240248"/>
    <w:rsid w:val="0024363B"/>
    <w:rsid w:val="00261111"/>
    <w:rsid w:val="00264E55"/>
    <w:rsid w:val="00275745"/>
    <w:rsid w:val="0027688F"/>
    <w:rsid w:val="00276E44"/>
    <w:rsid w:val="002835C9"/>
    <w:rsid w:val="00286BEF"/>
    <w:rsid w:val="00286FA2"/>
    <w:rsid w:val="0028721D"/>
    <w:rsid w:val="002918E3"/>
    <w:rsid w:val="00296604"/>
    <w:rsid w:val="002973A9"/>
    <w:rsid w:val="002B1D1A"/>
    <w:rsid w:val="002D6FB6"/>
    <w:rsid w:val="002E1B9F"/>
    <w:rsid w:val="002E3B09"/>
    <w:rsid w:val="002E52B3"/>
    <w:rsid w:val="00304A12"/>
    <w:rsid w:val="00305636"/>
    <w:rsid w:val="00305A29"/>
    <w:rsid w:val="00311662"/>
    <w:rsid w:val="00312A9F"/>
    <w:rsid w:val="00315D5D"/>
    <w:rsid w:val="00316484"/>
    <w:rsid w:val="00316E01"/>
    <w:rsid w:val="00320300"/>
    <w:rsid w:val="00324508"/>
    <w:rsid w:val="003259C8"/>
    <w:rsid w:val="003307FE"/>
    <w:rsid w:val="003470E2"/>
    <w:rsid w:val="00352719"/>
    <w:rsid w:val="00355364"/>
    <w:rsid w:val="00364CCB"/>
    <w:rsid w:val="00381BC6"/>
    <w:rsid w:val="0039085F"/>
    <w:rsid w:val="00394069"/>
    <w:rsid w:val="003A6061"/>
    <w:rsid w:val="003A7FDA"/>
    <w:rsid w:val="003B6FBC"/>
    <w:rsid w:val="003C2B36"/>
    <w:rsid w:val="003C2DCA"/>
    <w:rsid w:val="003E2240"/>
    <w:rsid w:val="003E62FB"/>
    <w:rsid w:val="003F39DF"/>
    <w:rsid w:val="003F63BE"/>
    <w:rsid w:val="004061AC"/>
    <w:rsid w:val="00406C52"/>
    <w:rsid w:val="004149AC"/>
    <w:rsid w:val="0042009D"/>
    <w:rsid w:val="00427F58"/>
    <w:rsid w:val="00433805"/>
    <w:rsid w:val="00454D20"/>
    <w:rsid w:val="00465285"/>
    <w:rsid w:val="00471408"/>
    <w:rsid w:val="004858E0"/>
    <w:rsid w:val="004934E9"/>
    <w:rsid w:val="004943C2"/>
    <w:rsid w:val="004A11A7"/>
    <w:rsid w:val="004C702F"/>
    <w:rsid w:val="004D495A"/>
    <w:rsid w:val="004E5975"/>
    <w:rsid w:val="004E790A"/>
    <w:rsid w:val="004F50FD"/>
    <w:rsid w:val="00500A03"/>
    <w:rsid w:val="005120E2"/>
    <w:rsid w:val="00512200"/>
    <w:rsid w:val="005143CD"/>
    <w:rsid w:val="005144F2"/>
    <w:rsid w:val="005242A5"/>
    <w:rsid w:val="005249DD"/>
    <w:rsid w:val="00531BA5"/>
    <w:rsid w:val="00531F10"/>
    <w:rsid w:val="00532E86"/>
    <w:rsid w:val="00542434"/>
    <w:rsid w:val="00542470"/>
    <w:rsid w:val="00542546"/>
    <w:rsid w:val="005454FB"/>
    <w:rsid w:val="005659E4"/>
    <w:rsid w:val="005761EE"/>
    <w:rsid w:val="00582D99"/>
    <w:rsid w:val="0058551C"/>
    <w:rsid w:val="0059076B"/>
    <w:rsid w:val="005A0F1F"/>
    <w:rsid w:val="005A6675"/>
    <w:rsid w:val="005B2E9C"/>
    <w:rsid w:val="005B4F93"/>
    <w:rsid w:val="005B73D2"/>
    <w:rsid w:val="005C5E5B"/>
    <w:rsid w:val="005D2B36"/>
    <w:rsid w:val="005E1093"/>
    <w:rsid w:val="005E475E"/>
    <w:rsid w:val="005F3996"/>
    <w:rsid w:val="005F6AF6"/>
    <w:rsid w:val="006066D2"/>
    <w:rsid w:val="0061286A"/>
    <w:rsid w:val="00614CC4"/>
    <w:rsid w:val="0062025E"/>
    <w:rsid w:val="00626998"/>
    <w:rsid w:val="006269FB"/>
    <w:rsid w:val="00631ED8"/>
    <w:rsid w:val="006360DC"/>
    <w:rsid w:val="00636DB7"/>
    <w:rsid w:val="0063783A"/>
    <w:rsid w:val="00641258"/>
    <w:rsid w:val="006423B9"/>
    <w:rsid w:val="00654B0D"/>
    <w:rsid w:val="00655CD8"/>
    <w:rsid w:val="006571DC"/>
    <w:rsid w:val="00660D4B"/>
    <w:rsid w:val="00664ECC"/>
    <w:rsid w:val="00670989"/>
    <w:rsid w:val="006757DC"/>
    <w:rsid w:val="00676095"/>
    <w:rsid w:val="00693843"/>
    <w:rsid w:val="0069426C"/>
    <w:rsid w:val="00694DFB"/>
    <w:rsid w:val="006A1C62"/>
    <w:rsid w:val="006A48FD"/>
    <w:rsid w:val="006A67F8"/>
    <w:rsid w:val="006A7AF1"/>
    <w:rsid w:val="006B11BB"/>
    <w:rsid w:val="006C12B8"/>
    <w:rsid w:val="006C37FC"/>
    <w:rsid w:val="006C7EA3"/>
    <w:rsid w:val="006D39E9"/>
    <w:rsid w:val="006D3BE3"/>
    <w:rsid w:val="006D7004"/>
    <w:rsid w:val="006D789D"/>
    <w:rsid w:val="006D7FF8"/>
    <w:rsid w:val="006E042A"/>
    <w:rsid w:val="006F5E68"/>
    <w:rsid w:val="00706D60"/>
    <w:rsid w:val="007075E3"/>
    <w:rsid w:val="00707F66"/>
    <w:rsid w:val="007120CC"/>
    <w:rsid w:val="00720D28"/>
    <w:rsid w:val="00722509"/>
    <w:rsid w:val="00727FCD"/>
    <w:rsid w:val="00733DDD"/>
    <w:rsid w:val="00750CDF"/>
    <w:rsid w:val="00752BA5"/>
    <w:rsid w:val="00753A7D"/>
    <w:rsid w:val="00755D86"/>
    <w:rsid w:val="007573EA"/>
    <w:rsid w:val="00767C98"/>
    <w:rsid w:val="00770971"/>
    <w:rsid w:val="00796CA8"/>
    <w:rsid w:val="00797305"/>
    <w:rsid w:val="007B035B"/>
    <w:rsid w:val="007B490D"/>
    <w:rsid w:val="007B4C04"/>
    <w:rsid w:val="007B4D7A"/>
    <w:rsid w:val="007B5AFB"/>
    <w:rsid w:val="007C5862"/>
    <w:rsid w:val="008014F9"/>
    <w:rsid w:val="0080358B"/>
    <w:rsid w:val="008059BD"/>
    <w:rsid w:val="0081091B"/>
    <w:rsid w:val="00812D46"/>
    <w:rsid w:val="00815A38"/>
    <w:rsid w:val="0082103F"/>
    <w:rsid w:val="008279FE"/>
    <w:rsid w:val="00831259"/>
    <w:rsid w:val="0083208A"/>
    <w:rsid w:val="0083218A"/>
    <w:rsid w:val="00832A00"/>
    <w:rsid w:val="00837845"/>
    <w:rsid w:val="008442C4"/>
    <w:rsid w:val="00846739"/>
    <w:rsid w:val="00853140"/>
    <w:rsid w:val="00854537"/>
    <w:rsid w:val="008606B6"/>
    <w:rsid w:val="00864F98"/>
    <w:rsid w:val="00866CF2"/>
    <w:rsid w:val="008700EC"/>
    <w:rsid w:val="00876D65"/>
    <w:rsid w:val="00891261"/>
    <w:rsid w:val="008A21B2"/>
    <w:rsid w:val="008A409E"/>
    <w:rsid w:val="008B2FDD"/>
    <w:rsid w:val="008C75E7"/>
    <w:rsid w:val="008C7CA8"/>
    <w:rsid w:val="008D09EC"/>
    <w:rsid w:val="008E07EB"/>
    <w:rsid w:val="008E2DCB"/>
    <w:rsid w:val="008E326D"/>
    <w:rsid w:val="008F5F67"/>
    <w:rsid w:val="008F60F2"/>
    <w:rsid w:val="0090217D"/>
    <w:rsid w:val="00905C5E"/>
    <w:rsid w:val="009078DC"/>
    <w:rsid w:val="00921AC7"/>
    <w:rsid w:val="00924582"/>
    <w:rsid w:val="00931291"/>
    <w:rsid w:val="0093367D"/>
    <w:rsid w:val="00936B5F"/>
    <w:rsid w:val="009431FA"/>
    <w:rsid w:val="00945AF6"/>
    <w:rsid w:val="009550BE"/>
    <w:rsid w:val="00955531"/>
    <w:rsid w:val="00955BE8"/>
    <w:rsid w:val="00957594"/>
    <w:rsid w:val="00963F40"/>
    <w:rsid w:val="0098122D"/>
    <w:rsid w:val="00986596"/>
    <w:rsid w:val="00990685"/>
    <w:rsid w:val="0099405D"/>
    <w:rsid w:val="009A0ABE"/>
    <w:rsid w:val="009B2D4B"/>
    <w:rsid w:val="009B7CD7"/>
    <w:rsid w:val="009C0430"/>
    <w:rsid w:val="009C1729"/>
    <w:rsid w:val="009C4E99"/>
    <w:rsid w:val="009C5186"/>
    <w:rsid w:val="009C60F7"/>
    <w:rsid w:val="009D0952"/>
    <w:rsid w:val="009E0273"/>
    <w:rsid w:val="009E31DA"/>
    <w:rsid w:val="009E402C"/>
    <w:rsid w:val="009E7C6A"/>
    <w:rsid w:val="009F7ED4"/>
    <w:rsid w:val="00A02F4C"/>
    <w:rsid w:val="00A03AAC"/>
    <w:rsid w:val="00A047D1"/>
    <w:rsid w:val="00A04F76"/>
    <w:rsid w:val="00A22AD0"/>
    <w:rsid w:val="00A22DA8"/>
    <w:rsid w:val="00A31671"/>
    <w:rsid w:val="00A45320"/>
    <w:rsid w:val="00A52F8F"/>
    <w:rsid w:val="00A5612C"/>
    <w:rsid w:val="00A5689C"/>
    <w:rsid w:val="00A57AE4"/>
    <w:rsid w:val="00A63F19"/>
    <w:rsid w:val="00A66F42"/>
    <w:rsid w:val="00A76625"/>
    <w:rsid w:val="00A83500"/>
    <w:rsid w:val="00A90049"/>
    <w:rsid w:val="00A917BF"/>
    <w:rsid w:val="00A96A94"/>
    <w:rsid w:val="00AA3A38"/>
    <w:rsid w:val="00AA4F94"/>
    <w:rsid w:val="00AB047E"/>
    <w:rsid w:val="00AB2D90"/>
    <w:rsid w:val="00AC592E"/>
    <w:rsid w:val="00AC6C10"/>
    <w:rsid w:val="00AC7BC6"/>
    <w:rsid w:val="00AD24AA"/>
    <w:rsid w:val="00AE7962"/>
    <w:rsid w:val="00B12B7D"/>
    <w:rsid w:val="00B16910"/>
    <w:rsid w:val="00B16985"/>
    <w:rsid w:val="00B221B8"/>
    <w:rsid w:val="00B27206"/>
    <w:rsid w:val="00B32AA7"/>
    <w:rsid w:val="00B4012D"/>
    <w:rsid w:val="00B40F64"/>
    <w:rsid w:val="00B42A76"/>
    <w:rsid w:val="00B55BAA"/>
    <w:rsid w:val="00B7378D"/>
    <w:rsid w:val="00B82413"/>
    <w:rsid w:val="00B85352"/>
    <w:rsid w:val="00B87214"/>
    <w:rsid w:val="00B92FF5"/>
    <w:rsid w:val="00B959E6"/>
    <w:rsid w:val="00BA604D"/>
    <w:rsid w:val="00BC4585"/>
    <w:rsid w:val="00BC50F1"/>
    <w:rsid w:val="00BC73E5"/>
    <w:rsid w:val="00BD7473"/>
    <w:rsid w:val="00BD7703"/>
    <w:rsid w:val="00BE420D"/>
    <w:rsid w:val="00BF6314"/>
    <w:rsid w:val="00C21520"/>
    <w:rsid w:val="00C222B2"/>
    <w:rsid w:val="00C225FB"/>
    <w:rsid w:val="00C37530"/>
    <w:rsid w:val="00C46B88"/>
    <w:rsid w:val="00C5218C"/>
    <w:rsid w:val="00C52191"/>
    <w:rsid w:val="00C5642F"/>
    <w:rsid w:val="00C63554"/>
    <w:rsid w:val="00C71497"/>
    <w:rsid w:val="00C72F5B"/>
    <w:rsid w:val="00C73BCD"/>
    <w:rsid w:val="00C77AEF"/>
    <w:rsid w:val="00C87129"/>
    <w:rsid w:val="00C91E1B"/>
    <w:rsid w:val="00CA5FD5"/>
    <w:rsid w:val="00CA7703"/>
    <w:rsid w:val="00CB0F92"/>
    <w:rsid w:val="00CD4E6D"/>
    <w:rsid w:val="00CD5707"/>
    <w:rsid w:val="00CD7702"/>
    <w:rsid w:val="00CE29EA"/>
    <w:rsid w:val="00CF6572"/>
    <w:rsid w:val="00D02347"/>
    <w:rsid w:val="00D04755"/>
    <w:rsid w:val="00D06738"/>
    <w:rsid w:val="00D13737"/>
    <w:rsid w:val="00D14A0D"/>
    <w:rsid w:val="00D1638E"/>
    <w:rsid w:val="00D21FFF"/>
    <w:rsid w:val="00D272A5"/>
    <w:rsid w:val="00D43AFB"/>
    <w:rsid w:val="00D53190"/>
    <w:rsid w:val="00D57B7C"/>
    <w:rsid w:val="00D65B44"/>
    <w:rsid w:val="00D8099B"/>
    <w:rsid w:val="00D866A8"/>
    <w:rsid w:val="00D92F47"/>
    <w:rsid w:val="00D94B8D"/>
    <w:rsid w:val="00D967D3"/>
    <w:rsid w:val="00D96C8D"/>
    <w:rsid w:val="00DA2876"/>
    <w:rsid w:val="00DB24D4"/>
    <w:rsid w:val="00DC0B51"/>
    <w:rsid w:val="00DE27F7"/>
    <w:rsid w:val="00E44E18"/>
    <w:rsid w:val="00E54301"/>
    <w:rsid w:val="00E55ABD"/>
    <w:rsid w:val="00E60817"/>
    <w:rsid w:val="00E71F78"/>
    <w:rsid w:val="00E90C35"/>
    <w:rsid w:val="00EA70F1"/>
    <w:rsid w:val="00EB2516"/>
    <w:rsid w:val="00EB2C07"/>
    <w:rsid w:val="00EB374A"/>
    <w:rsid w:val="00ED62BE"/>
    <w:rsid w:val="00EF17AB"/>
    <w:rsid w:val="00EF6FA5"/>
    <w:rsid w:val="00F11104"/>
    <w:rsid w:val="00F13122"/>
    <w:rsid w:val="00F13947"/>
    <w:rsid w:val="00F16E3F"/>
    <w:rsid w:val="00F22499"/>
    <w:rsid w:val="00F22B0F"/>
    <w:rsid w:val="00F246CB"/>
    <w:rsid w:val="00F24B42"/>
    <w:rsid w:val="00F24F73"/>
    <w:rsid w:val="00F27299"/>
    <w:rsid w:val="00F31F6E"/>
    <w:rsid w:val="00F3389C"/>
    <w:rsid w:val="00F375F2"/>
    <w:rsid w:val="00F54EAE"/>
    <w:rsid w:val="00F66A51"/>
    <w:rsid w:val="00F71057"/>
    <w:rsid w:val="00F71A4B"/>
    <w:rsid w:val="00F728CF"/>
    <w:rsid w:val="00F743D4"/>
    <w:rsid w:val="00F83B17"/>
    <w:rsid w:val="00F87EDA"/>
    <w:rsid w:val="00F970EE"/>
    <w:rsid w:val="00FB0BC9"/>
    <w:rsid w:val="00FB41D3"/>
    <w:rsid w:val="00FB4F70"/>
    <w:rsid w:val="00FB5EFC"/>
    <w:rsid w:val="00FB77BB"/>
    <w:rsid w:val="00FC15AA"/>
    <w:rsid w:val="00FD1375"/>
    <w:rsid w:val="00FD359E"/>
    <w:rsid w:val="00FD5F37"/>
    <w:rsid w:val="00FE0A17"/>
    <w:rsid w:val="00FE179F"/>
    <w:rsid w:val="00FF213A"/>
    <w:rsid w:val="00FF6B9A"/>
    <w:rsid w:val="00FF6E8F"/>
    <w:rsid w:val="79F06A2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A499DB7-D129-4F63-8CE1-F403A57D7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annotation text" w:semiHidden="1"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lock Text" w:semiHidden="1" w:unhideWhenUsed="1"/>
    <w:lsdException w:name="FollowedHyperlink" w:qFormat="1"/>
    <w:lsdException w:name="Strong" w:uiPriority="22" w:qFormat="1"/>
    <w:lsdException w:name="Emphasis" w:uiPriority="20" w:qFormat="1"/>
    <w:lsdException w:name="Document Map" w:semiHidden="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eastAsia="宋体" w:hAnsi="Times New Roman" w:cs="Times New Roman"/>
      <w:kern w:val="2"/>
      <w:sz w:val="21"/>
      <w:szCs w:val="21"/>
    </w:rPr>
  </w:style>
  <w:style w:type="paragraph" w:styleId="1">
    <w:name w:val="heading 1"/>
    <w:basedOn w:val="a"/>
    <w:next w:val="a"/>
    <w:link w:val="10"/>
    <w:uiPriority w:val="99"/>
    <w:qFormat/>
    <w:pPr>
      <w:keepNext/>
      <w:keepLines/>
      <w:spacing w:before="340" w:after="330" w:line="578" w:lineRule="auto"/>
      <w:outlineLvl w:val="0"/>
    </w:pPr>
    <w:rPr>
      <w:b/>
      <w:bCs/>
      <w:kern w:val="44"/>
      <w:sz w:val="44"/>
      <w:szCs w:val="44"/>
    </w:rPr>
  </w:style>
  <w:style w:type="paragraph" w:styleId="2">
    <w:name w:val="heading 2"/>
    <w:basedOn w:val="a"/>
    <w:next w:val="a0"/>
    <w:link w:val="20"/>
    <w:uiPriority w:val="99"/>
    <w:qFormat/>
    <w:pPr>
      <w:keepNext/>
      <w:keepLines/>
      <w:spacing w:before="260" w:after="260" w:line="360" w:lineRule="auto"/>
      <w:outlineLvl w:val="1"/>
    </w:pPr>
    <w:rPr>
      <w:rFonts w:ascii="Arial" w:hAnsi="Arial" w:cs="Arial"/>
      <w:b/>
      <w:bCs/>
      <w:sz w:val="24"/>
      <w:szCs w:val="24"/>
    </w:rPr>
  </w:style>
  <w:style w:type="paragraph" w:styleId="3">
    <w:name w:val="heading 3"/>
    <w:basedOn w:val="a"/>
    <w:next w:val="a"/>
    <w:link w:val="30"/>
    <w:uiPriority w:val="99"/>
    <w:qFormat/>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pPr>
      <w:ind w:firstLineChars="200" w:firstLine="420"/>
    </w:pPr>
  </w:style>
  <w:style w:type="paragraph" w:styleId="a4">
    <w:name w:val="annotation subject"/>
    <w:basedOn w:val="a5"/>
    <w:next w:val="a5"/>
    <w:link w:val="a6"/>
    <w:uiPriority w:val="99"/>
    <w:semiHidden/>
    <w:qFormat/>
    <w:rPr>
      <w:b/>
      <w:bCs/>
    </w:rPr>
  </w:style>
  <w:style w:type="paragraph" w:styleId="a5">
    <w:name w:val="annotation text"/>
    <w:basedOn w:val="a"/>
    <w:link w:val="a7"/>
    <w:uiPriority w:val="99"/>
    <w:semiHidden/>
    <w:qFormat/>
    <w:pPr>
      <w:jc w:val="left"/>
    </w:pPr>
  </w:style>
  <w:style w:type="paragraph" w:styleId="a8">
    <w:name w:val="Document Map"/>
    <w:basedOn w:val="a"/>
    <w:link w:val="a9"/>
    <w:uiPriority w:val="99"/>
    <w:semiHidden/>
    <w:pPr>
      <w:shd w:val="clear" w:color="auto" w:fill="000080"/>
    </w:pPr>
  </w:style>
  <w:style w:type="paragraph" w:styleId="aa">
    <w:name w:val="Body Text"/>
    <w:basedOn w:val="a"/>
    <w:link w:val="ab"/>
    <w:uiPriority w:val="99"/>
    <w:qFormat/>
    <w:pPr>
      <w:spacing w:after="120"/>
    </w:pPr>
  </w:style>
  <w:style w:type="paragraph" w:styleId="ac">
    <w:name w:val="Body Text Indent"/>
    <w:basedOn w:val="a"/>
    <w:link w:val="ad"/>
    <w:uiPriority w:val="99"/>
    <w:pPr>
      <w:widowControl/>
      <w:spacing w:before="100" w:beforeAutospacing="1" w:after="100" w:afterAutospacing="1"/>
      <w:jc w:val="left"/>
    </w:pPr>
    <w:rPr>
      <w:rFonts w:ascii="Arial Unicode MS" w:eastAsia="Arial Unicode MS" w:hAnsi="Arial Unicode MS" w:cs="Arial Unicode MS"/>
      <w:kern w:val="0"/>
      <w:sz w:val="24"/>
      <w:szCs w:val="24"/>
    </w:rPr>
  </w:style>
  <w:style w:type="paragraph" w:styleId="ae">
    <w:name w:val="Plain Text"/>
    <w:basedOn w:val="a"/>
    <w:link w:val="af"/>
    <w:uiPriority w:val="99"/>
    <w:rPr>
      <w:rFonts w:ascii="宋体" w:hAnsi="Courier New" w:cs="宋体"/>
    </w:rPr>
  </w:style>
  <w:style w:type="paragraph" w:styleId="af0">
    <w:name w:val="Date"/>
    <w:basedOn w:val="a"/>
    <w:next w:val="a"/>
    <w:link w:val="af1"/>
    <w:qFormat/>
    <w:rPr>
      <w:sz w:val="24"/>
      <w:szCs w:val="24"/>
    </w:rPr>
  </w:style>
  <w:style w:type="paragraph" w:styleId="21">
    <w:name w:val="Body Text Indent 2"/>
    <w:basedOn w:val="a"/>
    <w:link w:val="22"/>
    <w:uiPriority w:val="99"/>
    <w:qFormat/>
    <w:pPr>
      <w:spacing w:line="560" w:lineRule="exact"/>
      <w:ind w:firstLineChars="200" w:firstLine="480"/>
    </w:pPr>
    <w:rPr>
      <w:rFonts w:ascii="宋体" w:hAnsi="宋体" w:cs="宋体"/>
      <w:color w:val="FF0000"/>
      <w:sz w:val="24"/>
      <w:szCs w:val="24"/>
    </w:rPr>
  </w:style>
  <w:style w:type="paragraph" w:styleId="af2">
    <w:name w:val="Balloon Text"/>
    <w:basedOn w:val="a"/>
    <w:link w:val="af3"/>
    <w:uiPriority w:val="99"/>
    <w:semiHidden/>
    <w:qFormat/>
    <w:rPr>
      <w:sz w:val="18"/>
      <w:szCs w:val="18"/>
    </w:rPr>
  </w:style>
  <w:style w:type="paragraph" w:styleId="af4">
    <w:name w:val="footer"/>
    <w:basedOn w:val="a"/>
    <w:link w:val="af5"/>
    <w:uiPriority w:val="99"/>
    <w:qFormat/>
    <w:pPr>
      <w:tabs>
        <w:tab w:val="center" w:pos="4153"/>
        <w:tab w:val="right" w:pos="8306"/>
      </w:tabs>
      <w:snapToGrid w:val="0"/>
      <w:jc w:val="left"/>
    </w:pPr>
    <w:rPr>
      <w:sz w:val="18"/>
      <w:szCs w:val="18"/>
    </w:rPr>
  </w:style>
  <w:style w:type="paragraph" w:styleId="af6">
    <w:name w:val="header"/>
    <w:basedOn w:val="a"/>
    <w:link w:val="af7"/>
    <w:uiPriority w:val="99"/>
    <w:pPr>
      <w:pBdr>
        <w:bottom w:val="single" w:sz="6" w:space="1" w:color="auto"/>
      </w:pBdr>
      <w:tabs>
        <w:tab w:val="center" w:pos="4153"/>
        <w:tab w:val="right" w:pos="8306"/>
      </w:tabs>
      <w:snapToGrid w:val="0"/>
      <w:jc w:val="center"/>
    </w:pPr>
    <w:rPr>
      <w:sz w:val="18"/>
      <w:szCs w:val="18"/>
    </w:rPr>
  </w:style>
  <w:style w:type="paragraph" w:styleId="af8">
    <w:name w:val="List"/>
    <w:basedOn w:val="aa"/>
    <w:uiPriority w:val="99"/>
    <w:pPr>
      <w:spacing w:after="220" w:line="220" w:lineRule="atLeast"/>
      <w:ind w:left="1440" w:hanging="360"/>
    </w:pPr>
  </w:style>
  <w:style w:type="paragraph" w:styleId="af9">
    <w:name w:val="footnote text"/>
    <w:basedOn w:val="a"/>
    <w:link w:val="afa"/>
    <w:pPr>
      <w:snapToGrid w:val="0"/>
      <w:jc w:val="left"/>
    </w:pPr>
    <w:rPr>
      <w:sz w:val="18"/>
      <w:szCs w:val="18"/>
    </w:rPr>
  </w:style>
  <w:style w:type="paragraph" w:styleId="31">
    <w:name w:val="Body Text Indent 3"/>
    <w:basedOn w:val="a"/>
    <w:link w:val="32"/>
    <w:uiPriority w:val="99"/>
    <w:pPr>
      <w:spacing w:line="560" w:lineRule="exact"/>
      <w:ind w:firstLineChars="200" w:firstLine="420"/>
    </w:pPr>
    <w:rPr>
      <w:rFonts w:ascii="Arial" w:hAnsi="Arial" w:cs="Arial"/>
      <w:color w:val="FF0000"/>
    </w:rPr>
  </w:style>
  <w:style w:type="paragraph" w:styleId="afb">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styleId="11">
    <w:name w:val="index 1"/>
    <w:basedOn w:val="a"/>
    <w:next w:val="a"/>
    <w:uiPriority w:val="99"/>
    <w:semiHidden/>
    <w:qFormat/>
    <w:pPr>
      <w:jc w:val="right"/>
    </w:pPr>
    <w:rPr>
      <w:color w:val="008000"/>
    </w:rPr>
  </w:style>
  <w:style w:type="paragraph" w:styleId="afc">
    <w:name w:val="Title"/>
    <w:basedOn w:val="a"/>
    <w:next w:val="a"/>
    <w:link w:val="afd"/>
    <w:uiPriority w:val="99"/>
    <w:qFormat/>
    <w:pPr>
      <w:spacing w:before="240" w:after="60"/>
      <w:jc w:val="center"/>
      <w:outlineLvl w:val="0"/>
    </w:pPr>
    <w:rPr>
      <w:rFonts w:ascii="Cambria" w:hAnsi="Cambria" w:cs="Cambria"/>
      <w:b/>
      <w:bCs/>
      <w:sz w:val="32"/>
      <w:szCs w:val="32"/>
    </w:rPr>
  </w:style>
  <w:style w:type="character" w:styleId="afe">
    <w:name w:val="Strong"/>
    <w:basedOn w:val="a1"/>
    <w:uiPriority w:val="22"/>
    <w:qFormat/>
    <w:rPr>
      <w:b/>
      <w:bCs/>
    </w:rPr>
  </w:style>
  <w:style w:type="character" w:styleId="aff">
    <w:name w:val="page number"/>
    <w:basedOn w:val="a1"/>
    <w:uiPriority w:val="99"/>
  </w:style>
  <w:style w:type="character" w:styleId="aff0">
    <w:name w:val="FollowedHyperlink"/>
    <w:basedOn w:val="a1"/>
    <w:uiPriority w:val="99"/>
    <w:qFormat/>
    <w:rPr>
      <w:color w:val="800080"/>
      <w:u w:val="single"/>
    </w:rPr>
  </w:style>
  <w:style w:type="character" w:styleId="aff1">
    <w:name w:val="Hyperlink"/>
    <w:basedOn w:val="a1"/>
    <w:uiPriority w:val="99"/>
    <w:rPr>
      <w:color w:val="0000FF"/>
      <w:u w:val="single"/>
    </w:rPr>
  </w:style>
  <w:style w:type="character" w:styleId="aff2">
    <w:name w:val="annotation reference"/>
    <w:basedOn w:val="a1"/>
    <w:uiPriority w:val="99"/>
    <w:semiHidden/>
    <w:qFormat/>
    <w:rPr>
      <w:sz w:val="21"/>
      <w:szCs w:val="21"/>
    </w:rPr>
  </w:style>
  <w:style w:type="character" w:styleId="aff3">
    <w:name w:val="footnote reference"/>
    <w:basedOn w:val="a1"/>
    <w:rPr>
      <w:vertAlign w:val="superscript"/>
    </w:rPr>
  </w:style>
  <w:style w:type="table" w:styleId="aff4">
    <w:name w:val="Table Grid"/>
    <w:basedOn w:val="a2"/>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basedOn w:val="a1"/>
    <w:link w:val="1"/>
    <w:uiPriority w:val="99"/>
    <w:rPr>
      <w:rFonts w:ascii="Times New Roman" w:eastAsia="宋体" w:hAnsi="Times New Roman" w:cs="Times New Roman"/>
      <w:b/>
      <w:bCs/>
      <w:kern w:val="44"/>
      <w:sz w:val="44"/>
      <w:szCs w:val="44"/>
    </w:rPr>
  </w:style>
  <w:style w:type="character" w:customStyle="1" w:styleId="20">
    <w:name w:val="标题 2 字符"/>
    <w:basedOn w:val="a1"/>
    <w:link w:val="2"/>
    <w:uiPriority w:val="99"/>
    <w:rPr>
      <w:rFonts w:ascii="Arial" w:eastAsia="宋体" w:hAnsi="Arial" w:cs="Arial"/>
      <w:b/>
      <w:bCs/>
      <w:sz w:val="24"/>
      <w:szCs w:val="24"/>
    </w:rPr>
  </w:style>
  <w:style w:type="character" w:customStyle="1" w:styleId="30">
    <w:name w:val="标题 3 字符"/>
    <w:basedOn w:val="a1"/>
    <w:link w:val="3"/>
    <w:uiPriority w:val="99"/>
    <w:rPr>
      <w:rFonts w:ascii="Times New Roman" w:eastAsia="宋体" w:hAnsi="Times New Roman" w:cs="Times New Roman"/>
      <w:b/>
      <w:bCs/>
      <w:sz w:val="32"/>
      <w:szCs w:val="32"/>
    </w:rPr>
  </w:style>
  <w:style w:type="character" w:customStyle="1" w:styleId="ad">
    <w:name w:val="正文文本缩进 字符"/>
    <w:basedOn w:val="a1"/>
    <w:link w:val="ac"/>
    <w:uiPriority w:val="99"/>
    <w:rPr>
      <w:rFonts w:ascii="Arial Unicode MS" w:eastAsia="Arial Unicode MS" w:hAnsi="Arial Unicode MS" w:cs="Arial Unicode MS"/>
      <w:kern w:val="0"/>
      <w:sz w:val="24"/>
      <w:szCs w:val="24"/>
    </w:rPr>
  </w:style>
  <w:style w:type="character" w:customStyle="1" w:styleId="af">
    <w:name w:val="纯文本 字符"/>
    <w:basedOn w:val="a1"/>
    <w:link w:val="ae"/>
    <w:uiPriority w:val="99"/>
    <w:rPr>
      <w:rFonts w:ascii="宋体" w:eastAsia="宋体" w:hAnsi="Courier New" w:cs="宋体"/>
      <w:szCs w:val="21"/>
    </w:rPr>
  </w:style>
  <w:style w:type="character" w:customStyle="1" w:styleId="22">
    <w:name w:val="正文文本缩进 2 字符"/>
    <w:basedOn w:val="a1"/>
    <w:link w:val="21"/>
    <w:uiPriority w:val="99"/>
    <w:rPr>
      <w:rFonts w:ascii="宋体" w:eastAsia="宋体" w:hAnsi="宋体" w:cs="宋体"/>
      <w:color w:val="FF0000"/>
      <w:sz w:val="24"/>
      <w:szCs w:val="24"/>
    </w:rPr>
  </w:style>
  <w:style w:type="character" w:customStyle="1" w:styleId="af5">
    <w:name w:val="页脚 字符"/>
    <w:basedOn w:val="a1"/>
    <w:link w:val="af4"/>
    <w:uiPriority w:val="99"/>
    <w:rPr>
      <w:rFonts w:ascii="Times New Roman" w:eastAsia="宋体" w:hAnsi="Times New Roman" w:cs="Times New Roman"/>
      <w:sz w:val="18"/>
      <w:szCs w:val="18"/>
    </w:rPr>
  </w:style>
  <w:style w:type="character" w:customStyle="1" w:styleId="32">
    <w:name w:val="正文文本缩进 3 字符"/>
    <w:basedOn w:val="a1"/>
    <w:link w:val="31"/>
    <w:uiPriority w:val="99"/>
    <w:rPr>
      <w:rFonts w:ascii="Arial" w:eastAsia="宋体" w:hAnsi="Arial" w:cs="Arial"/>
      <w:color w:val="FF0000"/>
      <w:szCs w:val="21"/>
    </w:rPr>
  </w:style>
  <w:style w:type="character" w:customStyle="1" w:styleId="af7">
    <w:name w:val="页眉 字符"/>
    <w:basedOn w:val="a1"/>
    <w:link w:val="af6"/>
    <w:uiPriority w:val="99"/>
    <w:rPr>
      <w:rFonts w:ascii="Times New Roman" w:eastAsia="宋体" w:hAnsi="Times New Roman" w:cs="Times New Roman"/>
      <w:sz w:val="18"/>
      <w:szCs w:val="18"/>
    </w:rPr>
  </w:style>
  <w:style w:type="character" w:customStyle="1" w:styleId="ab">
    <w:name w:val="正文文本 字符"/>
    <w:basedOn w:val="a1"/>
    <w:link w:val="aa"/>
    <w:uiPriority w:val="99"/>
    <w:qFormat/>
    <w:rPr>
      <w:rFonts w:ascii="Times New Roman" w:eastAsia="宋体" w:hAnsi="Times New Roman" w:cs="Times New Roman"/>
      <w:szCs w:val="21"/>
    </w:rPr>
  </w:style>
  <w:style w:type="character" w:customStyle="1" w:styleId="af1">
    <w:name w:val="日期 字符"/>
    <w:basedOn w:val="a1"/>
    <w:link w:val="af0"/>
    <w:qFormat/>
    <w:rPr>
      <w:rFonts w:ascii="Times New Roman" w:eastAsia="宋体" w:hAnsi="Times New Roman" w:cs="Times New Roman"/>
      <w:sz w:val="24"/>
      <w:szCs w:val="24"/>
    </w:rPr>
  </w:style>
  <w:style w:type="character" w:customStyle="1" w:styleId="c1">
    <w:name w:val="c1"/>
    <w:basedOn w:val="a1"/>
    <w:uiPriority w:val="99"/>
    <w:qFormat/>
    <w:rPr>
      <w:color w:val="000000"/>
      <w:sz w:val="18"/>
      <w:szCs w:val="18"/>
    </w:rPr>
  </w:style>
  <w:style w:type="paragraph" w:customStyle="1" w:styleId="font5">
    <w:name w:val="font5"/>
    <w:basedOn w:val="a"/>
    <w:uiPriority w:val="99"/>
    <w:qFormat/>
    <w:pPr>
      <w:widowControl/>
      <w:spacing w:before="100" w:beforeAutospacing="1" w:after="100" w:afterAutospacing="1"/>
      <w:jc w:val="left"/>
    </w:pPr>
    <w:rPr>
      <w:rFonts w:ascii="宋体" w:hAnsi="宋体" w:cs="宋体"/>
      <w:kern w:val="0"/>
      <w:sz w:val="18"/>
      <w:szCs w:val="18"/>
    </w:rPr>
  </w:style>
  <w:style w:type="paragraph" w:customStyle="1" w:styleId="xl24">
    <w:name w:val="xl24"/>
    <w:basedOn w:val="a"/>
    <w:uiPriority w:val="99"/>
    <w:qFormat/>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szCs w:val="24"/>
    </w:rPr>
  </w:style>
  <w:style w:type="paragraph" w:customStyle="1" w:styleId="xl26">
    <w:name w:val="xl2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7">
    <w:name w:val="xl2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29">
    <w:name w:val="xl29"/>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0">
    <w:name w:val="xl30"/>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szCs w:val="24"/>
    </w:rPr>
  </w:style>
  <w:style w:type="paragraph" w:customStyle="1" w:styleId="xl31">
    <w:name w:val="xl31"/>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uiPriority w:val="99"/>
    <w:qFormat/>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uiPriority w:val="99"/>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uiPriority w:val="99"/>
    <w:qFormat/>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character" w:customStyle="1" w:styleId="af3">
    <w:name w:val="批注框文本 字符"/>
    <w:basedOn w:val="a1"/>
    <w:link w:val="af2"/>
    <w:uiPriority w:val="99"/>
    <w:semiHidden/>
    <w:qFormat/>
    <w:rPr>
      <w:rFonts w:ascii="Times New Roman" w:eastAsia="宋体" w:hAnsi="Times New Roman" w:cs="Times New Roman"/>
      <w:sz w:val="18"/>
      <w:szCs w:val="18"/>
    </w:rPr>
  </w:style>
  <w:style w:type="character" w:customStyle="1" w:styleId="a7">
    <w:name w:val="批注文字 字符"/>
    <w:basedOn w:val="a1"/>
    <w:link w:val="a5"/>
    <w:uiPriority w:val="99"/>
    <w:semiHidden/>
    <w:qFormat/>
    <w:rPr>
      <w:rFonts w:ascii="Times New Roman" w:eastAsia="宋体" w:hAnsi="Times New Roman" w:cs="Times New Roman"/>
      <w:szCs w:val="21"/>
    </w:rPr>
  </w:style>
  <w:style w:type="character" w:customStyle="1" w:styleId="a6">
    <w:name w:val="批注主题 字符"/>
    <w:basedOn w:val="a7"/>
    <w:link w:val="a4"/>
    <w:uiPriority w:val="99"/>
    <w:semiHidden/>
    <w:qFormat/>
    <w:rPr>
      <w:rFonts w:ascii="Times New Roman" w:eastAsia="宋体" w:hAnsi="Times New Roman" w:cs="Times New Roman"/>
      <w:b/>
      <w:bCs/>
      <w:szCs w:val="21"/>
    </w:rPr>
  </w:style>
  <w:style w:type="paragraph" w:customStyle="1" w:styleId="Char">
    <w:name w:val="Char"/>
    <w:basedOn w:val="a"/>
    <w:uiPriority w:val="99"/>
    <w:qFormat/>
  </w:style>
  <w:style w:type="character" w:customStyle="1" w:styleId="a9">
    <w:name w:val="文档结构图 字符"/>
    <w:basedOn w:val="a1"/>
    <w:link w:val="a8"/>
    <w:uiPriority w:val="99"/>
    <w:semiHidden/>
    <w:rPr>
      <w:rFonts w:ascii="Times New Roman" w:eastAsia="宋体" w:hAnsi="Times New Roman" w:cs="Times New Roman"/>
      <w:szCs w:val="21"/>
      <w:shd w:val="clear" w:color="auto" w:fill="000080"/>
    </w:rPr>
  </w:style>
  <w:style w:type="paragraph" w:customStyle="1" w:styleId="aff5">
    <w:name w:val="正文 + (符号) 宋体"/>
    <w:basedOn w:val="a"/>
    <w:uiPriority w:val="99"/>
    <w:pPr>
      <w:autoSpaceDE w:val="0"/>
      <w:autoSpaceDN w:val="0"/>
      <w:adjustRightInd w:val="0"/>
      <w:ind w:rightChars="671" w:right="1409" w:firstLineChars="512" w:firstLine="1229"/>
      <w:jc w:val="distribute"/>
    </w:pPr>
    <w:rPr>
      <w:sz w:val="24"/>
      <w:szCs w:val="24"/>
    </w:rPr>
  </w:style>
  <w:style w:type="character" w:customStyle="1" w:styleId="afa">
    <w:name w:val="脚注文本 字符"/>
    <w:basedOn w:val="a1"/>
    <w:link w:val="af9"/>
    <w:rPr>
      <w:rFonts w:ascii="Times New Roman" w:eastAsia="宋体" w:hAnsi="Times New Roman" w:cs="Times New Roman"/>
      <w:sz w:val="18"/>
      <w:szCs w:val="18"/>
    </w:rPr>
  </w:style>
  <w:style w:type="paragraph" w:customStyle="1" w:styleId="Char1">
    <w:name w:val="Char1"/>
    <w:basedOn w:val="a"/>
    <w:uiPriority w:val="99"/>
  </w:style>
  <w:style w:type="paragraph" w:customStyle="1" w:styleId="CharCharCharCharCharChar1CharCharChar">
    <w:name w:val="Char Char Char Char Char Char1 Char Char Char"/>
    <w:basedOn w:val="a"/>
    <w:uiPriority w:val="99"/>
    <w:pPr>
      <w:autoSpaceDE w:val="0"/>
      <w:autoSpaceDN w:val="0"/>
      <w:adjustRightInd w:val="0"/>
      <w:jc w:val="left"/>
      <w:textAlignment w:val="baseline"/>
    </w:pPr>
    <w:rPr>
      <w:rFonts w:ascii="宋体" w:cs="宋体"/>
      <w:kern w:val="0"/>
      <w:sz w:val="34"/>
      <w:szCs w:val="34"/>
    </w:rPr>
  </w:style>
  <w:style w:type="paragraph" w:customStyle="1" w:styleId="CharCharCharCharCharChar1CharCharChar2">
    <w:name w:val="Char Char Char Char Char Char1 Char Char Char2"/>
    <w:basedOn w:val="a"/>
    <w:uiPriority w:val="99"/>
    <w:pPr>
      <w:autoSpaceDE w:val="0"/>
      <w:autoSpaceDN w:val="0"/>
      <w:adjustRightInd w:val="0"/>
      <w:jc w:val="left"/>
      <w:textAlignment w:val="baseline"/>
    </w:pPr>
    <w:rPr>
      <w:rFonts w:ascii="宋体" w:cs="宋体"/>
      <w:kern w:val="0"/>
      <w:sz w:val="34"/>
      <w:szCs w:val="34"/>
    </w:rPr>
  </w:style>
  <w:style w:type="character" w:customStyle="1" w:styleId="afd">
    <w:name w:val="标题 字符"/>
    <w:basedOn w:val="a1"/>
    <w:link w:val="afc"/>
    <w:uiPriority w:val="99"/>
    <w:rPr>
      <w:rFonts w:ascii="Cambria" w:eastAsia="宋体" w:hAnsi="Cambria" w:cs="Cambria"/>
      <w:b/>
      <w:bCs/>
      <w:sz w:val="32"/>
      <w:szCs w:val="32"/>
    </w:rPr>
  </w:style>
  <w:style w:type="paragraph" w:customStyle="1" w:styleId="CharCharCharCharCharChar1CharCharChar1">
    <w:name w:val="Char Char Char Char Char Char1 Char Char Char1"/>
    <w:basedOn w:val="a"/>
    <w:uiPriority w:val="99"/>
    <w:pPr>
      <w:autoSpaceDE w:val="0"/>
      <w:autoSpaceDN w:val="0"/>
      <w:adjustRightInd w:val="0"/>
      <w:jc w:val="left"/>
      <w:textAlignment w:val="baseline"/>
    </w:pPr>
    <w:rPr>
      <w:rFonts w:ascii="宋体" w:cs="宋体"/>
      <w:kern w:val="0"/>
      <w:sz w:val="34"/>
      <w:szCs w:val="34"/>
    </w:rPr>
  </w:style>
  <w:style w:type="paragraph" w:customStyle="1" w:styleId="12">
    <w:name w:val="无间隔1"/>
    <w:link w:val="Char0"/>
    <w:uiPriority w:val="1"/>
    <w:qFormat/>
    <w:rPr>
      <w:rFonts w:ascii="Calibri" w:eastAsia="宋体" w:hAnsi="Calibri" w:cs="Calibri"/>
      <w:sz w:val="22"/>
      <w:szCs w:val="22"/>
    </w:rPr>
  </w:style>
  <w:style w:type="character" w:customStyle="1" w:styleId="Char0">
    <w:name w:val="无间隔 Char"/>
    <w:basedOn w:val="a1"/>
    <w:link w:val="12"/>
    <w:uiPriority w:val="1"/>
    <w:locked/>
    <w:rPr>
      <w:rFonts w:ascii="Calibri" w:eastAsia="宋体" w:hAnsi="Calibri" w:cs="Calibri"/>
      <w:kern w:val="0"/>
      <w:sz w:val="22"/>
    </w:rPr>
  </w:style>
  <w:style w:type="character" w:customStyle="1" w:styleId="t1">
    <w:name w:val="t1"/>
    <w:basedOn w:val="a1"/>
    <w:uiPriority w:val="99"/>
    <w:rPr>
      <w:color w:val="auto"/>
    </w:rPr>
  </w:style>
  <w:style w:type="paragraph" w:customStyle="1" w:styleId="13">
    <w:name w:val="列表段落1"/>
    <w:basedOn w:val="a"/>
    <w:uiPriority w:val="34"/>
    <w:qFormat/>
    <w:pPr>
      <w:ind w:firstLineChars="200" w:firstLine="420"/>
    </w:pPr>
  </w:style>
  <w:style w:type="paragraph" w:customStyle="1" w:styleId="Default">
    <w:name w:val="Default"/>
    <w:pPr>
      <w:widowControl w:val="0"/>
      <w:autoSpaceDE w:val="0"/>
      <w:autoSpaceDN w:val="0"/>
      <w:adjustRightInd w:val="0"/>
    </w:pPr>
    <w:rPr>
      <w:rFonts w:ascii="仿宋" w:eastAsia="宋体" w:hAnsi="仿宋" w:cs="仿宋"/>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091470">
      <w:bodyDiv w:val="1"/>
      <w:marLeft w:val="0"/>
      <w:marRight w:val="0"/>
      <w:marTop w:val="0"/>
      <w:marBottom w:val="0"/>
      <w:divBdr>
        <w:top w:val="none" w:sz="0" w:space="0" w:color="auto"/>
        <w:left w:val="none" w:sz="0" w:space="0" w:color="auto"/>
        <w:bottom w:val="none" w:sz="0" w:space="0" w:color="auto"/>
        <w:right w:val="none" w:sz="0" w:space="0" w:color="auto"/>
      </w:divBdr>
    </w:div>
    <w:div w:id="14086968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2288986-A89A-4CDA-87F1-A3292611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1096</Words>
  <Characters>6250</Characters>
  <Application>Microsoft Office Word</Application>
  <DocSecurity>0</DocSecurity>
  <Lines>52</Lines>
  <Paragraphs>14</Paragraphs>
  <ScaleCrop>false</ScaleCrop>
  <Company/>
  <LinksUpToDate>false</LinksUpToDate>
  <CharactersWithSpaces>7332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Wenyu.Qiu@FA</cp:lastModifiedBy>
  <cp:revision>268</cp:revision>
  <dcterms:created xsi:type="dcterms:W3CDTF">2012-10-16T06:07:00Z</dcterms:created>
  <dcterms:modified xsi:type="dcterms:W3CDTF">2022-01-21T05:12:00Z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