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上投摩根核心成长股票型证券投资基金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年第</w:t>
      </w:r>
      <w:r w:rsidRPr="00FF6B9A">
        <w:rPr>
          <w:rFonts w:eastAsiaTheme="minorEastAsia"/>
          <w:b/>
          <w:color w:val="000000" w:themeColor="text1"/>
          <w:sz w:val="36"/>
          <w:szCs w:val="36"/>
        </w:rPr>
        <w:t>3</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w:t>
      </w:r>
      <w:r w:rsidRPr="00FF6B9A">
        <w:rPr>
          <w:rFonts w:eastAsiaTheme="minorEastAsia"/>
          <w:b/>
          <w:color w:val="000000" w:themeColor="text1"/>
          <w:sz w:val="36"/>
          <w:szCs w:val="36"/>
        </w:rPr>
        <w:t>9</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bookmarkStart w:id="0" w:name="_GoBack"/>
      <w:bookmarkEnd w:id="0"/>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基金管理人：上投摩根基金管理有限公司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报告送出日期：二〇二一年十月二十七日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7D3B9A" w:rsidRDefault="007F15A2">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7D3B9A" w:rsidRDefault="007F15A2">
      <w:pPr>
        <w:spacing w:line="360" w:lineRule="auto"/>
        <w:ind w:firstLineChars="200" w:firstLine="420"/>
        <w:rPr>
          <w:rFonts w:eastAsiaTheme="minorEastAsia"/>
          <w:color w:val="000000" w:themeColor="text1"/>
        </w:rPr>
      </w:pPr>
      <w:r>
        <w:rPr>
          <w:rFonts w:eastAsiaTheme="minorEastAsia"/>
          <w:color w:val="000000" w:themeColor="text1"/>
        </w:rPr>
        <w:t>基金托管人中国银行股份有限公司根据本基金合同规定，于</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w:t>
      </w:r>
      <w:r>
        <w:rPr>
          <w:rFonts w:eastAsiaTheme="minorEastAsia"/>
          <w:color w:val="000000" w:themeColor="text1"/>
        </w:rPr>
        <w:t>26</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7D3B9A" w:rsidRDefault="007F15A2">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7D3B9A" w:rsidRDefault="007F15A2">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7D3B9A" w:rsidRDefault="007F15A2">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上投摩根核心成长股票</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000457</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000457</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2014</w:t>
            </w:r>
            <w:r w:rsidRPr="00FF6B9A">
              <w:rPr>
                <w:rFonts w:eastAsiaTheme="minorEastAsia"/>
                <w:color w:val="000000" w:themeColor="text1"/>
                <w:kern w:val="0"/>
              </w:rPr>
              <w:t>年</w:t>
            </w:r>
            <w:r w:rsidRPr="00FF6B9A">
              <w:rPr>
                <w:rFonts w:eastAsiaTheme="minorEastAsia"/>
                <w:color w:val="000000" w:themeColor="text1"/>
                <w:kern w:val="0"/>
              </w:rPr>
              <w:t>2</w:t>
            </w:r>
            <w:r w:rsidRPr="00FF6B9A">
              <w:rPr>
                <w:rFonts w:eastAsiaTheme="minorEastAsia"/>
                <w:color w:val="000000" w:themeColor="text1"/>
                <w:kern w:val="0"/>
              </w:rPr>
              <w:t>月</w:t>
            </w:r>
            <w:r w:rsidRPr="00FF6B9A">
              <w:rPr>
                <w:rFonts w:eastAsiaTheme="minorEastAsia"/>
                <w:color w:val="000000" w:themeColor="text1"/>
                <w:kern w:val="0"/>
              </w:rPr>
              <w:t>10</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508,904,211.05</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本基金将充分利用管理人的投资研究平台，通过系统和深入的基本面研究，选择公司治理良好且具有较高增长潜力的公司进行投资，力争实现基金资产的长期稳定增值。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7D3B9A" w:rsidRDefault="007F15A2">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7D3B9A" w:rsidRDefault="007F15A2">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w:t>
            </w:r>
            <w:r>
              <w:rPr>
                <w:rFonts w:eastAsiaTheme="minorEastAsia"/>
                <w:color w:val="000000" w:themeColor="text1"/>
                <w:kern w:val="0"/>
              </w:rPr>
              <w:lastRenderedPageBreak/>
              <w:t>括、</w:t>
            </w:r>
            <w:r>
              <w:rPr>
                <w:rFonts w:eastAsiaTheme="minorEastAsia"/>
                <w:color w:val="000000" w:themeColor="text1"/>
                <w:kern w:val="0"/>
              </w:rPr>
              <w:t>GDP</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7D3B9A" w:rsidRDefault="007F15A2">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rsidR="007D3B9A" w:rsidRDefault="007F15A2">
            <w:pPr>
              <w:adjustRightInd w:val="0"/>
              <w:spacing w:before="29" w:line="360" w:lineRule="auto"/>
              <w:ind w:left="17"/>
              <w:rPr>
                <w:rFonts w:eastAsiaTheme="minorEastAsia"/>
                <w:color w:val="000000" w:themeColor="text1"/>
              </w:rPr>
            </w:pPr>
            <w:r>
              <w:rPr>
                <w:rFonts w:eastAsiaTheme="minorEastAsia"/>
                <w:color w:val="000000" w:themeColor="text1"/>
                <w:kern w:val="0"/>
              </w:rPr>
              <w:t>本基金采用</w:t>
            </w:r>
            <w:r>
              <w:rPr>
                <w:rFonts w:eastAsiaTheme="minorEastAsia"/>
                <w:color w:val="000000" w:themeColor="text1"/>
                <w:kern w:val="0"/>
              </w:rPr>
              <w:t>“</w:t>
            </w:r>
            <w:r>
              <w:rPr>
                <w:rFonts w:eastAsiaTheme="minorEastAsia"/>
                <w:color w:val="000000" w:themeColor="text1"/>
                <w:kern w:val="0"/>
              </w:rPr>
              <w:t>自下而上</w:t>
            </w:r>
            <w:r>
              <w:rPr>
                <w:rFonts w:eastAsiaTheme="minorEastAsia"/>
                <w:color w:val="000000" w:themeColor="text1"/>
                <w:kern w:val="0"/>
              </w:rPr>
              <w:t>”</w:t>
            </w:r>
            <w:r>
              <w:rPr>
                <w:rFonts w:eastAsiaTheme="minorEastAsia"/>
                <w:color w:val="000000" w:themeColor="text1"/>
                <w:kern w:val="0"/>
              </w:rPr>
              <w:t>的个股精选策略，综合运用定量分析与定性分析</w:t>
            </w:r>
            <w:r>
              <w:rPr>
                <w:rFonts w:eastAsiaTheme="minorEastAsia"/>
                <w:color w:val="000000" w:themeColor="text1"/>
                <w:kern w:val="0"/>
              </w:rPr>
              <w:t>的手段，基于公司内部研究团队对于个股基本面的深入研究和细致的实地调研，重点投资于公司治理良好且具有较高增长潜力的公司。在行业配置层面，本基金将对宏观经济发展状况及趋势、行业周期性及景气度、行业相对估值水平等方面进行研究，判断各个行业的相对投资价值，参考整体市场的行业资产分布比例，确定和动态调整各个行业的配置比例。在个股选择层面，本基金通过纪律化的投资约束，力争最大程度地将内部研究成果转化为投资业绩，公司研究团队负责内部研究组合的构建与维护。</w:t>
            </w:r>
          </w:p>
          <w:p w:rsidR="007D3B9A" w:rsidRDefault="007F15A2">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、行业配置策略</w:t>
            </w:r>
          </w:p>
          <w:p w:rsidR="007D3B9A" w:rsidRDefault="007F15A2">
            <w:pPr>
              <w:adjustRightInd w:val="0"/>
              <w:spacing w:before="29" w:line="360" w:lineRule="auto"/>
              <w:ind w:left="17"/>
              <w:rPr>
                <w:rFonts w:eastAsiaTheme="minorEastAsia"/>
                <w:color w:val="000000" w:themeColor="text1"/>
              </w:rPr>
            </w:pPr>
            <w:r>
              <w:rPr>
                <w:rFonts w:eastAsiaTheme="minorEastAsia"/>
                <w:color w:val="000000" w:themeColor="text1"/>
                <w:kern w:val="0"/>
              </w:rPr>
              <w:t>本基金在精选个股的基础上，对股票投资组合进行适度</w:t>
            </w:r>
            <w:r>
              <w:rPr>
                <w:rFonts w:eastAsiaTheme="minorEastAsia"/>
                <w:color w:val="000000" w:themeColor="text1"/>
                <w:kern w:val="0"/>
              </w:rPr>
              <w:t>均衡的行业配置。本基金将对宏观经济发展状况及趋势、行业周期性及景气度、行业相对估值水平等方面进行研究，判断各个行业的相对投资价值。在此基础上，参考整体市场的行业资产分布比例，确定和动态调整各个行业的配置比例。</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4</w:t>
            </w:r>
            <w:r w:rsidRPr="00FF6B9A">
              <w:rPr>
                <w:rFonts w:eastAsiaTheme="minorEastAsia"/>
                <w:color w:val="000000" w:themeColor="text1"/>
                <w:kern w:val="0"/>
              </w:rPr>
              <w:t>、其他投资策略：包括固定收益类投资策略、可转换债券投资策略、中小企业私募债投资策略、股指期货投资策略、存托凭证投资策略。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沪深</w:t>
            </w:r>
            <w:r w:rsidRPr="00FF6B9A">
              <w:rPr>
                <w:rFonts w:eastAsiaTheme="minorEastAsia"/>
                <w:color w:val="000000" w:themeColor="text1"/>
                <w:kern w:val="0"/>
              </w:rPr>
              <w:t>300</w:t>
            </w:r>
            <w:r w:rsidRPr="00FF6B9A">
              <w:rPr>
                <w:rFonts w:eastAsiaTheme="minorEastAsia"/>
                <w:color w:val="000000" w:themeColor="text1"/>
                <w:kern w:val="0"/>
              </w:rPr>
              <w:t>指数收益率</w:t>
            </w:r>
            <w:r w:rsidRPr="00FF6B9A">
              <w:rPr>
                <w:rFonts w:eastAsiaTheme="minorEastAsia"/>
                <w:color w:val="000000" w:themeColor="text1"/>
                <w:kern w:val="0"/>
              </w:rPr>
              <w:t>×85%+</w:t>
            </w:r>
            <w:r w:rsidRPr="00FF6B9A">
              <w:rPr>
                <w:rFonts w:eastAsiaTheme="minorEastAsia"/>
                <w:color w:val="000000" w:themeColor="text1"/>
                <w:kern w:val="0"/>
              </w:rPr>
              <w:t>中债总指数收益率</w:t>
            </w:r>
            <w:r w:rsidRPr="00FF6B9A">
              <w:rPr>
                <w:rFonts w:eastAsiaTheme="minorEastAsia"/>
                <w:color w:val="000000" w:themeColor="text1"/>
                <w:kern w:val="0"/>
              </w:rPr>
              <w:t>×15%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风险收益特征</w:t>
            </w:r>
          </w:p>
        </w:tc>
        <w:tc>
          <w:tcPr>
            <w:tcW w:w="5479" w:type="dxa"/>
            <w:vAlign w:val="center"/>
          </w:tcPr>
          <w:p w:rsidR="007D3B9A" w:rsidRDefault="007F15A2">
            <w:pPr>
              <w:adjustRightInd w:val="0"/>
              <w:spacing w:before="29" w:line="360" w:lineRule="auto"/>
              <w:ind w:left="17"/>
              <w:rPr>
                <w:rFonts w:eastAsiaTheme="minorEastAsia"/>
                <w:color w:val="000000" w:themeColor="text1"/>
              </w:rPr>
            </w:pPr>
            <w:r>
              <w:rPr>
                <w:rFonts w:eastAsiaTheme="minorEastAsia"/>
                <w:color w:val="000000" w:themeColor="text1"/>
                <w:kern w:val="0"/>
              </w:rPr>
              <w:t>本基金属于股票型基金产品，预期风险和收益水平高于混合型基金、债券型基金和货币市场基金</w:t>
            </w:r>
            <w:r>
              <w:rPr>
                <w:rFonts w:eastAsiaTheme="minorEastAsia"/>
                <w:color w:val="000000" w:themeColor="text1"/>
                <w:kern w:val="0"/>
              </w:rPr>
              <w:t xml:space="preserve"> </w:t>
            </w:r>
            <w:r>
              <w:rPr>
                <w:rFonts w:eastAsiaTheme="minorEastAsia"/>
                <w:color w:val="000000" w:themeColor="text1"/>
                <w:kern w:val="0"/>
              </w:rPr>
              <w:t>，属于较高风险收益水平的基金产品。</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根据</w:t>
            </w:r>
            <w:r w:rsidRPr="00FF6B9A">
              <w:rPr>
                <w:rFonts w:eastAsiaTheme="minorEastAsia"/>
                <w:color w:val="000000" w:themeColor="text1"/>
                <w:kern w:val="0"/>
              </w:rPr>
              <w:t>2017</w:t>
            </w:r>
            <w:r w:rsidRPr="00FF6B9A">
              <w:rPr>
                <w:rFonts w:eastAsiaTheme="minorEastAsia"/>
                <w:color w:val="000000" w:themeColor="text1"/>
                <w:kern w:val="0"/>
              </w:rPr>
              <w:t>年</w:t>
            </w:r>
            <w:r w:rsidRPr="00FF6B9A">
              <w:rPr>
                <w:rFonts w:eastAsiaTheme="minorEastAsia"/>
                <w:color w:val="000000" w:themeColor="text1"/>
                <w:kern w:val="0"/>
              </w:rPr>
              <w:t>7</w:t>
            </w:r>
            <w:r w:rsidRPr="00FF6B9A">
              <w:rPr>
                <w:rFonts w:eastAsiaTheme="minorEastAsia"/>
                <w:color w:val="000000" w:themeColor="text1"/>
                <w:kern w:val="0"/>
              </w:rPr>
              <w:t>月</w:t>
            </w:r>
            <w:r w:rsidRPr="00FF6B9A">
              <w:rPr>
                <w:rFonts w:eastAsiaTheme="minorEastAsia"/>
                <w:color w:val="000000" w:themeColor="text1"/>
                <w:kern w:val="0"/>
              </w:rPr>
              <w:t>1</w:t>
            </w:r>
            <w:r w:rsidRPr="00FF6B9A">
              <w:rPr>
                <w:rFonts w:eastAsiaTheme="minorEastAsia"/>
                <w:color w:val="000000" w:themeColor="text1"/>
                <w:kern w:val="0"/>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上投摩根基金管理有限公司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7F15A2" w:rsidRPr="00FF6B9A" w:rsidTr="007F15A2">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7F15A2" w:rsidRPr="00FF6B9A" w:rsidTr="007F15A2">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70,281,995.59</w:t>
            </w:r>
          </w:p>
        </w:tc>
      </w:tr>
      <w:tr w:rsidR="007F15A2" w:rsidRPr="00FF6B9A" w:rsidTr="007F15A2">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-65,029,703.50</w:t>
            </w:r>
          </w:p>
        </w:tc>
      </w:tr>
      <w:tr w:rsidR="007F15A2" w:rsidRPr="00FF6B9A" w:rsidTr="007F15A2">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-0.1225</w:t>
            </w:r>
          </w:p>
        </w:tc>
      </w:tr>
      <w:tr w:rsidR="007F15A2" w:rsidRPr="00FF6B9A" w:rsidTr="007F15A2">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1,411,122,501.70</w:t>
            </w:r>
          </w:p>
        </w:tc>
      </w:tr>
      <w:tr w:rsidR="007F15A2" w:rsidRPr="00FF6B9A" w:rsidTr="007F15A2">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2.7729</w:t>
            </w:r>
          </w:p>
        </w:tc>
      </w:tr>
    </w:tbl>
    <w:p w:rsidR="007D3B9A" w:rsidRDefault="007F15A2">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lastRenderedPageBreak/>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7D3B9A">
        <w:tc>
          <w:tcPr>
            <w:tcW w:w="1395" w:type="dxa"/>
            <w:vAlign w:val="center"/>
          </w:tcPr>
          <w:p w:rsidR="007D3B9A" w:rsidRDefault="007F15A2">
            <w:pPr>
              <w:jc w:val="left"/>
            </w:pPr>
            <w:r>
              <w:rPr>
                <w:rFonts w:eastAsiaTheme="minorEastAsia"/>
                <w:color w:val="000000" w:themeColor="text1"/>
                <w:kern w:val="0"/>
              </w:rPr>
              <w:t>过去三个月</w:t>
            </w:r>
          </w:p>
        </w:tc>
        <w:tc>
          <w:tcPr>
            <w:tcW w:w="1092" w:type="dxa"/>
            <w:vAlign w:val="center"/>
          </w:tcPr>
          <w:p w:rsidR="007D3B9A" w:rsidRDefault="007F15A2">
            <w:pPr>
              <w:jc w:val="center"/>
            </w:pPr>
            <w:r>
              <w:rPr>
                <w:rFonts w:eastAsiaTheme="minorEastAsia"/>
                <w:color w:val="000000" w:themeColor="text1"/>
                <w:kern w:val="0"/>
              </w:rPr>
              <w:t>-4.13%</w:t>
            </w:r>
          </w:p>
        </w:tc>
        <w:tc>
          <w:tcPr>
            <w:tcW w:w="1161" w:type="dxa"/>
            <w:vAlign w:val="center"/>
          </w:tcPr>
          <w:p w:rsidR="007D3B9A" w:rsidRDefault="007F15A2">
            <w:pPr>
              <w:jc w:val="center"/>
            </w:pPr>
            <w:r>
              <w:rPr>
                <w:rFonts w:eastAsiaTheme="minorEastAsia"/>
                <w:color w:val="000000" w:themeColor="text1"/>
                <w:kern w:val="0"/>
              </w:rPr>
              <w:t>0.97%</w:t>
            </w:r>
          </w:p>
        </w:tc>
        <w:tc>
          <w:tcPr>
            <w:tcW w:w="1181" w:type="dxa"/>
            <w:vAlign w:val="center"/>
          </w:tcPr>
          <w:p w:rsidR="007D3B9A" w:rsidRDefault="007F15A2">
            <w:pPr>
              <w:jc w:val="center"/>
            </w:pPr>
            <w:r>
              <w:rPr>
                <w:rFonts w:eastAsiaTheme="minorEastAsia"/>
                <w:color w:val="000000" w:themeColor="text1"/>
                <w:kern w:val="0"/>
              </w:rPr>
              <w:t>-5.63%</w:t>
            </w:r>
          </w:p>
        </w:tc>
        <w:tc>
          <w:tcPr>
            <w:tcW w:w="1188" w:type="dxa"/>
            <w:vAlign w:val="center"/>
          </w:tcPr>
          <w:p w:rsidR="007D3B9A" w:rsidRDefault="007F15A2">
            <w:pPr>
              <w:jc w:val="center"/>
            </w:pPr>
            <w:r>
              <w:rPr>
                <w:rFonts w:eastAsiaTheme="minorEastAsia"/>
                <w:color w:val="000000" w:themeColor="text1"/>
                <w:kern w:val="0"/>
              </w:rPr>
              <w:t>1.02%</w:t>
            </w:r>
          </w:p>
        </w:tc>
        <w:tc>
          <w:tcPr>
            <w:tcW w:w="1199" w:type="dxa"/>
            <w:vAlign w:val="center"/>
          </w:tcPr>
          <w:p w:rsidR="007D3B9A" w:rsidRDefault="007F15A2">
            <w:pPr>
              <w:jc w:val="center"/>
            </w:pPr>
            <w:r>
              <w:rPr>
                <w:rFonts w:eastAsiaTheme="minorEastAsia"/>
                <w:color w:val="000000" w:themeColor="text1"/>
                <w:kern w:val="0"/>
              </w:rPr>
              <w:t>1.50%</w:t>
            </w:r>
          </w:p>
        </w:tc>
        <w:tc>
          <w:tcPr>
            <w:tcW w:w="1204" w:type="dxa"/>
            <w:vAlign w:val="center"/>
          </w:tcPr>
          <w:p w:rsidR="007D3B9A" w:rsidRDefault="007F15A2">
            <w:pPr>
              <w:jc w:val="center"/>
            </w:pPr>
            <w:r>
              <w:rPr>
                <w:rFonts w:eastAsiaTheme="minorEastAsia"/>
                <w:color w:val="000000" w:themeColor="text1"/>
                <w:kern w:val="0"/>
              </w:rPr>
              <w:t>-0.05%</w:t>
            </w:r>
          </w:p>
        </w:tc>
      </w:tr>
      <w:tr w:rsidR="007D3B9A">
        <w:tc>
          <w:tcPr>
            <w:tcW w:w="1395" w:type="dxa"/>
            <w:vAlign w:val="center"/>
          </w:tcPr>
          <w:p w:rsidR="007D3B9A" w:rsidRDefault="007F15A2">
            <w:pPr>
              <w:jc w:val="left"/>
            </w:pPr>
            <w:r>
              <w:rPr>
                <w:rFonts w:eastAsiaTheme="minorEastAsia"/>
                <w:color w:val="000000" w:themeColor="text1"/>
                <w:kern w:val="0"/>
              </w:rPr>
              <w:t>过去六个月</w:t>
            </w:r>
          </w:p>
        </w:tc>
        <w:tc>
          <w:tcPr>
            <w:tcW w:w="1092" w:type="dxa"/>
            <w:vAlign w:val="center"/>
          </w:tcPr>
          <w:p w:rsidR="007D3B9A" w:rsidRDefault="007F15A2">
            <w:pPr>
              <w:jc w:val="center"/>
            </w:pPr>
            <w:r>
              <w:rPr>
                <w:rFonts w:eastAsiaTheme="minorEastAsia"/>
                <w:color w:val="000000" w:themeColor="text1"/>
                <w:kern w:val="0"/>
              </w:rPr>
              <w:t>-2.89%</w:t>
            </w:r>
          </w:p>
        </w:tc>
        <w:tc>
          <w:tcPr>
            <w:tcW w:w="1161" w:type="dxa"/>
            <w:vAlign w:val="center"/>
          </w:tcPr>
          <w:p w:rsidR="007D3B9A" w:rsidRDefault="007F15A2">
            <w:pPr>
              <w:jc w:val="center"/>
            </w:pPr>
            <w:r>
              <w:rPr>
                <w:rFonts w:eastAsiaTheme="minorEastAsia"/>
                <w:color w:val="000000" w:themeColor="text1"/>
                <w:kern w:val="0"/>
              </w:rPr>
              <w:t>0.92%</w:t>
            </w:r>
          </w:p>
        </w:tc>
        <w:tc>
          <w:tcPr>
            <w:tcW w:w="1181" w:type="dxa"/>
            <w:vAlign w:val="center"/>
          </w:tcPr>
          <w:p w:rsidR="007D3B9A" w:rsidRDefault="007F15A2">
            <w:pPr>
              <w:jc w:val="center"/>
            </w:pPr>
            <w:r>
              <w:rPr>
                <w:rFonts w:eastAsiaTheme="minorEastAsia"/>
                <w:color w:val="000000" w:themeColor="text1"/>
                <w:kern w:val="0"/>
              </w:rPr>
              <w:t>-2.81%</w:t>
            </w:r>
          </w:p>
        </w:tc>
        <w:tc>
          <w:tcPr>
            <w:tcW w:w="1188" w:type="dxa"/>
            <w:vAlign w:val="center"/>
          </w:tcPr>
          <w:p w:rsidR="007D3B9A" w:rsidRDefault="007F15A2">
            <w:pPr>
              <w:jc w:val="center"/>
            </w:pPr>
            <w:r>
              <w:rPr>
                <w:rFonts w:eastAsiaTheme="minorEastAsia"/>
                <w:color w:val="000000" w:themeColor="text1"/>
                <w:kern w:val="0"/>
              </w:rPr>
              <w:t>0.93%</w:t>
            </w:r>
          </w:p>
        </w:tc>
        <w:tc>
          <w:tcPr>
            <w:tcW w:w="1199" w:type="dxa"/>
            <w:vAlign w:val="center"/>
          </w:tcPr>
          <w:p w:rsidR="007D3B9A" w:rsidRDefault="007F15A2">
            <w:pPr>
              <w:jc w:val="center"/>
            </w:pPr>
            <w:r>
              <w:rPr>
                <w:rFonts w:eastAsiaTheme="minorEastAsia"/>
                <w:color w:val="000000" w:themeColor="text1"/>
                <w:kern w:val="0"/>
              </w:rPr>
              <w:t>-0.08%</w:t>
            </w:r>
          </w:p>
        </w:tc>
        <w:tc>
          <w:tcPr>
            <w:tcW w:w="1204" w:type="dxa"/>
            <w:vAlign w:val="center"/>
          </w:tcPr>
          <w:p w:rsidR="007D3B9A" w:rsidRDefault="007F15A2">
            <w:pPr>
              <w:jc w:val="center"/>
            </w:pPr>
            <w:r>
              <w:rPr>
                <w:rFonts w:eastAsiaTheme="minorEastAsia"/>
                <w:color w:val="000000" w:themeColor="text1"/>
                <w:kern w:val="0"/>
              </w:rPr>
              <w:t>-0.01%</w:t>
            </w:r>
          </w:p>
        </w:tc>
      </w:tr>
      <w:tr w:rsidR="007D3B9A">
        <w:tc>
          <w:tcPr>
            <w:tcW w:w="1395" w:type="dxa"/>
            <w:vAlign w:val="center"/>
          </w:tcPr>
          <w:p w:rsidR="007D3B9A" w:rsidRDefault="007F15A2">
            <w:pPr>
              <w:jc w:val="left"/>
            </w:pPr>
            <w:r>
              <w:rPr>
                <w:rFonts w:eastAsiaTheme="minorEastAsia"/>
                <w:color w:val="000000" w:themeColor="text1"/>
                <w:kern w:val="0"/>
              </w:rPr>
              <w:t>过去一年</w:t>
            </w:r>
          </w:p>
        </w:tc>
        <w:tc>
          <w:tcPr>
            <w:tcW w:w="1092" w:type="dxa"/>
            <w:vAlign w:val="center"/>
          </w:tcPr>
          <w:p w:rsidR="007D3B9A" w:rsidRDefault="007F15A2">
            <w:pPr>
              <w:jc w:val="center"/>
            </w:pPr>
            <w:r>
              <w:rPr>
                <w:rFonts w:eastAsiaTheme="minorEastAsia"/>
                <w:color w:val="000000" w:themeColor="text1"/>
                <w:kern w:val="0"/>
              </w:rPr>
              <w:t>15.46%</w:t>
            </w:r>
          </w:p>
        </w:tc>
        <w:tc>
          <w:tcPr>
            <w:tcW w:w="1161" w:type="dxa"/>
            <w:vAlign w:val="center"/>
          </w:tcPr>
          <w:p w:rsidR="007D3B9A" w:rsidRDefault="007F15A2">
            <w:pPr>
              <w:jc w:val="center"/>
            </w:pPr>
            <w:r>
              <w:rPr>
                <w:rFonts w:eastAsiaTheme="minorEastAsia"/>
                <w:color w:val="000000" w:themeColor="text1"/>
                <w:kern w:val="0"/>
              </w:rPr>
              <w:t>1.07%</w:t>
            </w:r>
          </w:p>
        </w:tc>
        <w:tc>
          <w:tcPr>
            <w:tcW w:w="1181" w:type="dxa"/>
            <w:vAlign w:val="center"/>
          </w:tcPr>
          <w:p w:rsidR="007D3B9A" w:rsidRDefault="007F15A2">
            <w:pPr>
              <w:jc w:val="center"/>
            </w:pPr>
            <w:r>
              <w:rPr>
                <w:rFonts w:eastAsiaTheme="minorEastAsia"/>
                <w:color w:val="000000" w:themeColor="text1"/>
                <w:kern w:val="0"/>
              </w:rPr>
              <w:t>5.55%</w:t>
            </w:r>
          </w:p>
        </w:tc>
        <w:tc>
          <w:tcPr>
            <w:tcW w:w="1188" w:type="dxa"/>
            <w:vAlign w:val="center"/>
          </w:tcPr>
          <w:p w:rsidR="007D3B9A" w:rsidRDefault="007F15A2">
            <w:pPr>
              <w:jc w:val="center"/>
            </w:pPr>
            <w:r>
              <w:rPr>
                <w:rFonts w:eastAsiaTheme="minorEastAsia"/>
                <w:color w:val="000000" w:themeColor="text1"/>
                <w:kern w:val="0"/>
              </w:rPr>
              <w:t>1.03%</w:t>
            </w:r>
          </w:p>
        </w:tc>
        <w:tc>
          <w:tcPr>
            <w:tcW w:w="1199" w:type="dxa"/>
            <w:vAlign w:val="center"/>
          </w:tcPr>
          <w:p w:rsidR="007D3B9A" w:rsidRDefault="007F15A2">
            <w:pPr>
              <w:jc w:val="center"/>
            </w:pPr>
            <w:r>
              <w:rPr>
                <w:rFonts w:eastAsiaTheme="minorEastAsia"/>
                <w:color w:val="000000" w:themeColor="text1"/>
                <w:kern w:val="0"/>
              </w:rPr>
              <w:t>9.91%</w:t>
            </w:r>
          </w:p>
        </w:tc>
        <w:tc>
          <w:tcPr>
            <w:tcW w:w="1204" w:type="dxa"/>
            <w:vAlign w:val="center"/>
          </w:tcPr>
          <w:p w:rsidR="007D3B9A" w:rsidRDefault="007F15A2">
            <w:pPr>
              <w:jc w:val="center"/>
            </w:pPr>
            <w:r>
              <w:rPr>
                <w:rFonts w:eastAsiaTheme="minorEastAsia"/>
                <w:color w:val="000000" w:themeColor="text1"/>
                <w:kern w:val="0"/>
              </w:rPr>
              <w:t>0.04%</w:t>
            </w:r>
          </w:p>
        </w:tc>
      </w:tr>
      <w:tr w:rsidR="007D3B9A">
        <w:tc>
          <w:tcPr>
            <w:tcW w:w="1395" w:type="dxa"/>
            <w:vAlign w:val="center"/>
          </w:tcPr>
          <w:p w:rsidR="007D3B9A" w:rsidRDefault="007F15A2">
            <w:pPr>
              <w:jc w:val="left"/>
            </w:pPr>
            <w:r>
              <w:rPr>
                <w:rFonts w:eastAsiaTheme="minorEastAsia"/>
                <w:color w:val="000000" w:themeColor="text1"/>
                <w:kern w:val="0"/>
              </w:rPr>
              <w:t>过去三年</w:t>
            </w:r>
          </w:p>
        </w:tc>
        <w:tc>
          <w:tcPr>
            <w:tcW w:w="1092" w:type="dxa"/>
            <w:vAlign w:val="center"/>
          </w:tcPr>
          <w:p w:rsidR="007D3B9A" w:rsidRDefault="007F15A2">
            <w:pPr>
              <w:jc w:val="center"/>
            </w:pPr>
            <w:r>
              <w:rPr>
                <w:rFonts w:eastAsiaTheme="minorEastAsia"/>
                <w:color w:val="000000" w:themeColor="text1"/>
                <w:kern w:val="0"/>
              </w:rPr>
              <w:t>94.04%</w:t>
            </w:r>
          </w:p>
        </w:tc>
        <w:tc>
          <w:tcPr>
            <w:tcW w:w="1161" w:type="dxa"/>
            <w:vAlign w:val="center"/>
          </w:tcPr>
          <w:p w:rsidR="007D3B9A" w:rsidRDefault="007F15A2">
            <w:pPr>
              <w:jc w:val="center"/>
            </w:pPr>
            <w:r>
              <w:rPr>
                <w:rFonts w:eastAsiaTheme="minorEastAsia"/>
                <w:color w:val="000000" w:themeColor="text1"/>
                <w:kern w:val="0"/>
              </w:rPr>
              <w:t>1.38%</w:t>
            </w:r>
          </w:p>
        </w:tc>
        <w:tc>
          <w:tcPr>
            <w:tcW w:w="1181" w:type="dxa"/>
            <w:vAlign w:val="center"/>
          </w:tcPr>
          <w:p w:rsidR="007D3B9A" w:rsidRDefault="007F15A2">
            <w:pPr>
              <w:jc w:val="center"/>
            </w:pPr>
            <w:r>
              <w:rPr>
                <w:rFonts w:eastAsiaTheme="minorEastAsia"/>
                <w:color w:val="000000" w:themeColor="text1"/>
                <w:kern w:val="0"/>
              </w:rPr>
              <w:t>36.10%</w:t>
            </w:r>
          </w:p>
        </w:tc>
        <w:tc>
          <w:tcPr>
            <w:tcW w:w="1188" w:type="dxa"/>
            <w:vAlign w:val="center"/>
          </w:tcPr>
          <w:p w:rsidR="007D3B9A" w:rsidRDefault="007F15A2">
            <w:pPr>
              <w:jc w:val="center"/>
            </w:pPr>
            <w:r>
              <w:rPr>
                <w:rFonts w:eastAsiaTheme="minorEastAsia"/>
                <w:color w:val="000000" w:themeColor="text1"/>
                <w:kern w:val="0"/>
              </w:rPr>
              <w:t>1.15%</w:t>
            </w:r>
          </w:p>
        </w:tc>
        <w:tc>
          <w:tcPr>
            <w:tcW w:w="1199" w:type="dxa"/>
            <w:vAlign w:val="center"/>
          </w:tcPr>
          <w:p w:rsidR="007D3B9A" w:rsidRDefault="007F15A2">
            <w:pPr>
              <w:jc w:val="center"/>
            </w:pPr>
            <w:r>
              <w:rPr>
                <w:rFonts w:eastAsiaTheme="minorEastAsia"/>
                <w:color w:val="000000" w:themeColor="text1"/>
                <w:kern w:val="0"/>
              </w:rPr>
              <w:t>57.94%</w:t>
            </w:r>
          </w:p>
        </w:tc>
        <w:tc>
          <w:tcPr>
            <w:tcW w:w="1204" w:type="dxa"/>
            <w:vAlign w:val="center"/>
          </w:tcPr>
          <w:p w:rsidR="007D3B9A" w:rsidRDefault="007F15A2">
            <w:pPr>
              <w:jc w:val="center"/>
            </w:pPr>
            <w:r>
              <w:rPr>
                <w:rFonts w:eastAsiaTheme="minorEastAsia"/>
                <w:color w:val="000000" w:themeColor="text1"/>
                <w:kern w:val="0"/>
              </w:rPr>
              <w:t>0.23%</w:t>
            </w:r>
          </w:p>
        </w:tc>
      </w:tr>
      <w:tr w:rsidR="007D3B9A">
        <w:tc>
          <w:tcPr>
            <w:tcW w:w="1395" w:type="dxa"/>
            <w:vAlign w:val="center"/>
          </w:tcPr>
          <w:p w:rsidR="007D3B9A" w:rsidRDefault="007F15A2">
            <w:pPr>
              <w:jc w:val="left"/>
            </w:pPr>
            <w:r>
              <w:rPr>
                <w:rFonts w:eastAsiaTheme="minorEastAsia"/>
                <w:color w:val="000000" w:themeColor="text1"/>
                <w:kern w:val="0"/>
              </w:rPr>
              <w:t>过去五年</w:t>
            </w:r>
          </w:p>
        </w:tc>
        <w:tc>
          <w:tcPr>
            <w:tcW w:w="1092" w:type="dxa"/>
            <w:vAlign w:val="center"/>
          </w:tcPr>
          <w:p w:rsidR="007D3B9A" w:rsidRDefault="007F15A2">
            <w:pPr>
              <w:jc w:val="center"/>
            </w:pPr>
            <w:r>
              <w:rPr>
                <w:rFonts w:eastAsiaTheme="minorEastAsia"/>
                <w:color w:val="000000" w:themeColor="text1"/>
                <w:kern w:val="0"/>
              </w:rPr>
              <w:t>76.04%</w:t>
            </w:r>
          </w:p>
        </w:tc>
        <w:tc>
          <w:tcPr>
            <w:tcW w:w="1161" w:type="dxa"/>
            <w:vAlign w:val="center"/>
          </w:tcPr>
          <w:p w:rsidR="007D3B9A" w:rsidRDefault="007F15A2">
            <w:pPr>
              <w:jc w:val="center"/>
            </w:pPr>
            <w:r>
              <w:rPr>
                <w:rFonts w:eastAsiaTheme="minorEastAsia"/>
                <w:color w:val="000000" w:themeColor="text1"/>
                <w:kern w:val="0"/>
              </w:rPr>
              <w:t>1.31%</w:t>
            </w:r>
          </w:p>
        </w:tc>
        <w:tc>
          <w:tcPr>
            <w:tcW w:w="1181" w:type="dxa"/>
            <w:vAlign w:val="center"/>
          </w:tcPr>
          <w:p w:rsidR="007D3B9A" w:rsidRDefault="007F15A2">
            <w:pPr>
              <w:jc w:val="center"/>
            </w:pPr>
            <w:r>
              <w:rPr>
                <w:rFonts w:eastAsiaTheme="minorEastAsia"/>
                <w:color w:val="000000" w:themeColor="text1"/>
                <w:kern w:val="0"/>
              </w:rPr>
              <w:t>42.37%</w:t>
            </w:r>
          </w:p>
        </w:tc>
        <w:tc>
          <w:tcPr>
            <w:tcW w:w="1188" w:type="dxa"/>
            <w:vAlign w:val="center"/>
          </w:tcPr>
          <w:p w:rsidR="007D3B9A" w:rsidRDefault="007F15A2">
            <w:pPr>
              <w:jc w:val="center"/>
            </w:pPr>
            <w:r>
              <w:rPr>
                <w:rFonts w:eastAsiaTheme="minorEastAsia"/>
                <w:color w:val="000000" w:themeColor="text1"/>
                <w:kern w:val="0"/>
              </w:rPr>
              <w:t>1.01%</w:t>
            </w:r>
          </w:p>
        </w:tc>
        <w:tc>
          <w:tcPr>
            <w:tcW w:w="1199" w:type="dxa"/>
            <w:vAlign w:val="center"/>
          </w:tcPr>
          <w:p w:rsidR="007D3B9A" w:rsidRDefault="007F15A2">
            <w:pPr>
              <w:jc w:val="center"/>
            </w:pPr>
            <w:r>
              <w:rPr>
                <w:rFonts w:eastAsiaTheme="minorEastAsia"/>
                <w:color w:val="000000" w:themeColor="text1"/>
                <w:kern w:val="0"/>
              </w:rPr>
              <w:t>33.67%</w:t>
            </w:r>
          </w:p>
        </w:tc>
        <w:tc>
          <w:tcPr>
            <w:tcW w:w="1204" w:type="dxa"/>
            <w:vAlign w:val="center"/>
          </w:tcPr>
          <w:p w:rsidR="007D3B9A" w:rsidRDefault="007F15A2">
            <w:pPr>
              <w:jc w:val="center"/>
            </w:pPr>
            <w:r>
              <w:rPr>
                <w:rFonts w:eastAsiaTheme="minorEastAsia"/>
                <w:color w:val="000000" w:themeColor="text1"/>
                <w:kern w:val="0"/>
              </w:rPr>
              <w:t>0.30%</w:t>
            </w:r>
          </w:p>
        </w:tc>
      </w:tr>
      <w:tr w:rsidR="007D3B9A">
        <w:tc>
          <w:tcPr>
            <w:tcW w:w="1395" w:type="dxa"/>
            <w:vAlign w:val="center"/>
          </w:tcPr>
          <w:p w:rsidR="007D3B9A" w:rsidRDefault="007F15A2">
            <w:pPr>
              <w:jc w:val="left"/>
            </w:pPr>
            <w:r>
              <w:rPr>
                <w:rFonts w:eastAsiaTheme="minorEastAsia"/>
                <w:color w:val="000000" w:themeColor="text1"/>
                <w:kern w:val="0"/>
              </w:rPr>
              <w:t>自基金合同生效起至今</w:t>
            </w:r>
          </w:p>
        </w:tc>
        <w:tc>
          <w:tcPr>
            <w:tcW w:w="1092" w:type="dxa"/>
            <w:vAlign w:val="center"/>
          </w:tcPr>
          <w:p w:rsidR="007D3B9A" w:rsidRDefault="007F15A2">
            <w:pPr>
              <w:jc w:val="center"/>
            </w:pPr>
            <w:r>
              <w:rPr>
                <w:rFonts w:eastAsiaTheme="minorEastAsia"/>
                <w:color w:val="000000" w:themeColor="text1"/>
                <w:kern w:val="0"/>
              </w:rPr>
              <w:t>223.21%</w:t>
            </w:r>
          </w:p>
        </w:tc>
        <w:tc>
          <w:tcPr>
            <w:tcW w:w="1161" w:type="dxa"/>
            <w:vAlign w:val="center"/>
          </w:tcPr>
          <w:p w:rsidR="007D3B9A" w:rsidRDefault="007F15A2">
            <w:pPr>
              <w:jc w:val="center"/>
            </w:pPr>
            <w:r>
              <w:rPr>
                <w:rFonts w:eastAsiaTheme="minorEastAsia"/>
                <w:color w:val="000000" w:themeColor="text1"/>
                <w:kern w:val="0"/>
              </w:rPr>
              <w:t>1.63%</w:t>
            </w:r>
          </w:p>
        </w:tc>
        <w:tc>
          <w:tcPr>
            <w:tcW w:w="1181" w:type="dxa"/>
            <w:vAlign w:val="center"/>
          </w:tcPr>
          <w:p w:rsidR="007D3B9A" w:rsidRDefault="007F15A2">
            <w:pPr>
              <w:jc w:val="center"/>
            </w:pPr>
            <w:r>
              <w:rPr>
                <w:rFonts w:eastAsiaTheme="minorEastAsia"/>
                <w:color w:val="000000" w:themeColor="text1"/>
                <w:kern w:val="0"/>
              </w:rPr>
              <w:t>104.01%</w:t>
            </w:r>
          </w:p>
        </w:tc>
        <w:tc>
          <w:tcPr>
            <w:tcW w:w="1188" w:type="dxa"/>
            <w:vAlign w:val="center"/>
          </w:tcPr>
          <w:p w:rsidR="007D3B9A" w:rsidRDefault="007F15A2">
            <w:pPr>
              <w:jc w:val="center"/>
            </w:pPr>
            <w:r>
              <w:rPr>
                <w:rFonts w:eastAsiaTheme="minorEastAsia"/>
                <w:color w:val="000000" w:themeColor="text1"/>
                <w:kern w:val="0"/>
              </w:rPr>
              <w:t>1.25%</w:t>
            </w:r>
          </w:p>
        </w:tc>
        <w:tc>
          <w:tcPr>
            <w:tcW w:w="1199" w:type="dxa"/>
            <w:vAlign w:val="center"/>
          </w:tcPr>
          <w:p w:rsidR="007D3B9A" w:rsidRDefault="007F15A2">
            <w:pPr>
              <w:jc w:val="center"/>
            </w:pPr>
            <w:r>
              <w:rPr>
                <w:rFonts w:eastAsiaTheme="minorEastAsia"/>
                <w:color w:val="000000" w:themeColor="text1"/>
                <w:kern w:val="0"/>
              </w:rPr>
              <w:t>119.20%</w:t>
            </w:r>
          </w:p>
        </w:tc>
        <w:tc>
          <w:tcPr>
            <w:tcW w:w="1204" w:type="dxa"/>
            <w:vAlign w:val="center"/>
          </w:tcPr>
          <w:p w:rsidR="007D3B9A" w:rsidRDefault="007F15A2">
            <w:pPr>
              <w:jc w:val="center"/>
            </w:pPr>
            <w:r>
              <w:rPr>
                <w:rFonts w:eastAsiaTheme="minorEastAsia"/>
                <w:color w:val="000000" w:themeColor="text1"/>
                <w:kern w:val="0"/>
              </w:rPr>
              <w:t>0.38%</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上投摩根核心成长股票型证券投资基金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(2014</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2</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10</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9</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7D3B9A" w:rsidRDefault="007F15A2">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2</w:t>
      </w:r>
      <w:r>
        <w:rPr>
          <w:rFonts w:eastAsiaTheme="minorEastAsia"/>
          <w:color w:val="000000" w:themeColor="text1"/>
        </w:rPr>
        <w:t>月</w:t>
      </w:r>
      <w:r>
        <w:rPr>
          <w:rFonts w:eastAsiaTheme="minorEastAsia"/>
          <w:color w:val="000000" w:themeColor="text1"/>
        </w:rPr>
        <w:t>10</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 xml:space="preserve"> 6 </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7D3B9A">
        <w:tc>
          <w:tcPr>
            <w:tcW w:w="851" w:type="dxa"/>
            <w:vAlign w:val="center"/>
          </w:tcPr>
          <w:p w:rsidR="007D3B9A" w:rsidRDefault="007F15A2">
            <w:pPr>
              <w:jc w:val="center"/>
            </w:pPr>
            <w:r>
              <w:rPr>
                <w:rFonts w:eastAsiaTheme="minorEastAsia"/>
                <w:color w:val="000000" w:themeColor="text1"/>
              </w:rPr>
              <w:t>李博</w:t>
            </w:r>
          </w:p>
        </w:tc>
        <w:tc>
          <w:tcPr>
            <w:tcW w:w="850" w:type="dxa"/>
            <w:vAlign w:val="center"/>
          </w:tcPr>
          <w:p w:rsidR="007D3B9A" w:rsidRDefault="007F15A2">
            <w:pPr>
              <w:jc w:val="center"/>
            </w:pPr>
            <w:r>
              <w:rPr>
                <w:rFonts w:eastAsiaTheme="minorEastAsia"/>
                <w:color w:val="000000" w:themeColor="text1"/>
              </w:rPr>
              <w:t>本基金基金经理</w:t>
            </w:r>
          </w:p>
        </w:tc>
        <w:tc>
          <w:tcPr>
            <w:tcW w:w="1560" w:type="dxa"/>
            <w:vAlign w:val="center"/>
          </w:tcPr>
          <w:p w:rsidR="007D3B9A" w:rsidRDefault="007F15A2">
            <w:pPr>
              <w:jc w:val="center"/>
            </w:pPr>
            <w:r>
              <w:rPr>
                <w:rFonts w:eastAsiaTheme="minorEastAsia"/>
                <w:color w:val="000000" w:themeColor="text1"/>
              </w:rPr>
              <w:t>2014-12-31</w:t>
            </w:r>
          </w:p>
        </w:tc>
        <w:tc>
          <w:tcPr>
            <w:tcW w:w="1559" w:type="dxa"/>
            <w:vAlign w:val="center"/>
          </w:tcPr>
          <w:p w:rsidR="007D3B9A" w:rsidRDefault="007F15A2">
            <w:pPr>
              <w:jc w:val="center"/>
            </w:pPr>
            <w:r>
              <w:rPr>
                <w:rFonts w:eastAsiaTheme="minorEastAsia"/>
                <w:color w:val="000000" w:themeColor="text1"/>
              </w:rPr>
              <w:t>-</w:t>
            </w:r>
          </w:p>
        </w:tc>
        <w:tc>
          <w:tcPr>
            <w:tcW w:w="1417" w:type="dxa"/>
            <w:vAlign w:val="center"/>
          </w:tcPr>
          <w:p w:rsidR="007D3B9A" w:rsidRDefault="007F15A2">
            <w:pPr>
              <w:jc w:val="center"/>
            </w:pPr>
            <w:r>
              <w:rPr>
                <w:rFonts w:eastAsiaTheme="minorEastAsia"/>
                <w:color w:val="000000" w:themeColor="text1"/>
              </w:rPr>
              <w:t>12</w:t>
            </w:r>
            <w:r>
              <w:rPr>
                <w:rFonts w:eastAsiaTheme="minorEastAsia"/>
                <w:color w:val="000000" w:themeColor="text1"/>
              </w:rPr>
              <w:t>年</w:t>
            </w:r>
          </w:p>
        </w:tc>
        <w:tc>
          <w:tcPr>
            <w:tcW w:w="2694" w:type="dxa"/>
            <w:vAlign w:val="center"/>
          </w:tcPr>
          <w:p w:rsidR="007D3B9A" w:rsidRDefault="007F15A2">
            <w:r>
              <w:rPr>
                <w:rFonts w:eastAsiaTheme="minorEastAsia"/>
                <w:color w:val="000000" w:themeColor="text1"/>
              </w:rPr>
              <w:t>李博先生，上海交通大学硕士，自</w:t>
            </w:r>
            <w:r>
              <w:rPr>
                <w:rFonts w:eastAsiaTheme="minorEastAsia"/>
                <w:color w:val="000000" w:themeColor="text1"/>
              </w:rPr>
              <w:t>2009</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月至</w:t>
            </w:r>
            <w:r>
              <w:rPr>
                <w:rFonts w:eastAsiaTheme="minorEastAsia"/>
                <w:color w:val="000000" w:themeColor="text1"/>
              </w:rPr>
              <w:t>2010</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月在中银国际证券有限公司担任研究员，负责研究方面的工作。自</w:t>
            </w:r>
            <w:r>
              <w:rPr>
                <w:rFonts w:eastAsiaTheme="minorEastAsia"/>
                <w:color w:val="000000" w:themeColor="text1"/>
              </w:rPr>
              <w:t>2010</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月起加入上投摩根基金管理有限公司，先后担任行业专家、基金经理、资深基金经理、国内权益投资部价值成长组组长兼资深基金经理，自</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月起担任上投摩根核心成长股票型证券投资基金基金经理，</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月至</w:t>
            </w:r>
            <w:r>
              <w:rPr>
                <w:rFonts w:eastAsiaTheme="minorEastAsia"/>
                <w:color w:val="000000" w:themeColor="text1"/>
              </w:rPr>
              <w:t>2016</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月同时担任上投摩根科技前沿灵活配置混合型证券投资基金基金经理，自</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月起同时担任上投摩根阿尔法混合型证券投资基金基金经理，自</w:t>
            </w:r>
            <w:r>
              <w:rPr>
                <w:rFonts w:eastAsiaTheme="minorEastAsia"/>
                <w:color w:val="000000" w:themeColor="text1"/>
              </w:rPr>
              <w:t>2016</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月起</w:t>
            </w:r>
            <w:r>
              <w:rPr>
                <w:rFonts w:eastAsiaTheme="minorEastAsia"/>
                <w:color w:val="000000" w:themeColor="text1"/>
              </w:rPr>
              <w:t>同时担任上投摩根双息平衡混合型证券投资基金基金经理，自</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月起同时担任上投摩根核心精选股票型证券投资基金基金经理。</w:t>
            </w:r>
          </w:p>
        </w:tc>
      </w:tr>
    </w:tbl>
    <w:p w:rsidR="007D3B9A" w:rsidRDefault="007F15A2">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 xml:space="preserve">1. </w:t>
      </w:r>
      <w:r>
        <w:rPr>
          <w:rFonts w:eastAsiaTheme="minorEastAsia"/>
          <w:color w:val="000000" w:themeColor="text1"/>
        </w:rPr>
        <w:t>任职日期和离任日期均指根据公司决定确定的聘任日期和解聘日期。</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 xml:space="preserve">2. </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在本报告期内，基金管理人不存在损害基金份额持有人利益的行为，勤勉尽责地为基金份额持有人谋求利益。基金管理人遵守了《证券投资基金法》及其他有关法律法规、《上投</w:t>
      </w:r>
      <w:r w:rsidRPr="00FF6B9A">
        <w:rPr>
          <w:rFonts w:eastAsiaTheme="minorEastAsia"/>
          <w:color w:val="000000" w:themeColor="text1"/>
        </w:rPr>
        <w:lastRenderedPageBreak/>
        <w:t>摩根核心成长股票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7D3B9A" w:rsidRDefault="007F15A2">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7D3B9A" w:rsidRDefault="007F15A2">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rPr>
        <w:t>，本公司通过对手库控制和交易室询价机制，严格防范对手风险并检查价格公允性；对于申购投资行为，本公司遵循价格优先、比例分配的原则，根据事前独立申报的价格和数量对交易结果进行公平分配。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7D3B9A" w:rsidRDefault="007F15A2">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7D3B9A" w:rsidRDefault="007F15A2">
      <w:pPr>
        <w:spacing w:line="360" w:lineRule="auto"/>
        <w:ind w:firstLineChars="200" w:firstLine="420"/>
        <w:rPr>
          <w:rFonts w:eastAsiaTheme="minorEastAsia"/>
          <w:color w:val="000000" w:themeColor="text1"/>
        </w:rPr>
      </w:pPr>
      <w:r>
        <w:rPr>
          <w:rFonts w:eastAsiaTheme="minorEastAsia"/>
          <w:color w:val="000000" w:themeColor="text1"/>
        </w:rPr>
        <w:t>三季度，市场震荡下行，沪深</w:t>
      </w:r>
      <w:r>
        <w:rPr>
          <w:rFonts w:eastAsiaTheme="minorEastAsia"/>
          <w:color w:val="000000" w:themeColor="text1"/>
        </w:rPr>
        <w:t>300</w:t>
      </w:r>
      <w:r>
        <w:rPr>
          <w:rFonts w:eastAsiaTheme="minorEastAsia"/>
          <w:color w:val="000000" w:themeColor="text1"/>
        </w:rPr>
        <w:t>下跌</w:t>
      </w:r>
      <w:r>
        <w:rPr>
          <w:rFonts w:eastAsiaTheme="minorEastAsia"/>
          <w:color w:val="000000" w:themeColor="text1"/>
        </w:rPr>
        <w:t>6.85%</w:t>
      </w:r>
      <w:r>
        <w:rPr>
          <w:rFonts w:eastAsiaTheme="minorEastAsia"/>
          <w:color w:val="000000" w:themeColor="text1"/>
        </w:rPr>
        <w:t>，创业板下跌</w:t>
      </w:r>
      <w:r>
        <w:rPr>
          <w:rFonts w:eastAsiaTheme="minorEastAsia"/>
          <w:color w:val="000000" w:themeColor="text1"/>
        </w:rPr>
        <w:t>6.69%</w:t>
      </w:r>
      <w:r>
        <w:rPr>
          <w:rFonts w:eastAsiaTheme="minorEastAsia"/>
          <w:color w:val="000000" w:themeColor="text1"/>
        </w:rPr>
        <w:t>。板块方面，结构分化较大，煤炭、有色和钢铁领涨，餐饮旅游、医药和食品饮料领跌。三季度，在整个经济增速放缓的情况下，个别增速较快行业出现了较明显的涨幅，如周期行业中的煤炭、有色，新</w:t>
      </w:r>
      <w:r>
        <w:rPr>
          <w:rFonts w:eastAsiaTheme="minorEastAsia"/>
          <w:color w:val="000000" w:themeColor="text1"/>
        </w:rPr>
        <w:lastRenderedPageBreak/>
        <w:t>能源汽车等，业绩依然是影响公司股价的较重要因素。本基金重点配置了估值和成长相匹配的个股，此外，本季度还减持了部分前期超额收益较多个股，增持了部分市场关注度不高的成长股。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进入四季度，我们判断市场机会将大于风险，</w:t>
      </w:r>
      <w:r w:rsidRPr="00FF6B9A">
        <w:rPr>
          <w:rFonts w:eastAsiaTheme="minorEastAsia"/>
          <w:color w:val="000000" w:themeColor="text1"/>
        </w:rPr>
        <w:t>A</w:t>
      </w:r>
      <w:r w:rsidRPr="00FF6B9A">
        <w:rPr>
          <w:rFonts w:eastAsiaTheme="minorEastAsia"/>
          <w:color w:val="000000" w:themeColor="text1"/>
        </w:rPr>
        <w:t>股有望呈现结构性的投资机会。站在目前的时点，我们认为未来公司估值继续提升的可能性大幅降低，我们将更看重公司业绩的增长。我们将继续以精选个股作为首要方向。首先，重点关注成长股，尤其是近两年涨幅不大但业绩稳定增长的个股，这些个股伴随业绩兑现全年有望获得超额收益；其次，关注大消费领域，居民可支配收入仍处于稳步提升阶段，和居民消费相关的领域存在投资机会；最后，关注经济转型带来的投资机会。</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本报告期上投摩根核心成长股票份额净值增长率为</w:t>
      </w:r>
      <w:r w:rsidRPr="00FF6B9A">
        <w:rPr>
          <w:rFonts w:eastAsiaTheme="minorEastAsia"/>
          <w:color w:val="000000" w:themeColor="text1"/>
        </w:rPr>
        <w:t>:-4.13%</w:t>
      </w:r>
      <w:r w:rsidRPr="00FF6B9A">
        <w:rPr>
          <w:rFonts w:eastAsiaTheme="minorEastAsia"/>
          <w:color w:val="000000" w:themeColor="text1"/>
        </w:rPr>
        <w:t>，同期业绩比较基准收益率为</w:t>
      </w:r>
      <w:r w:rsidRPr="00FF6B9A">
        <w:rPr>
          <w:rFonts w:eastAsiaTheme="minorEastAsia"/>
          <w:color w:val="000000" w:themeColor="text1"/>
        </w:rPr>
        <w:t>:-5.63%</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1,178,515,845.59</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80.37</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1,178,515,845.59</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80.37</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211,362,919.61</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14.41</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76,461,054.04</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5.21</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1,466,339,819.24</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22,782,620.00</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1.61</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892,648,682.29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63.26</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6,009,703.00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0.43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20,183.39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45,817,800.45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3.25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3,345.12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38,777,566.37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2.75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118,727,795.93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8.41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17,968,554.00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1.27</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19,443.64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52,657.18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35,687,494.22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2.53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1,178,515,845.59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83.52</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lastRenderedPageBreak/>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7D3B9A">
        <w:tc>
          <w:tcPr>
            <w:tcW w:w="817" w:type="dxa"/>
            <w:vAlign w:val="center"/>
          </w:tcPr>
          <w:p w:rsidR="007D3B9A" w:rsidRDefault="007F15A2">
            <w:pPr>
              <w:jc w:val="center"/>
            </w:pPr>
            <w:r>
              <w:rPr>
                <w:rFonts w:eastAsiaTheme="minorEastAsia"/>
                <w:kern w:val="0"/>
                <w:sz w:val="24"/>
                <w:szCs w:val="24"/>
              </w:rPr>
              <w:t>1</w:t>
            </w:r>
          </w:p>
        </w:tc>
        <w:tc>
          <w:tcPr>
            <w:tcW w:w="1276" w:type="dxa"/>
            <w:vAlign w:val="center"/>
          </w:tcPr>
          <w:p w:rsidR="007D3B9A" w:rsidRDefault="007F15A2">
            <w:pPr>
              <w:jc w:val="center"/>
            </w:pPr>
            <w:r>
              <w:rPr>
                <w:rFonts w:eastAsiaTheme="minorEastAsia"/>
                <w:kern w:val="0"/>
                <w:sz w:val="24"/>
                <w:szCs w:val="24"/>
              </w:rPr>
              <w:t>002236</w:t>
            </w:r>
          </w:p>
        </w:tc>
        <w:tc>
          <w:tcPr>
            <w:tcW w:w="1701" w:type="dxa"/>
            <w:vAlign w:val="center"/>
          </w:tcPr>
          <w:p w:rsidR="007D3B9A" w:rsidRDefault="007F15A2">
            <w:pPr>
              <w:jc w:val="center"/>
            </w:pPr>
            <w:r>
              <w:rPr>
                <w:rFonts w:eastAsiaTheme="minorEastAsia"/>
                <w:kern w:val="0"/>
                <w:sz w:val="24"/>
                <w:szCs w:val="24"/>
              </w:rPr>
              <w:t>大华股份</w:t>
            </w:r>
          </w:p>
        </w:tc>
        <w:tc>
          <w:tcPr>
            <w:tcW w:w="1276" w:type="dxa"/>
            <w:vAlign w:val="center"/>
          </w:tcPr>
          <w:p w:rsidR="007D3B9A" w:rsidRDefault="007F15A2">
            <w:pPr>
              <w:jc w:val="right"/>
            </w:pPr>
            <w:r>
              <w:rPr>
                <w:rFonts w:eastAsiaTheme="minorEastAsia"/>
                <w:kern w:val="0"/>
                <w:sz w:val="24"/>
                <w:szCs w:val="24"/>
              </w:rPr>
              <w:t>5,618,235</w:t>
            </w:r>
          </w:p>
        </w:tc>
        <w:tc>
          <w:tcPr>
            <w:tcW w:w="1842" w:type="dxa"/>
            <w:vAlign w:val="center"/>
          </w:tcPr>
          <w:p w:rsidR="007D3B9A" w:rsidRDefault="007F15A2">
            <w:pPr>
              <w:jc w:val="right"/>
            </w:pPr>
            <w:r>
              <w:rPr>
                <w:rFonts w:eastAsiaTheme="minorEastAsia"/>
                <w:kern w:val="0"/>
                <w:sz w:val="24"/>
                <w:szCs w:val="24"/>
              </w:rPr>
              <w:t>133,264,534.20</w:t>
            </w:r>
          </w:p>
        </w:tc>
        <w:tc>
          <w:tcPr>
            <w:tcW w:w="1616" w:type="dxa"/>
            <w:vAlign w:val="center"/>
          </w:tcPr>
          <w:p w:rsidR="007D3B9A" w:rsidRDefault="007F15A2">
            <w:pPr>
              <w:jc w:val="right"/>
            </w:pPr>
            <w:r>
              <w:rPr>
                <w:rFonts w:eastAsiaTheme="minorEastAsia"/>
                <w:kern w:val="0"/>
                <w:sz w:val="24"/>
                <w:szCs w:val="24"/>
              </w:rPr>
              <w:t>9.44</w:t>
            </w:r>
          </w:p>
        </w:tc>
      </w:tr>
      <w:tr w:rsidR="007D3B9A">
        <w:tc>
          <w:tcPr>
            <w:tcW w:w="817" w:type="dxa"/>
            <w:vAlign w:val="center"/>
          </w:tcPr>
          <w:p w:rsidR="007D3B9A" w:rsidRDefault="007F15A2">
            <w:pPr>
              <w:jc w:val="center"/>
            </w:pPr>
            <w:r>
              <w:rPr>
                <w:rFonts w:eastAsiaTheme="minorEastAsia"/>
                <w:kern w:val="0"/>
                <w:sz w:val="24"/>
                <w:szCs w:val="24"/>
              </w:rPr>
              <w:t>2</w:t>
            </w:r>
          </w:p>
        </w:tc>
        <w:tc>
          <w:tcPr>
            <w:tcW w:w="1276" w:type="dxa"/>
            <w:vAlign w:val="center"/>
          </w:tcPr>
          <w:p w:rsidR="007D3B9A" w:rsidRDefault="007F15A2">
            <w:pPr>
              <w:jc w:val="center"/>
            </w:pPr>
            <w:r>
              <w:rPr>
                <w:rFonts w:eastAsiaTheme="minorEastAsia"/>
                <w:kern w:val="0"/>
                <w:sz w:val="24"/>
                <w:szCs w:val="24"/>
              </w:rPr>
              <w:t>002043</w:t>
            </w:r>
          </w:p>
        </w:tc>
        <w:tc>
          <w:tcPr>
            <w:tcW w:w="1701" w:type="dxa"/>
            <w:vAlign w:val="center"/>
          </w:tcPr>
          <w:p w:rsidR="007D3B9A" w:rsidRDefault="007F15A2">
            <w:pPr>
              <w:jc w:val="center"/>
            </w:pPr>
            <w:r>
              <w:rPr>
                <w:rFonts w:eastAsiaTheme="minorEastAsia"/>
                <w:kern w:val="0"/>
                <w:sz w:val="24"/>
                <w:szCs w:val="24"/>
              </w:rPr>
              <w:t>兔宝宝</w:t>
            </w:r>
          </w:p>
        </w:tc>
        <w:tc>
          <w:tcPr>
            <w:tcW w:w="1276" w:type="dxa"/>
            <w:vAlign w:val="center"/>
          </w:tcPr>
          <w:p w:rsidR="007D3B9A" w:rsidRDefault="007F15A2">
            <w:pPr>
              <w:jc w:val="right"/>
            </w:pPr>
            <w:r>
              <w:rPr>
                <w:rFonts w:eastAsiaTheme="minorEastAsia"/>
                <w:kern w:val="0"/>
                <w:sz w:val="24"/>
                <w:szCs w:val="24"/>
              </w:rPr>
              <w:t>12,911,081</w:t>
            </w:r>
          </w:p>
        </w:tc>
        <w:tc>
          <w:tcPr>
            <w:tcW w:w="1842" w:type="dxa"/>
            <w:vAlign w:val="center"/>
          </w:tcPr>
          <w:p w:rsidR="007D3B9A" w:rsidRDefault="007F15A2">
            <w:pPr>
              <w:jc w:val="right"/>
            </w:pPr>
            <w:r>
              <w:rPr>
                <w:rFonts w:eastAsiaTheme="minorEastAsia"/>
                <w:kern w:val="0"/>
                <w:sz w:val="24"/>
                <w:szCs w:val="24"/>
              </w:rPr>
              <w:t>122,009,715.45</w:t>
            </w:r>
          </w:p>
        </w:tc>
        <w:tc>
          <w:tcPr>
            <w:tcW w:w="1616" w:type="dxa"/>
            <w:vAlign w:val="center"/>
          </w:tcPr>
          <w:p w:rsidR="007D3B9A" w:rsidRDefault="007F15A2">
            <w:pPr>
              <w:jc w:val="right"/>
            </w:pPr>
            <w:r>
              <w:rPr>
                <w:rFonts w:eastAsiaTheme="minorEastAsia"/>
                <w:kern w:val="0"/>
                <w:sz w:val="24"/>
                <w:szCs w:val="24"/>
              </w:rPr>
              <w:t>8.65</w:t>
            </w:r>
          </w:p>
        </w:tc>
      </w:tr>
      <w:tr w:rsidR="007D3B9A">
        <w:tc>
          <w:tcPr>
            <w:tcW w:w="817" w:type="dxa"/>
            <w:vAlign w:val="center"/>
          </w:tcPr>
          <w:p w:rsidR="007D3B9A" w:rsidRDefault="007F15A2">
            <w:pPr>
              <w:jc w:val="center"/>
            </w:pPr>
            <w:r>
              <w:rPr>
                <w:rFonts w:eastAsiaTheme="minorEastAsia"/>
                <w:kern w:val="0"/>
                <w:sz w:val="24"/>
                <w:szCs w:val="24"/>
              </w:rPr>
              <w:t>3</w:t>
            </w:r>
          </w:p>
        </w:tc>
        <w:tc>
          <w:tcPr>
            <w:tcW w:w="1276" w:type="dxa"/>
            <w:vAlign w:val="center"/>
          </w:tcPr>
          <w:p w:rsidR="007D3B9A" w:rsidRDefault="007F15A2">
            <w:pPr>
              <w:jc w:val="center"/>
            </w:pPr>
            <w:r>
              <w:rPr>
                <w:rFonts w:eastAsiaTheme="minorEastAsia"/>
                <w:kern w:val="0"/>
                <w:sz w:val="24"/>
                <w:szCs w:val="24"/>
              </w:rPr>
              <w:t>002832</w:t>
            </w:r>
          </w:p>
        </w:tc>
        <w:tc>
          <w:tcPr>
            <w:tcW w:w="1701" w:type="dxa"/>
            <w:vAlign w:val="center"/>
          </w:tcPr>
          <w:p w:rsidR="007D3B9A" w:rsidRDefault="007F15A2">
            <w:pPr>
              <w:jc w:val="center"/>
            </w:pPr>
            <w:r>
              <w:rPr>
                <w:rFonts w:eastAsiaTheme="minorEastAsia"/>
                <w:kern w:val="0"/>
                <w:sz w:val="24"/>
                <w:szCs w:val="24"/>
              </w:rPr>
              <w:t>比音勒芬</w:t>
            </w:r>
          </w:p>
        </w:tc>
        <w:tc>
          <w:tcPr>
            <w:tcW w:w="1276" w:type="dxa"/>
            <w:vAlign w:val="center"/>
          </w:tcPr>
          <w:p w:rsidR="007D3B9A" w:rsidRDefault="007F15A2">
            <w:pPr>
              <w:jc w:val="right"/>
            </w:pPr>
            <w:r>
              <w:rPr>
                <w:rFonts w:eastAsiaTheme="minorEastAsia"/>
                <w:kern w:val="0"/>
                <w:sz w:val="24"/>
                <w:szCs w:val="24"/>
              </w:rPr>
              <w:t>1,719,857</w:t>
            </w:r>
          </w:p>
        </w:tc>
        <w:tc>
          <w:tcPr>
            <w:tcW w:w="1842" w:type="dxa"/>
            <w:vAlign w:val="center"/>
          </w:tcPr>
          <w:p w:rsidR="007D3B9A" w:rsidRDefault="007F15A2">
            <w:pPr>
              <w:jc w:val="right"/>
            </w:pPr>
            <w:r>
              <w:rPr>
                <w:rFonts w:eastAsiaTheme="minorEastAsia"/>
                <w:kern w:val="0"/>
                <w:sz w:val="24"/>
                <w:szCs w:val="24"/>
              </w:rPr>
              <w:t>43,839,154.93</w:t>
            </w:r>
          </w:p>
        </w:tc>
        <w:tc>
          <w:tcPr>
            <w:tcW w:w="1616" w:type="dxa"/>
            <w:vAlign w:val="center"/>
          </w:tcPr>
          <w:p w:rsidR="007D3B9A" w:rsidRDefault="007F15A2">
            <w:pPr>
              <w:jc w:val="right"/>
            </w:pPr>
            <w:r>
              <w:rPr>
                <w:rFonts w:eastAsiaTheme="minorEastAsia"/>
                <w:kern w:val="0"/>
                <w:sz w:val="24"/>
                <w:szCs w:val="24"/>
              </w:rPr>
              <w:t>3.11</w:t>
            </w:r>
          </w:p>
        </w:tc>
      </w:tr>
      <w:tr w:rsidR="007D3B9A">
        <w:tc>
          <w:tcPr>
            <w:tcW w:w="817" w:type="dxa"/>
            <w:vAlign w:val="center"/>
          </w:tcPr>
          <w:p w:rsidR="007D3B9A" w:rsidRDefault="007F15A2">
            <w:pPr>
              <w:jc w:val="center"/>
            </w:pPr>
            <w:r>
              <w:rPr>
                <w:rFonts w:eastAsiaTheme="minorEastAsia"/>
                <w:kern w:val="0"/>
                <w:sz w:val="24"/>
                <w:szCs w:val="24"/>
              </w:rPr>
              <w:t>4</w:t>
            </w:r>
          </w:p>
        </w:tc>
        <w:tc>
          <w:tcPr>
            <w:tcW w:w="1276" w:type="dxa"/>
            <w:vAlign w:val="center"/>
          </w:tcPr>
          <w:p w:rsidR="007D3B9A" w:rsidRDefault="007F15A2">
            <w:pPr>
              <w:jc w:val="center"/>
            </w:pPr>
            <w:r>
              <w:rPr>
                <w:rFonts w:eastAsiaTheme="minorEastAsia"/>
                <w:kern w:val="0"/>
                <w:sz w:val="24"/>
                <w:szCs w:val="24"/>
              </w:rPr>
              <w:t>002845</w:t>
            </w:r>
          </w:p>
        </w:tc>
        <w:tc>
          <w:tcPr>
            <w:tcW w:w="1701" w:type="dxa"/>
            <w:vAlign w:val="center"/>
          </w:tcPr>
          <w:p w:rsidR="007D3B9A" w:rsidRDefault="007F15A2">
            <w:pPr>
              <w:jc w:val="center"/>
            </w:pPr>
            <w:r>
              <w:rPr>
                <w:rFonts w:eastAsiaTheme="minorEastAsia"/>
                <w:kern w:val="0"/>
                <w:sz w:val="24"/>
                <w:szCs w:val="24"/>
              </w:rPr>
              <w:t>同兴达</w:t>
            </w:r>
          </w:p>
        </w:tc>
        <w:tc>
          <w:tcPr>
            <w:tcW w:w="1276" w:type="dxa"/>
            <w:vAlign w:val="center"/>
          </w:tcPr>
          <w:p w:rsidR="007D3B9A" w:rsidRDefault="007F15A2">
            <w:pPr>
              <w:jc w:val="right"/>
            </w:pPr>
            <w:r>
              <w:rPr>
                <w:rFonts w:eastAsiaTheme="minorEastAsia"/>
                <w:kern w:val="0"/>
                <w:sz w:val="24"/>
                <w:szCs w:val="24"/>
              </w:rPr>
              <w:t>1,294,500</w:t>
            </w:r>
          </w:p>
        </w:tc>
        <w:tc>
          <w:tcPr>
            <w:tcW w:w="1842" w:type="dxa"/>
            <w:vAlign w:val="center"/>
          </w:tcPr>
          <w:p w:rsidR="007D3B9A" w:rsidRDefault="007F15A2">
            <w:pPr>
              <w:jc w:val="right"/>
            </w:pPr>
            <w:r>
              <w:rPr>
                <w:rFonts w:eastAsiaTheme="minorEastAsia"/>
                <w:kern w:val="0"/>
                <w:sz w:val="24"/>
                <w:szCs w:val="24"/>
              </w:rPr>
              <w:t>39,288,075.00</w:t>
            </w:r>
          </w:p>
        </w:tc>
        <w:tc>
          <w:tcPr>
            <w:tcW w:w="1616" w:type="dxa"/>
            <w:vAlign w:val="center"/>
          </w:tcPr>
          <w:p w:rsidR="007D3B9A" w:rsidRDefault="007F15A2">
            <w:pPr>
              <w:jc w:val="right"/>
            </w:pPr>
            <w:r>
              <w:rPr>
                <w:rFonts w:eastAsiaTheme="minorEastAsia"/>
                <w:kern w:val="0"/>
                <w:sz w:val="24"/>
                <w:szCs w:val="24"/>
              </w:rPr>
              <w:t>2.78</w:t>
            </w:r>
          </w:p>
        </w:tc>
      </w:tr>
      <w:tr w:rsidR="007D3B9A">
        <w:tc>
          <w:tcPr>
            <w:tcW w:w="817" w:type="dxa"/>
            <w:vAlign w:val="center"/>
          </w:tcPr>
          <w:p w:rsidR="007D3B9A" w:rsidRDefault="007F15A2">
            <w:pPr>
              <w:jc w:val="center"/>
            </w:pPr>
            <w:r>
              <w:rPr>
                <w:rFonts w:eastAsiaTheme="minorEastAsia"/>
                <w:kern w:val="0"/>
                <w:sz w:val="24"/>
                <w:szCs w:val="24"/>
              </w:rPr>
              <w:t>5</w:t>
            </w:r>
          </w:p>
        </w:tc>
        <w:tc>
          <w:tcPr>
            <w:tcW w:w="1276" w:type="dxa"/>
            <w:vAlign w:val="center"/>
          </w:tcPr>
          <w:p w:rsidR="007D3B9A" w:rsidRDefault="007F15A2">
            <w:pPr>
              <w:jc w:val="center"/>
            </w:pPr>
            <w:r>
              <w:rPr>
                <w:rFonts w:eastAsiaTheme="minorEastAsia"/>
                <w:kern w:val="0"/>
                <w:sz w:val="24"/>
                <w:szCs w:val="24"/>
              </w:rPr>
              <w:t>002727</w:t>
            </w:r>
          </w:p>
        </w:tc>
        <w:tc>
          <w:tcPr>
            <w:tcW w:w="1701" w:type="dxa"/>
            <w:vAlign w:val="center"/>
          </w:tcPr>
          <w:p w:rsidR="007D3B9A" w:rsidRDefault="007F15A2">
            <w:pPr>
              <w:jc w:val="center"/>
            </w:pPr>
            <w:r>
              <w:rPr>
                <w:rFonts w:eastAsiaTheme="minorEastAsia"/>
                <w:kern w:val="0"/>
                <w:sz w:val="24"/>
                <w:szCs w:val="24"/>
              </w:rPr>
              <w:t>一心堂</w:t>
            </w:r>
          </w:p>
        </w:tc>
        <w:tc>
          <w:tcPr>
            <w:tcW w:w="1276" w:type="dxa"/>
            <w:vAlign w:val="center"/>
          </w:tcPr>
          <w:p w:rsidR="007D3B9A" w:rsidRDefault="007F15A2">
            <w:pPr>
              <w:jc w:val="right"/>
            </w:pPr>
            <w:r>
              <w:rPr>
                <w:rFonts w:eastAsiaTheme="minorEastAsia"/>
                <w:kern w:val="0"/>
                <w:sz w:val="24"/>
                <w:szCs w:val="24"/>
              </w:rPr>
              <w:t>1,287,400</w:t>
            </w:r>
          </w:p>
        </w:tc>
        <w:tc>
          <w:tcPr>
            <w:tcW w:w="1842" w:type="dxa"/>
            <w:vAlign w:val="center"/>
          </w:tcPr>
          <w:p w:rsidR="007D3B9A" w:rsidRDefault="007F15A2">
            <w:pPr>
              <w:jc w:val="right"/>
            </w:pPr>
            <w:r>
              <w:rPr>
                <w:rFonts w:eastAsiaTheme="minorEastAsia"/>
                <w:kern w:val="0"/>
                <w:sz w:val="24"/>
                <w:szCs w:val="24"/>
              </w:rPr>
              <w:t>38,776,488.00</w:t>
            </w:r>
          </w:p>
        </w:tc>
        <w:tc>
          <w:tcPr>
            <w:tcW w:w="1616" w:type="dxa"/>
            <w:vAlign w:val="center"/>
          </w:tcPr>
          <w:p w:rsidR="007D3B9A" w:rsidRDefault="007F15A2">
            <w:pPr>
              <w:jc w:val="right"/>
            </w:pPr>
            <w:r>
              <w:rPr>
                <w:rFonts w:eastAsiaTheme="minorEastAsia"/>
                <w:kern w:val="0"/>
                <w:sz w:val="24"/>
                <w:szCs w:val="24"/>
              </w:rPr>
              <w:t>2.75</w:t>
            </w:r>
          </w:p>
        </w:tc>
      </w:tr>
      <w:tr w:rsidR="007D3B9A">
        <w:tc>
          <w:tcPr>
            <w:tcW w:w="817" w:type="dxa"/>
            <w:vAlign w:val="center"/>
          </w:tcPr>
          <w:p w:rsidR="007D3B9A" w:rsidRDefault="007F15A2">
            <w:pPr>
              <w:jc w:val="center"/>
            </w:pPr>
            <w:r>
              <w:rPr>
                <w:rFonts w:eastAsiaTheme="minorEastAsia"/>
                <w:kern w:val="0"/>
                <w:sz w:val="24"/>
                <w:szCs w:val="24"/>
              </w:rPr>
              <w:t>6</w:t>
            </w:r>
          </w:p>
        </w:tc>
        <w:tc>
          <w:tcPr>
            <w:tcW w:w="1276" w:type="dxa"/>
            <w:vAlign w:val="center"/>
          </w:tcPr>
          <w:p w:rsidR="007D3B9A" w:rsidRDefault="007F15A2">
            <w:pPr>
              <w:jc w:val="center"/>
            </w:pPr>
            <w:r>
              <w:rPr>
                <w:rFonts w:eastAsiaTheme="minorEastAsia"/>
                <w:kern w:val="0"/>
                <w:sz w:val="24"/>
                <w:szCs w:val="24"/>
              </w:rPr>
              <w:t>002415</w:t>
            </w:r>
          </w:p>
        </w:tc>
        <w:tc>
          <w:tcPr>
            <w:tcW w:w="1701" w:type="dxa"/>
            <w:vAlign w:val="center"/>
          </w:tcPr>
          <w:p w:rsidR="007D3B9A" w:rsidRDefault="007F15A2">
            <w:pPr>
              <w:jc w:val="center"/>
            </w:pPr>
            <w:r>
              <w:rPr>
                <w:rFonts w:eastAsiaTheme="minorEastAsia"/>
                <w:kern w:val="0"/>
                <w:sz w:val="24"/>
                <w:szCs w:val="24"/>
              </w:rPr>
              <w:t>海康威视</w:t>
            </w:r>
          </w:p>
        </w:tc>
        <w:tc>
          <w:tcPr>
            <w:tcW w:w="1276" w:type="dxa"/>
            <w:vAlign w:val="center"/>
          </w:tcPr>
          <w:p w:rsidR="007D3B9A" w:rsidRDefault="007F15A2">
            <w:pPr>
              <w:jc w:val="right"/>
            </w:pPr>
            <w:r>
              <w:rPr>
                <w:rFonts w:eastAsiaTheme="minorEastAsia"/>
                <w:kern w:val="0"/>
                <w:sz w:val="24"/>
                <w:szCs w:val="24"/>
              </w:rPr>
              <w:t>704,150</w:t>
            </w:r>
          </w:p>
        </w:tc>
        <w:tc>
          <w:tcPr>
            <w:tcW w:w="1842" w:type="dxa"/>
            <w:vAlign w:val="center"/>
          </w:tcPr>
          <w:p w:rsidR="007D3B9A" w:rsidRDefault="007F15A2">
            <w:pPr>
              <w:jc w:val="right"/>
            </w:pPr>
            <w:r>
              <w:rPr>
                <w:rFonts w:eastAsiaTheme="minorEastAsia"/>
                <w:kern w:val="0"/>
                <w:sz w:val="24"/>
                <w:szCs w:val="24"/>
              </w:rPr>
              <w:t>38,728,250.00</w:t>
            </w:r>
          </w:p>
        </w:tc>
        <w:tc>
          <w:tcPr>
            <w:tcW w:w="1616" w:type="dxa"/>
            <w:vAlign w:val="center"/>
          </w:tcPr>
          <w:p w:rsidR="007D3B9A" w:rsidRDefault="007F15A2">
            <w:pPr>
              <w:jc w:val="right"/>
            </w:pPr>
            <w:r>
              <w:rPr>
                <w:rFonts w:eastAsiaTheme="minorEastAsia"/>
                <w:kern w:val="0"/>
                <w:sz w:val="24"/>
                <w:szCs w:val="24"/>
              </w:rPr>
              <w:t>2.74</w:t>
            </w:r>
          </w:p>
        </w:tc>
      </w:tr>
      <w:tr w:rsidR="007D3B9A">
        <w:tc>
          <w:tcPr>
            <w:tcW w:w="817" w:type="dxa"/>
            <w:vAlign w:val="center"/>
          </w:tcPr>
          <w:p w:rsidR="007D3B9A" w:rsidRDefault="007F15A2">
            <w:pPr>
              <w:jc w:val="center"/>
            </w:pPr>
            <w:r>
              <w:rPr>
                <w:rFonts w:eastAsiaTheme="minorEastAsia"/>
                <w:kern w:val="0"/>
                <w:sz w:val="24"/>
                <w:szCs w:val="24"/>
              </w:rPr>
              <w:t>7</w:t>
            </w:r>
          </w:p>
        </w:tc>
        <w:tc>
          <w:tcPr>
            <w:tcW w:w="1276" w:type="dxa"/>
            <w:vAlign w:val="center"/>
          </w:tcPr>
          <w:p w:rsidR="007D3B9A" w:rsidRDefault="007F15A2">
            <w:pPr>
              <w:jc w:val="center"/>
            </w:pPr>
            <w:r>
              <w:rPr>
                <w:rFonts w:eastAsiaTheme="minorEastAsia"/>
                <w:kern w:val="0"/>
                <w:sz w:val="24"/>
                <w:szCs w:val="24"/>
              </w:rPr>
              <w:t>002918</w:t>
            </w:r>
          </w:p>
        </w:tc>
        <w:tc>
          <w:tcPr>
            <w:tcW w:w="1701" w:type="dxa"/>
            <w:vAlign w:val="center"/>
          </w:tcPr>
          <w:p w:rsidR="007D3B9A" w:rsidRDefault="007F15A2">
            <w:pPr>
              <w:jc w:val="center"/>
            </w:pPr>
            <w:r>
              <w:rPr>
                <w:rFonts w:eastAsiaTheme="minorEastAsia"/>
                <w:kern w:val="0"/>
                <w:sz w:val="24"/>
                <w:szCs w:val="24"/>
              </w:rPr>
              <w:t>蒙娜丽莎</w:t>
            </w:r>
          </w:p>
        </w:tc>
        <w:tc>
          <w:tcPr>
            <w:tcW w:w="1276" w:type="dxa"/>
            <w:vAlign w:val="center"/>
          </w:tcPr>
          <w:p w:rsidR="007D3B9A" w:rsidRDefault="007F15A2">
            <w:pPr>
              <w:jc w:val="right"/>
            </w:pPr>
            <w:r>
              <w:rPr>
                <w:rFonts w:eastAsiaTheme="minorEastAsia"/>
                <w:kern w:val="0"/>
                <w:sz w:val="24"/>
                <w:szCs w:val="24"/>
              </w:rPr>
              <w:t>1,762,728</w:t>
            </w:r>
          </w:p>
        </w:tc>
        <w:tc>
          <w:tcPr>
            <w:tcW w:w="1842" w:type="dxa"/>
            <w:vAlign w:val="center"/>
          </w:tcPr>
          <w:p w:rsidR="007D3B9A" w:rsidRDefault="007F15A2">
            <w:pPr>
              <w:jc w:val="right"/>
            </w:pPr>
            <w:r>
              <w:rPr>
                <w:rFonts w:eastAsiaTheme="minorEastAsia"/>
                <w:kern w:val="0"/>
                <w:sz w:val="24"/>
                <w:szCs w:val="24"/>
              </w:rPr>
              <w:t>38,427,470.40</w:t>
            </w:r>
          </w:p>
        </w:tc>
        <w:tc>
          <w:tcPr>
            <w:tcW w:w="1616" w:type="dxa"/>
            <w:vAlign w:val="center"/>
          </w:tcPr>
          <w:p w:rsidR="007D3B9A" w:rsidRDefault="007F15A2">
            <w:pPr>
              <w:jc w:val="right"/>
            </w:pPr>
            <w:r>
              <w:rPr>
                <w:rFonts w:eastAsiaTheme="minorEastAsia"/>
                <w:kern w:val="0"/>
                <w:sz w:val="24"/>
                <w:szCs w:val="24"/>
              </w:rPr>
              <w:t>2.72</w:t>
            </w:r>
          </w:p>
        </w:tc>
      </w:tr>
      <w:tr w:rsidR="007D3B9A">
        <w:tc>
          <w:tcPr>
            <w:tcW w:w="817" w:type="dxa"/>
            <w:vAlign w:val="center"/>
          </w:tcPr>
          <w:p w:rsidR="007D3B9A" w:rsidRDefault="007F15A2">
            <w:pPr>
              <w:jc w:val="center"/>
            </w:pPr>
            <w:r>
              <w:rPr>
                <w:rFonts w:eastAsiaTheme="minorEastAsia"/>
                <w:kern w:val="0"/>
                <w:sz w:val="24"/>
                <w:szCs w:val="24"/>
              </w:rPr>
              <w:t>8</w:t>
            </w:r>
          </w:p>
        </w:tc>
        <w:tc>
          <w:tcPr>
            <w:tcW w:w="1276" w:type="dxa"/>
            <w:vAlign w:val="center"/>
          </w:tcPr>
          <w:p w:rsidR="007D3B9A" w:rsidRDefault="007F15A2">
            <w:pPr>
              <w:jc w:val="center"/>
            </w:pPr>
            <w:r>
              <w:rPr>
                <w:rFonts w:eastAsiaTheme="minorEastAsia"/>
                <w:kern w:val="0"/>
                <w:sz w:val="24"/>
                <w:szCs w:val="24"/>
              </w:rPr>
              <w:t>002555</w:t>
            </w:r>
          </w:p>
        </w:tc>
        <w:tc>
          <w:tcPr>
            <w:tcW w:w="1701" w:type="dxa"/>
            <w:vAlign w:val="center"/>
          </w:tcPr>
          <w:p w:rsidR="007D3B9A" w:rsidRDefault="007F15A2">
            <w:pPr>
              <w:jc w:val="center"/>
            </w:pPr>
            <w:r>
              <w:rPr>
                <w:rFonts w:eastAsiaTheme="minorEastAsia"/>
                <w:kern w:val="0"/>
                <w:sz w:val="24"/>
                <w:szCs w:val="24"/>
              </w:rPr>
              <w:t>三七互娱</w:t>
            </w:r>
          </w:p>
        </w:tc>
        <w:tc>
          <w:tcPr>
            <w:tcW w:w="1276" w:type="dxa"/>
            <w:vAlign w:val="center"/>
          </w:tcPr>
          <w:p w:rsidR="007D3B9A" w:rsidRDefault="007F15A2">
            <w:pPr>
              <w:jc w:val="right"/>
            </w:pPr>
            <w:r>
              <w:rPr>
                <w:rFonts w:eastAsiaTheme="minorEastAsia"/>
                <w:kern w:val="0"/>
                <w:sz w:val="24"/>
                <w:szCs w:val="24"/>
              </w:rPr>
              <w:t>1,828,600</w:t>
            </w:r>
          </w:p>
        </w:tc>
        <w:tc>
          <w:tcPr>
            <w:tcW w:w="1842" w:type="dxa"/>
            <w:vAlign w:val="center"/>
          </w:tcPr>
          <w:p w:rsidR="007D3B9A" w:rsidRDefault="007F15A2">
            <w:pPr>
              <w:jc w:val="right"/>
            </w:pPr>
            <w:r>
              <w:rPr>
                <w:rFonts w:eastAsiaTheme="minorEastAsia"/>
                <w:kern w:val="0"/>
                <w:sz w:val="24"/>
                <w:szCs w:val="24"/>
              </w:rPr>
              <w:t>38,382,314.00</w:t>
            </w:r>
          </w:p>
        </w:tc>
        <w:tc>
          <w:tcPr>
            <w:tcW w:w="1616" w:type="dxa"/>
            <w:vAlign w:val="center"/>
          </w:tcPr>
          <w:p w:rsidR="007D3B9A" w:rsidRDefault="007F15A2">
            <w:pPr>
              <w:jc w:val="right"/>
            </w:pPr>
            <w:r>
              <w:rPr>
                <w:rFonts w:eastAsiaTheme="minorEastAsia"/>
                <w:kern w:val="0"/>
                <w:sz w:val="24"/>
                <w:szCs w:val="24"/>
              </w:rPr>
              <w:t>2.72</w:t>
            </w:r>
          </w:p>
        </w:tc>
      </w:tr>
      <w:tr w:rsidR="007D3B9A">
        <w:tc>
          <w:tcPr>
            <w:tcW w:w="817" w:type="dxa"/>
            <w:vAlign w:val="center"/>
          </w:tcPr>
          <w:p w:rsidR="007D3B9A" w:rsidRDefault="007F15A2">
            <w:pPr>
              <w:jc w:val="center"/>
            </w:pPr>
            <w:r>
              <w:rPr>
                <w:rFonts w:eastAsiaTheme="minorEastAsia"/>
                <w:kern w:val="0"/>
                <w:sz w:val="24"/>
                <w:szCs w:val="24"/>
              </w:rPr>
              <w:t>9</w:t>
            </w:r>
          </w:p>
        </w:tc>
        <w:tc>
          <w:tcPr>
            <w:tcW w:w="1276" w:type="dxa"/>
            <w:vAlign w:val="center"/>
          </w:tcPr>
          <w:p w:rsidR="007D3B9A" w:rsidRDefault="007F15A2">
            <w:pPr>
              <w:jc w:val="center"/>
            </w:pPr>
            <w:r>
              <w:rPr>
                <w:rFonts w:eastAsiaTheme="minorEastAsia"/>
                <w:kern w:val="0"/>
                <w:sz w:val="24"/>
                <w:szCs w:val="24"/>
              </w:rPr>
              <w:t>002867</w:t>
            </w:r>
          </w:p>
        </w:tc>
        <w:tc>
          <w:tcPr>
            <w:tcW w:w="1701" w:type="dxa"/>
            <w:vAlign w:val="center"/>
          </w:tcPr>
          <w:p w:rsidR="007D3B9A" w:rsidRDefault="007F15A2">
            <w:pPr>
              <w:jc w:val="center"/>
            </w:pPr>
            <w:r>
              <w:rPr>
                <w:rFonts w:eastAsiaTheme="minorEastAsia"/>
                <w:kern w:val="0"/>
                <w:sz w:val="24"/>
                <w:szCs w:val="24"/>
              </w:rPr>
              <w:t>周大生</w:t>
            </w:r>
          </w:p>
        </w:tc>
        <w:tc>
          <w:tcPr>
            <w:tcW w:w="1276" w:type="dxa"/>
            <w:vAlign w:val="center"/>
          </w:tcPr>
          <w:p w:rsidR="007D3B9A" w:rsidRDefault="007F15A2">
            <w:pPr>
              <w:jc w:val="right"/>
            </w:pPr>
            <w:r>
              <w:rPr>
                <w:rFonts w:eastAsiaTheme="minorEastAsia"/>
                <w:kern w:val="0"/>
                <w:sz w:val="24"/>
                <w:szCs w:val="24"/>
              </w:rPr>
              <w:t>1,923,900</w:t>
            </w:r>
          </w:p>
        </w:tc>
        <w:tc>
          <w:tcPr>
            <w:tcW w:w="1842" w:type="dxa"/>
            <w:vAlign w:val="center"/>
          </w:tcPr>
          <w:p w:rsidR="007D3B9A" w:rsidRDefault="007F15A2">
            <w:pPr>
              <w:jc w:val="right"/>
            </w:pPr>
            <w:r>
              <w:rPr>
                <w:rFonts w:eastAsiaTheme="minorEastAsia"/>
                <w:kern w:val="0"/>
                <w:sz w:val="24"/>
                <w:szCs w:val="24"/>
              </w:rPr>
              <w:t>38,381,805.00</w:t>
            </w:r>
          </w:p>
        </w:tc>
        <w:tc>
          <w:tcPr>
            <w:tcW w:w="1616" w:type="dxa"/>
            <w:vAlign w:val="center"/>
          </w:tcPr>
          <w:p w:rsidR="007D3B9A" w:rsidRDefault="007F15A2">
            <w:pPr>
              <w:jc w:val="right"/>
            </w:pPr>
            <w:r>
              <w:rPr>
                <w:rFonts w:eastAsiaTheme="minorEastAsia"/>
                <w:kern w:val="0"/>
                <w:sz w:val="24"/>
                <w:szCs w:val="24"/>
              </w:rPr>
              <w:t>2.72</w:t>
            </w:r>
          </w:p>
        </w:tc>
      </w:tr>
      <w:tr w:rsidR="007D3B9A">
        <w:tc>
          <w:tcPr>
            <w:tcW w:w="817" w:type="dxa"/>
            <w:vAlign w:val="center"/>
          </w:tcPr>
          <w:p w:rsidR="007D3B9A" w:rsidRDefault="007F15A2">
            <w:pPr>
              <w:jc w:val="center"/>
            </w:pPr>
            <w:r>
              <w:rPr>
                <w:rFonts w:eastAsiaTheme="minorEastAsia"/>
                <w:kern w:val="0"/>
                <w:sz w:val="24"/>
                <w:szCs w:val="24"/>
              </w:rPr>
              <w:t>10</w:t>
            </w:r>
          </w:p>
        </w:tc>
        <w:tc>
          <w:tcPr>
            <w:tcW w:w="1276" w:type="dxa"/>
            <w:vAlign w:val="center"/>
          </w:tcPr>
          <w:p w:rsidR="007D3B9A" w:rsidRDefault="007F15A2">
            <w:pPr>
              <w:jc w:val="center"/>
            </w:pPr>
            <w:r>
              <w:rPr>
                <w:rFonts w:eastAsiaTheme="minorEastAsia"/>
                <w:kern w:val="0"/>
                <w:sz w:val="24"/>
                <w:szCs w:val="24"/>
              </w:rPr>
              <w:t>002384</w:t>
            </w:r>
          </w:p>
        </w:tc>
        <w:tc>
          <w:tcPr>
            <w:tcW w:w="1701" w:type="dxa"/>
            <w:vAlign w:val="center"/>
          </w:tcPr>
          <w:p w:rsidR="007D3B9A" w:rsidRDefault="007F15A2">
            <w:pPr>
              <w:jc w:val="center"/>
            </w:pPr>
            <w:r>
              <w:rPr>
                <w:rFonts w:eastAsiaTheme="minorEastAsia"/>
                <w:kern w:val="0"/>
                <w:sz w:val="24"/>
                <w:szCs w:val="24"/>
              </w:rPr>
              <w:t>东山精密</w:t>
            </w:r>
          </w:p>
        </w:tc>
        <w:tc>
          <w:tcPr>
            <w:tcW w:w="1276" w:type="dxa"/>
            <w:vAlign w:val="center"/>
          </w:tcPr>
          <w:p w:rsidR="007D3B9A" w:rsidRDefault="007F15A2">
            <w:pPr>
              <w:jc w:val="right"/>
            </w:pPr>
            <w:r>
              <w:rPr>
                <w:rFonts w:eastAsiaTheme="minorEastAsia"/>
                <w:kern w:val="0"/>
                <w:sz w:val="24"/>
                <w:szCs w:val="24"/>
              </w:rPr>
              <w:t>1,822,200</w:t>
            </w:r>
          </w:p>
        </w:tc>
        <w:tc>
          <w:tcPr>
            <w:tcW w:w="1842" w:type="dxa"/>
            <w:vAlign w:val="center"/>
          </w:tcPr>
          <w:p w:rsidR="007D3B9A" w:rsidRDefault="007F15A2">
            <w:pPr>
              <w:jc w:val="right"/>
            </w:pPr>
            <w:r>
              <w:rPr>
                <w:rFonts w:eastAsiaTheme="minorEastAsia"/>
                <w:kern w:val="0"/>
                <w:sz w:val="24"/>
                <w:szCs w:val="24"/>
              </w:rPr>
              <w:t>38,047,536.00</w:t>
            </w:r>
          </w:p>
        </w:tc>
        <w:tc>
          <w:tcPr>
            <w:tcW w:w="1616" w:type="dxa"/>
            <w:vAlign w:val="center"/>
          </w:tcPr>
          <w:p w:rsidR="007D3B9A" w:rsidRDefault="007F15A2">
            <w:pPr>
              <w:jc w:val="right"/>
            </w:pPr>
            <w:r>
              <w:rPr>
                <w:rFonts w:eastAsiaTheme="minorEastAsia"/>
                <w:kern w:val="0"/>
                <w:sz w:val="24"/>
                <w:szCs w:val="24"/>
              </w:rPr>
              <w:t>2.70</w:t>
            </w:r>
          </w:p>
        </w:tc>
      </w:tr>
      <w:bookmarkEnd w:id="1"/>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lastRenderedPageBreak/>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报告期内本基金投资的前十名证券的发行主体本期没有出现被监管部门立案调查，或在报告编制日前一年内受到公开谴责、处罚的情形。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470,173.04</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75,143,709.80</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24,907.69</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822,263.51</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76,461,054.04</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lastRenderedPageBreak/>
        <w:t>因四舍五入原因，投资组合报告中分项之和与合计可能存在尾差。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577,266,773.28</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25,024,338.06</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93,386,900.29</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508,904,211.05</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7D3B9A" w:rsidRDefault="007F15A2">
      <w:pPr>
        <w:spacing w:line="360" w:lineRule="auto"/>
        <w:ind w:firstLineChars="200" w:firstLine="420"/>
        <w:rPr>
          <w:rFonts w:eastAsiaTheme="minorEastAsia"/>
          <w:color w:val="000000" w:themeColor="text1"/>
        </w:rPr>
      </w:pPr>
      <w:r>
        <w:rPr>
          <w:rFonts w:eastAsiaTheme="minorEastAsia"/>
          <w:color w:val="000000" w:themeColor="text1"/>
        </w:rPr>
        <w:t xml:space="preserve">1. </w:t>
      </w:r>
      <w:r>
        <w:rPr>
          <w:rFonts w:eastAsiaTheme="minorEastAsia"/>
          <w:color w:val="000000" w:themeColor="text1"/>
        </w:rPr>
        <w:t>中国证监会批准上投摩根核心成长股票型证券投资基金设立的文件；</w:t>
      </w:r>
    </w:p>
    <w:p w:rsidR="007D3B9A" w:rsidRDefault="007F15A2">
      <w:pPr>
        <w:spacing w:line="360" w:lineRule="auto"/>
        <w:ind w:firstLineChars="200" w:firstLine="420"/>
        <w:rPr>
          <w:rFonts w:eastAsiaTheme="minorEastAsia"/>
          <w:color w:val="000000" w:themeColor="text1"/>
        </w:rPr>
      </w:pPr>
      <w:r>
        <w:rPr>
          <w:rFonts w:eastAsiaTheme="minorEastAsia"/>
          <w:color w:val="000000" w:themeColor="text1"/>
        </w:rPr>
        <w:t xml:space="preserve">2. </w:t>
      </w:r>
      <w:r>
        <w:rPr>
          <w:rFonts w:eastAsiaTheme="minorEastAsia"/>
          <w:color w:val="000000" w:themeColor="text1"/>
        </w:rPr>
        <w:t>《上投摩根核心成长股票型证券投资基金基金合同》；</w:t>
      </w:r>
    </w:p>
    <w:p w:rsidR="007D3B9A" w:rsidRDefault="007F15A2">
      <w:pPr>
        <w:spacing w:line="360" w:lineRule="auto"/>
        <w:ind w:firstLineChars="200" w:firstLine="420"/>
        <w:rPr>
          <w:rFonts w:eastAsiaTheme="minorEastAsia"/>
          <w:color w:val="000000" w:themeColor="text1"/>
        </w:rPr>
      </w:pPr>
      <w:r>
        <w:rPr>
          <w:rFonts w:eastAsiaTheme="minorEastAsia"/>
          <w:color w:val="000000" w:themeColor="text1"/>
        </w:rPr>
        <w:t xml:space="preserve">3. </w:t>
      </w:r>
      <w:r>
        <w:rPr>
          <w:rFonts w:eastAsiaTheme="minorEastAsia"/>
          <w:color w:val="000000" w:themeColor="text1"/>
        </w:rPr>
        <w:t>《上投摩根核心成长股票型证券投资基金基金托管协议》；</w:t>
      </w:r>
    </w:p>
    <w:p w:rsidR="007D3B9A" w:rsidRDefault="007F15A2">
      <w:pPr>
        <w:spacing w:line="360" w:lineRule="auto"/>
        <w:ind w:firstLineChars="200" w:firstLine="420"/>
        <w:rPr>
          <w:rFonts w:eastAsiaTheme="minorEastAsia"/>
          <w:color w:val="000000" w:themeColor="text1"/>
        </w:rPr>
      </w:pPr>
      <w:r>
        <w:rPr>
          <w:rFonts w:eastAsiaTheme="minorEastAsia"/>
          <w:color w:val="000000" w:themeColor="text1"/>
        </w:rPr>
        <w:t xml:space="preserve">4. </w:t>
      </w:r>
      <w:r>
        <w:rPr>
          <w:rFonts w:eastAsiaTheme="minorEastAsia"/>
          <w:color w:val="000000" w:themeColor="text1"/>
        </w:rPr>
        <w:t>《上投摩根基金管理有限公司开放式基金业务规则》；</w:t>
      </w:r>
    </w:p>
    <w:p w:rsidR="007D3B9A" w:rsidRDefault="007F15A2">
      <w:pPr>
        <w:spacing w:line="360" w:lineRule="auto"/>
        <w:ind w:firstLineChars="200" w:firstLine="420"/>
        <w:rPr>
          <w:rFonts w:eastAsiaTheme="minorEastAsia"/>
          <w:color w:val="000000" w:themeColor="text1"/>
        </w:rPr>
      </w:pPr>
      <w:r>
        <w:rPr>
          <w:rFonts w:eastAsiaTheme="minorEastAsia"/>
          <w:color w:val="000000" w:themeColor="text1"/>
        </w:rPr>
        <w:t xml:space="preserve">5. </w:t>
      </w:r>
      <w:r>
        <w:rPr>
          <w:rFonts w:eastAsiaTheme="minorEastAsia"/>
          <w:color w:val="000000" w:themeColor="text1"/>
        </w:rPr>
        <w:t>基金管理人业务资格批件、营业执照；</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 xml:space="preserve">6. </w:t>
      </w:r>
      <w:r w:rsidRPr="00FF6B9A">
        <w:rPr>
          <w:rFonts w:eastAsiaTheme="minorEastAsia"/>
          <w:color w:val="000000" w:themeColor="text1"/>
        </w:rPr>
        <w:t>基金托管人业务资格批件和营业执照。</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基金管理人或基金托管人住所。</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lastRenderedPageBreak/>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上投摩根基金管理有限公司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二〇二一年十月二十七日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EA" w:rsidRDefault="007573EA">
      <w:r>
        <w:separator/>
      </w:r>
    </w:p>
  </w:endnote>
  <w:endnote w:type="continuationSeparator" w:id="0">
    <w:p w:rsidR="007573EA" w:rsidRDefault="0075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7F15A2" w:rsidRPr="007F15A2">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7F15A2">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EA" w:rsidRDefault="007573EA">
      <w:r>
        <w:separator/>
      </w:r>
    </w:p>
  </w:footnote>
  <w:footnote w:type="continuationSeparator" w:id="0">
    <w:p w:rsidR="007573EA" w:rsidRDefault="0075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上投摩根核心成长股票型证券投资基金</w:t>
    </w:r>
    <w:r>
      <w:rPr>
        <w:rFonts w:hint="eastAsia"/>
      </w:rPr>
      <w:t>2021</w:t>
    </w:r>
    <w:r>
      <w:rPr>
        <w:rFonts w:hint="eastAsia"/>
      </w:rPr>
      <w:t>年第</w:t>
    </w:r>
    <w:r>
      <w:rPr>
        <w:rFonts w:hint="eastAsia"/>
      </w:rPr>
      <w:t>3</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7D3B9A"/>
    <w:rsid w:val="007F15A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D62DDB-28CD-4F4D-87BF-1B150831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1062</Words>
  <Characters>6055</Characters>
  <Application>Microsoft Office Word</Application>
  <DocSecurity>0</DocSecurity>
  <Lines>50</Lines>
  <Paragraphs>14</Paragraphs>
  <ScaleCrop>false</ScaleCrop>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Wenyu.Qiu@FA</cp:lastModifiedBy>
  <cp:revision>268</cp:revision>
  <dcterms:created xsi:type="dcterms:W3CDTF">2012-10-16T06:07:00Z</dcterms:created>
  <dcterms:modified xsi:type="dcterms:W3CDTF">2021-10-26T05:55:00Z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