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上投摩根核心成长股票型证券投资基金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bookmarkStart w:id="0" w:name="_GoBack"/>
      <w:bookmarkEnd w:id="0"/>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上投摩根核心成长股票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000457</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000457</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2014</w:t>
            </w:r>
            <w:r w:rsidRPr="00FF6B9A">
              <w:rPr>
                <w:rFonts w:eastAsiaTheme="minorEastAsia"/>
                <w:color w:val="000000" w:themeColor="text1"/>
                <w:kern w:val="0"/>
              </w:rPr>
              <w:t>年</w:t>
            </w:r>
            <w:r w:rsidRPr="00FF6B9A">
              <w:rPr>
                <w:rFonts w:eastAsiaTheme="minorEastAsia"/>
                <w:color w:val="000000" w:themeColor="text1"/>
                <w:kern w:val="0"/>
              </w:rPr>
              <w:t>2</w:t>
            </w:r>
            <w:r w:rsidRPr="00FF6B9A">
              <w:rPr>
                <w:rFonts w:eastAsiaTheme="minorEastAsia"/>
                <w:color w:val="000000" w:themeColor="text1"/>
                <w:kern w:val="0"/>
              </w:rPr>
              <w:t>月</w:t>
            </w:r>
            <w:r w:rsidRPr="00FF6B9A">
              <w:rPr>
                <w:rFonts w:eastAsiaTheme="minorEastAsia"/>
                <w:color w:val="000000" w:themeColor="text1"/>
                <w:kern w:val="0"/>
              </w:rPr>
              <w:t>10</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577,266,773.28</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本基金将充分利用管理人的投资研究平台，通过系统和深入的基本面研究，选择公司治理良好且具有较高增长潜力的公司进行投资，力争实现基金资产的长期稳定增值。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本基金采用</w:t>
            </w:r>
            <w:r w:rsidRPr="00FF6B9A">
              <w:rPr>
                <w:rFonts w:eastAsiaTheme="minorEastAsia"/>
                <w:color w:val="000000" w:themeColor="text1"/>
                <w:kern w:val="0"/>
              </w:rPr>
              <w:t>“</w:t>
            </w:r>
            <w:r w:rsidRPr="00FF6B9A">
              <w:rPr>
                <w:rFonts w:eastAsiaTheme="minorEastAsia"/>
                <w:color w:val="000000" w:themeColor="text1"/>
                <w:kern w:val="0"/>
              </w:rPr>
              <w:t>自下而上</w:t>
            </w:r>
            <w:r w:rsidRPr="00FF6B9A">
              <w:rPr>
                <w:rFonts w:eastAsiaTheme="minorEastAsia"/>
                <w:color w:val="000000" w:themeColor="text1"/>
                <w:kern w:val="0"/>
              </w:rPr>
              <w:t>”</w:t>
            </w:r>
            <w:r w:rsidRPr="00FF6B9A">
              <w:rPr>
                <w:rFonts w:eastAsiaTheme="minorEastAsia"/>
                <w:color w:val="000000" w:themeColor="text1"/>
                <w:kern w:val="0"/>
              </w:rPr>
              <w:t>的个股精选策略，综合运用定量分析与定性分析的手段，基于公司内部研究团队对于个股基本面的深入研究和细致的实地调研，重点投资于公司治理良好且具有较高增长潜力的公司。在行业配置层面，本基</w:t>
            </w:r>
            <w:r w:rsidRPr="00FF6B9A">
              <w:rPr>
                <w:rFonts w:eastAsiaTheme="minorEastAsia"/>
                <w:color w:val="000000" w:themeColor="text1"/>
                <w:kern w:val="0"/>
              </w:rPr>
              <w:lastRenderedPageBreak/>
              <w:t>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4E40BB" w:rsidRDefault="00D532B4">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w:t>
            </w:r>
            <w:r>
              <w:rPr>
                <w:rFonts w:eastAsiaTheme="minorEastAsia"/>
                <w:color w:val="000000" w:themeColor="text1"/>
                <w:kern w:val="0"/>
              </w:rPr>
              <w:t xml:space="preserve"> </w:t>
            </w:r>
            <w:r>
              <w:rPr>
                <w:rFonts w:eastAsiaTheme="minorEastAsia"/>
                <w:color w:val="000000" w:themeColor="text1"/>
                <w:kern w:val="0"/>
              </w:rPr>
              <w:t>，属于较高风险收益水平的基金产品。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D532B4" w:rsidRPr="00FF6B9A" w:rsidTr="00D532B4">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D532B4" w:rsidRPr="00FF6B9A" w:rsidTr="00D532B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88,739,761.36</w:t>
            </w:r>
          </w:p>
        </w:tc>
      </w:tr>
      <w:tr w:rsidR="00D532B4" w:rsidRPr="00FF6B9A" w:rsidTr="00D532B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24,139,204.73</w:t>
            </w:r>
          </w:p>
        </w:tc>
      </w:tr>
      <w:tr w:rsidR="00D532B4" w:rsidRPr="00FF6B9A" w:rsidTr="00D532B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0.0402</w:t>
            </w:r>
          </w:p>
        </w:tc>
      </w:tr>
      <w:tr w:rsidR="00D532B4" w:rsidRPr="00FF6B9A" w:rsidTr="00D532B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1,669,769,578.97</w:t>
            </w:r>
          </w:p>
        </w:tc>
      </w:tr>
      <w:tr w:rsidR="00D532B4" w:rsidRPr="00FF6B9A" w:rsidTr="00D532B4">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2.8925</w:t>
            </w:r>
          </w:p>
        </w:tc>
      </w:tr>
    </w:tbl>
    <w:p w:rsidR="004E40BB" w:rsidRDefault="00D532B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4E40BB">
        <w:tc>
          <w:tcPr>
            <w:tcW w:w="1395" w:type="dxa"/>
            <w:vAlign w:val="center"/>
          </w:tcPr>
          <w:p w:rsidR="004E40BB" w:rsidRDefault="00D532B4">
            <w:pPr>
              <w:jc w:val="left"/>
            </w:pPr>
            <w:r>
              <w:rPr>
                <w:rFonts w:eastAsiaTheme="minorEastAsia"/>
                <w:color w:val="000000" w:themeColor="text1"/>
                <w:kern w:val="0"/>
              </w:rPr>
              <w:t>过去三个月</w:t>
            </w:r>
          </w:p>
        </w:tc>
        <w:tc>
          <w:tcPr>
            <w:tcW w:w="1092" w:type="dxa"/>
            <w:vAlign w:val="center"/>
          </w:tcPr>
          <w:p w:rsidR="004E40BB" w:rsidRDefault="00D532B4">
            <w:pPr>
              <w:jc w:val="center"/>
            </w:pPr>
            <w:r>
              <w:rPr>
                <w:rFonts w:eastAsiaTheme="minorEastAsia"/>
                <w:color w:val="000000" w:themeColor="text1"/>
                <w:kern w:val="0"/>
              </w:rPr>
              <w:t>1.30%</w:t>
            </w:r>
          </w:p>
        </w:tc>
        <w:tc>
          <w:tcPr>
            <w:tcW w:w="1161" w:type="dxa"/>
            <w:vAlign w:val="center"/>
          </w:tcPr>
          <w:p w:rsidR="004E40BB" w:rsidRDefault="00D532B4">
            <w:pPr>
              <w:jc w:val="center"/>
            </w:pPr>
            <w:r>
              <w:rPr>
                <w:rFonts w:eastAsiaTheme="minorEastAsia"/>
                <w:color w:val="000000" w:themeColor="text1"/>
                <w:kern w:val="0"/>
              </w:rPr>
              <w:t>0.87%</w:t>
            </w:r>
          </w:p>
        </w:tc>
        <w:tc>
          <w:tcPr>
            <w:tcW w:w="1181" w:type="dxa"/>
            <w:vAlign w:val="center"/>
          </w:tcPr>
          <w:p w:rsidR="004E40BB" w:rsidRDefault="00D532B4">
            <w:pPr>
              <w:jc w:val="center"/>
            </w:pPr>
            <w:r>
              <w:rPr>
                <w:rFonts w:eastAsiaTheme="minorEastAsia"/>
                <w:color w:val="000000" w:themeColor="text1"/>
                <w:kern w:val="0"/>
              </w:rPr>
              <w:t>3.03%</w:t>
            </w:r>
          </w:p>
        </w:tc>
        <w:tc>
          <w:tcPr>
            <w:tcW w:w="1188" w:type="dxa"/>
            <w:vAlign w:val="center"/>
          </w:tcPr>
          <w:p w:rsidR="004E40BB" w:rsidRDefault="00D532B4">
            <w:pPr>
              <w:jc w:val="center"/>
            </w:pPr>
            <w:r>
              <w:rPr>
                <w:rFonts w:eastAsiaTheme="minorEastAsia"/>
                <w:color w:val="000000" w:themeColor="text1"/>
                <w:kern w:val="0"/>
              </w:rPr>
              <w:t>0.83%</w:t>
            </w:r>
          </w:p>
        </w:tc>
        <w:tc>
          <w:tcPr>
            <w:tcW w:w="1199" w:type="dxa"/>
            <w:vAlign w:val="center"/>
          </w:tcPr>
          <w:p w:rsidR="004E40BB" w:rsidRDefault="00D532B4">
            <w:pPr>
              <w:jc w:val="center"/>
            </w:pPr>
            <w:r>
              <w:rPr>
                <w:rFonts w:eastAsiaTheme="minorEastAsia"/>
                <w:color w:val="000000" w:themeColor="text1"/>
                <w:kern w:val="0"/>
              </w:rPr>
              <w:t>-1.73%</w:t>
            </w:r>
          </w:p>
        </w:tc>
        <w:tc>
          <w:tcPr>
            <w:tcW w:w="1204" w:type="dxa"/>
            <w:vAlign w:val="center"/>
          </w:tcPr>
          <w:p w:rsidR="004E40BB" w:rsidRDefault="00D532B4">
            <w:pPr>
              <w:jc w:val="center"/>
            </w:pPr>
            <w:r>
              <w:rPr>
                <w:rFonts w:eastAsiaTheme="minorEastAsia"/>
                <w:color w:val="000000" w:themeColor="text1"/>
                <w:kern w:val="0"/>
              </w:rPr>
              <w:t>0.04%</w:t>
            </w:r>
          </w:p>
        </w:tc>
      </w:tr>
      <w:tr w:rsidR="004E40BB">
        <w:tc>
          <w:tcPr>
            <w:tcW w:w="1395" w:type="dxa"/>
            <w:vAlign w:val="center"/>
          </w:tcPr>
          <w:p w:rsidR="004E40BB" w:rsidRDefault="00D532B4">
            <w:pPr>
              <w:jc w:val="left"/>
            </w:pPr>
            <w:r>
              <w:rPr>
                <w:rFonts w:eastAsiaTheme="minorEastAsia"/>
                <w:color w:val="000000" w:themeColor="text1"/>
                <w:kern w:val="0"/>
              </w:rPr>
              <w:t>过去六个月</w:t>
            </w:r>
          </w:p>
        </w:tc>
        <w:tc>
          <w:tcPr>
            <w:tcW w:w="1092" w:type="dxa"/>
            <w:vAlign w:val="center"/>
          </w:tcPr>
          <w:p w:rsidR="004E40BB" w:rsidRDefault="00D532B4">
            <w:pPr>
              <w:jc w:val="center"/>
            </w:pPr>
            <w:r>
              <w:rPr>
                <w:rFonts w:eastAsiaTheme="minorEastAsia"/>
                <w:color w:val="000000" w:themeColor="text1"/>
                <w:kern w:val="0"/>
              </w:rPr>
              <w:t>15.12%</w:t>
            </w:r>
          </w:p>
        </w:tc>
        <w:tc>
          <w:tcPr>
            <w:tcW w:w="1161" w:type="dxa"/>
            <w:vAlign w:val="center"/>
          </w:tcPr>
          <w:p w:rsidR="004E40BB" w:rsidRDefault="00D532B4">
            <w:pPr>
              <w:jc w:val="center"/>
            </w:pPr>
            <w:r>
              <w:rPr>
                <w:rFonts w:eastAsiaTheme="minorEastAsia"/>
                <w:color w:val="000000" w:themeColor="text1"/>
                <w:kern w:val="0"/>
              </w:rPr>
              <w:t>1.13%</w:t>
            </w:r>
          </w:p>
        </w:tc>
        <w:tc>
          <w:tcPr>
            <w:tcW w:w="1181" w:type="dxa"/>
            <w:vAlign w:val="center"/>
          </w:tcPr>
          <w:p w:rsidR="004E40BB" w:rsidRDefault="00D532B4">
            <w:pPr>
              <w:jc w:val="center"/>
            </w:pPr>
            <w:r>
              <w:rPr>
                <w:rFonts w:eastAsiaTheme="minorEastAsia"/>
                <w:color w:val="000000" w:themeColor="text1"/>
                <w:kern w:val="0"/>
              </w:rPr>
              <w:t>0.24%</w:t>
            </w:r>
          </w:p>
        </w:tc>
        <w:tc>
          <w:tcPr>
            <w:tcW w:w="1188" w:type="dxa"/>
            <w:vAlign w:val="center"/>
          </w:tcPr>
          <w:p w:rsidR="004E40BB" w:rsidRDefault="00D532B4">
            <w:pPr>
              <w:jc w:val="center"/>
            </w:pPr>
            <w:r>
              <w:rPr>
                <w:rFonts w:eastAsiaTheme="minorEastAsia"/>
                <w:color w:val="000000" w:themeColor="text1"/>
                <w:kern w:val="0"/>
              </w:rPr>
              <w:t>1.12%</w:t>
            </w:r>
          </w:p>
        </w:tc>
        <w:tc>
          <w:tcPr>
            <w:tcW w:w="1199" w:type="dxa"/>
            <w:vAlign w:val="center"/>
          </w:tcPr>
          <w:p w:rsidR="004E40BB" w:rsidRDefault="00D532B4">
            <w:pPr>
              <w:jc w:val="center"/>
            </w:pPr>
            <w:r>
              <w:rPr>
                <w:rFonts w:eastAsiaTheme="minorEastAsia"/>
                <w:color w:val="000000" w:themeColor="text1"/>
                <w:kern w:val="0"/>
              </w:rPr>
              <w:t>14.88%</w:t>
            </w:r>
          </w:p>
        </w:tc>
        <w:tc>
          <w:tcPr>
            <w:tcW w:w="1204" w:type="dxa"/>
            <w:vAlign w:val="center"/>
          </w:tcPr>
          <w:p w:rsidR="004E40BB" w:rsidRDefault="00D532B4">
            <w:pPr>
              <w:jc w:val="center"/>
            </w:pPr>
            <w:r>
              <w:rPr>
                <w:rFonts w:eastAsiaTheme="minorEastAsia"/>
                <w:color w:val="000000" w:themeColor="text1"/>
                <w:kern w:val="0"/>
              </w:rPr>
              <w:t>0.01%</w:t>
            </w:r>
          </w:p>
        </w:tc>
      </w:tr>
      <w:tr w:rsidR="004E40BB">
        <w:tc>
          <w:tcPr>
            <w:tcW w:w="1395" w:type="dxa"/>
            <w:vAlign w:val="center"/>
          </w:tcPr>
          <w:p w:rsidR="004E40BB" w:rsidRDefault="00D532B4">
            <w:pPr>
              <w:jc w:val="left"/>
            </w:pPr>
            <w:r>
              <w:rPr>
                <w:rFonts w:eastAsiaTheme="minorEastAsia"/>
                <w:color w:val="000000" w:themeColor="text1"/>
                <w:kern w:val="0"/>
              </w:rPr>
              <w:t>过去一年</w:t>
            </w:r>
          </w:p>
        </w:tc>
        <w:tc>
          <w:tcPr>
            <w:tcW w:w="1092" w:type="dxa"/>
            <w:vAlign w:val="center"/>
          </w:tcPr>
          <w:p w:rsidR="004E40BB" w:rsidRDefault="00D532B4">
            <w:pPr>
              <w:jc w:val="center"/>
            </w:pPr>
            <w:r>
              <w:rPr>
                <w:rFonts w:eastAsiaTheme="minorEastAsia"/>
                <w:color w:val="000000" w:themeColor="text1"/>
                <w:kern w:val="0"/>
              </w:rPr>
              <w:t>44.19%</w:t>
            </w:r>
          </w:p>
        </w:tc>
        <w:tc>
          <w:tcPr>
            <w:tcW w:w="1161" w:type="dxa"/>
            <w:vAlign w:val="center"/>
          </w:tcPr>
          <w:p w:rsidR="004E40BB" w:rsidRDefault="00D532B4">
            <w:pPr>
              <w:jc w:val="center"/>
            </w:pPr>
            <w:r>
              <w:rPr>
                <w:rFonts w:eastAsiaTheme="minorEastAsia"/>
                <w:color w:val="000000" w:themeColor="text1"/>
                <w:kern w:val="0"/>
              </w:rPr>
              <w:t>1.29%</w:t>
            </w:r>
          </w:p>
        </w:tc>
        <w:tc>
          <w:tcPr>
            <w:tcW w:w="1181" w:type="dxa"/>
            <w:vAlign w:val="center"/>
          </w:tcPr>
          <w:p w:rsidR="004E40BB" w:rsidRDefault="00D532B4">
            <w:pPr>
              <w:jc w:val="center"/>
            </w:pPr>
            <w:r>
              <w:rPr>
                <w:rFonts w:eastAsiaTheme="minorEastAsia"/>
                <w:color w:val="000000" w:themeColor="text1"/>
                <w:kern w:val="0"/>
              </w:rPr>
              <w:t>21.53%</w:t>
            </w:r>
          </w:p>
        </w:tc>
        <w:tc>
          <w:tcPr>
            <w:tcW w:w="1188" w:type="dxa"/>
            <w:vAlign w:val="center"/>
          </w:tcPr>
          <w:p w:rsidR="004E40BB" w:rsidRDefault="00D532B4">
            <w:pPr>
              <w:jc w:val="center"/>
            </w:pPr>
            <w:r>
              <w:rPr>
                <w:rFonts w:eastAsiaTheme="minorEastAsia"/>
                <w:color w:val="000000" w:themeColor="text1"/>
                <w:kern w:val="0"/>
              </w:rPr>
              <w:t>1.13%</w:t>
            </w:r>
          </w:p>
        </w:tc>
        <w:tc>
          <w:tcPr>
            <w:tcW w:w="1199" w:type="dxa"/>
            <w:vAlign w:val="center"/>
          </w:tcPr>
          <w:p w:rsidR="004E40BB" w:rsidRDefault="00D532B4">
            <w:pPr>
              <w:jc w:val="center"/>
            </w:pPr>
            <w:r>
              <w:rPr>
                <w:rFonts w:eastAsiaTheme="minorEastAsia"/>
                <w:color w:val="000000" w:themeColor="text1"/>
                <w:kern w:val="0"/>
              </w:rPr>
              <w:t>22.66%</w:t>
            </w:r>
          </w:p>
        </w:tc>
        <w:tc>
          <w:tcPr>
            <w:tcW w:w="1204" w:type="dxa"/>
            <w:vAlign w:val="center"/>
          </w:tcPr>
          <w:p w:rsidR="004E40BB" w:rsidRDefault="00D532B4">
            <w:pPr>
              <w:jc w:val="center"/>
            </w:pPr>
            <w:r>
              <w:rPr>
                <w:rFonts w:eastAsiaTheme="minorEastAsia"/>
                <w:color w:val="000000" w:themeColor="text1"/>
                <w:kern w:val="0"/>
              </w:rPr>
              <w:t>0.16%</w:t>
            </w:r>
          </w:p>
        </w:tc>
      </w:tr>
      <w:tr w:rsidR="004E40BB">
        <w:tc>
          <w:tcPr>
            <w:tcW w:w="1395" w:type="dxa"/>
            <w:vAlign w:val="center"/>
          </w:tcPr>
          <w:p w:rsidR="004E40BB" w:rsidRDefault="00D532B4">
            <w:pPr>
              <w:jc w:val="left"/>
            </w:pPr>
            <w:r>
              <w:rPr>
                <w:rFonts w:eastAsiaTheme="minorEastAsia"/>
                <w:color w:val="000000" w:themeColor="text1"/>
                <w:kern w:val="0"/>
              </w:rPr>
              <w:t>过去三年</w:t>
            </w:r>
          </w:p>
        </w:tc>
        <w:tc>
          <w:tcPr>
            <w:tcW w:w="1092" w:type="dxa"/>
            <w:vAlign w:val="center"/>
          </w:tcPr>
          <w:p w:rsidR="004E40BB" w:rsidRDefault="00D532B4">
            <w:pPr>
              <w:jc w:val="center"/>
            </w:pPr>
            <w:r>
              <w:rPr>
                <w:rFonts w:eastAsiaTheme="minorEastAsia"/>
                <w:color w:val="000000" w:themeColor="text1"/>
                <w:kern w:val="0"/>
              </w:rPr>
              <w:t>66.81%</w:t>
            </w:r>
          </w:p>
        </w:tc>
        <w:tc>
          <w:tcPr>
            <w:tcW w:w="1161" w:type="dxa"/>
            <w:vAlign w:val="center"/>
          </w:tcPr>
          <w:p w:rsidR="004E40BB" w:rsidRDefault="00D532B4">
            <w:pPr>
              <w:jc w:val="center"/>
            </w:pPr>
            <w:r>
              <w:rPr>
                <w:rFonts w:eastAsiaTheme="minorEastAsia"/>
                <w:color w:val="000000" w:themeColor="text1"/>
                <w:kern w:val="0"/>
              </w:rPr>
              <w:t>1.43%</w:t>
            </w:r>
          </w:p>
        </w:tc>
        <w:tc>
          <w:tcPr>
            <w:tcW w:w="1181" w:type="dxa"/>
            <w:vAlign w:val="center"/>
          </w:tcPr>
          <w:p w:rsidR="004E40BB" w:rsidRDefault="00D532B4">
            <w:pPr>
              <w:jc w:val="center"/>
            </w:pPr>
            <w:r>
              <w:rPr>
                <w:rFonts w:eastAsiaTheme="minorEastAsia"/>
                <w:color w:val="000000" w:themeColor="text1"/>
                <w:kern w:val="0"/>
              </w:rPr>
              <w:t>42.12%</w:t>
            </w:r>
          </w:p>
        </w:tc>
        <w:tc>
          <w:tcPr>
            <w:tcW w:w="1188" w:type="dxa"/>
            <w:vAlign w:val="center"/>
          </w:tcPr>
          <w:p w:rsidR="004E40BB" w:rsidRDefault="00D532B4">
            <w:pPr>
              <w:jc w:val="center"/>
            </w:pPr>
            <w:r>
              <w:rPr>
                <w:rFonts w:eastAsiaTheme="minorEastAsia"/>
                <w:color w:val="000000" w:themeColor="text1"/>
                <w:kern w:val="0"/>
              </w:rPr>
              <w:t>1.16%</w:t>
            </w:r>
          </w:p>
        </w:tc>
        <w:tc>
          <w:tcPr>
            <w:tcW w:w="1199" w:type="dxa"/>
            <w:vAlign w:val="center"/>
          </w:tcPr>
          <w:p w:rsidR="004E40BB" w:rsidRDefault="00D532B4">
            <w:pPr>
              <w:jc w:val="center"/>
            </w:pPr>
            <w:r>
              <w:rPr>
                <w:rFonts w:eastAsiaTheme="minorEastAsia"/>
                <w:color w:val="000000" w:themeColor="text1"/>
                <w:kern w:val="0"/>
              </w:rPr>
              <w:t>24.69%</w:t>
            </w:r>
          </w:p>
        </w:tc>
        <w:tc>
          <w:tcPr>
            <w:tcW w:w="1204" w:type="dxa"/>
            <w:vAlign w:val="center"/>
          </w:tcPr>
          <w:p w:rsidR="004E40BB" w:rsidRDefault="00D532B4">
            <w:pPr>
              <w:jc w:val="center"/>
            </w:pPr>
            <w:r>
              <w:rPr>
                <w:rFonts w:eastAsiaTheme="minorEastAsia"/>
                <w:color w:val="000000" w:themeColor="text1"/>
                <w:kern w:val="0"/>
              </w:rPr>
              <w:t>0.27%</w:t>
            </w:r>
          </w:p>
        </w:tc>
      </w:tr>
      <w:tr w:rsidR="004E40BB">
        <w:tc>
          <w:tcPr>
            <w:tcW w:w="1395" w:type="dxa"/>
            <w:vAlign w:val="center"/>
          </w:tcPr>
          <w:p w:rsidR="004E40BB" w:rsidRDefault="00D532B4">
            <w:pPr>
              <w:jc w:val="left"/>
            </w:pPr>
            <w:r>
              <w:rPr>
                <w:rFonts w:eastAsiaTheme="minorEastAsia"/>
                <w:color w:val="000000" w:themeColor="text1"/>
                <w:kern w:val="0"/>
              </w:rPr>
              <w:t>过去五年</w:t>
            </w:r>
          </w:p>
        </w:tc>
        <w:tc>
          <w:tcPr>
            <w:tcW w:w="1092" w:type="dxa"/>
            <w:vAlign w:val="center"/>
          </w:tcPr>
          <w:p w:rsidR="004E40BB" w:rsidRDefault="00D532B4">
            <w:pPr>
              <w:jc w:val="center"/>
            </w:pPr>
            <w:r>
              <w:rPr>
                <w:rFonts w:eastAsiaTheme="minorEastAsia"/>
                <w:color w:val="000000" w:themeColor="text1"/>
                <w:kern w:val="0"/>
              </w:rPr>
              <w:t>106.84%</w:t>
            </w:r>
          </w:p>
        </w:tc>
        <w:tc>
          <w:tcPr>
            <w:tcW w:w="1161" w:type="dxa"/>
            <w:vAlign w:val="center"/>
          </w:tcPr>
          <w:p w:rsidR="004E40BB" w:rsidRDefault="00D532B4">
            <w:pPr>
              <w:jc w:val="center"/>
            </w:pPr>
            <w:r>
              <w:rPr>
                <w:rFonts w:eastAsiaTheme="minorEastAsia"/>
                <w:color w:val="000000" w:themeColor="text1"/>
                <w:kern w:val="0"/>
              </w:rPr>
              <w:t>1.31%</w:t>
            </w:r>
          </w:p>
        </w:tc>
        <w:tc>
          <w:tcPr>
            <w:tcW w:w="1181" w:type="dxa"/>
            <w:vAlign w:val="center"/>
          </w:tcPr>
          <w:p w:rsidR="004E40BB" w:rsidRDefault="00D532B4">
            <w:pPr>
              <w:jc w:val="center"/>
            </w:pPr>
            <w:r>
              <w:rPr>
                <w:rFonts w:eastAsiaTheme="minorEastAsia"/>
                <w:color w:val="000000" w:themeColor="text1"/>
                <w:kern w:val="0"/>
              </w:rPr>
              <w:t>56.01%</w:t>
            </w:r>
          </w:p>
        </w:tc>
        <w:tc>
          <w:tcPr>
            <w:tcW w:w="1188" w:type="dxa"/>
            <w:vAlign w:val="center"/>
          </w:tcPr>
          <w:p w:rsidR="004E40BB" w:rsidRDefault="00D532B4">
            <w:pPr>
              <w:jc w:val="center"/>
            </w:pPr>
            <w:r>
              <w:rPr>
                <w:rFonts w:eastAsiaTheme="minorEastAsia"/>
                <w:color w:val="000000" w:themeColor="text1"/>
                <w:kern w:val="0"/>
              </w:rPr>
              <w:t>1.00%</w:t>
            </w:r>
          </w:p>
        </w:tc>
        <w:tc>
          <w:tcPr>
            <w:tcW w:w="1199" w:type="dxa"/>
            <w:vAlign w:val="center"/>
          </w:tcPr>
          <w:p w:rsidR="004E40BB" w:rsidRDefault="00D532B4">
            <w:pPr>
              <w:jc w:val="center"/>
            </w:pPr>
            <w:r>
              <w:rPr>
                <w:rFonts w:eastAsiaTheme="minorEastAsia"/>
                <w:color w:val="000000" w:themeColor="text1"/>
                <w:kern w:val="0"/>
              </w:rPr>
              <w:t>50.83%</w:t>
            </w:r>
          </w:p>
        </w:tc>
        <w:tc>
          <w:tcPr>
            <w:tcW w:w="1204" w:type="dxa"/>
            <w:vAlign w:val="center"/>
          </w:tcPr>
          <w:p w:rsidR="004E40BB" w:rsidRDefault="00D532B4">
            <w:pPr>
              <w:jc w:val="center"/>
            </w:pPr>
            <w:r>
              <w:rPr>
                <w:rFonts w:eastAsiaTheme="minorEastAsia"/>
                <w:color w:val="000000" w:themeColor="text1"/>
                <w:kern w:val="0"/>
              </w:rPr>
              <w:t>0.31%</w:t>
            </w:r>
          </w:p>
        </w:tc>
      </w:tr>
      <w:tr w:rsidR="004E40BB">
        <w:tc>
          <w:tcPr>
            <w:tcW w:w="1395" w:type="dxa"/>
            <w:vAlign w:val="center"/>
          </w:tcPr>
          <w:p w:rsidR="004E40BB" w:rsidRDefault="00D532B4">
            <w:pPr>
              <w:jc w:val="left"/>
            </w:pPr>
            <w:r>
              <w:rPr>
                <w:rFonts w:eastAsiaTheme="minorEastAsia"/>
                <w:color w:val="000000" w:themeColor="text1"/>
                <w:kern w:val="0"/>
              </w:rPr>
              <w:t>自基金合同生效起至今</w:t>
            </w:r>
          </w:p>
        </w:tc>
        <w:tc>
          <w:tcPr>
            <w:tcW w:w="1092" w:type="dxa"/>
            <w:vAlign w:val="center"/>
          </w:tcPr>
          <w:p w:rsidR="004E40BB" w:rsidRDefault="00D532B4">
            <w:pPr>
              <w:jc w:val="center"/>
            </w:pPr>
            <w:r>
              <w:rPr>
                <w:rFonts w:eastAsiaTheme="minorEastAsia"/>
                <w:color w:val="000000" w:themeColor="text1"/>
                <w:kern w:val="0"/>
              </w:rPr>
              <w:t>237.15%</w:t>
            </w:r>
          </w:p>
        </w:tc>
        <w:tc>
          <w:tcPr>
            <w:tcW w:w="1161" w:type="dxa"/>
            <w:vAlign w:val="center"/>
          </w:tcPr>
          <w:p w:rsidR="004E40BB" w:rsidRDefault="00D532B4">
            <w:pPr>
              <w:jc w:val="center"/>
            </w:pPr>
            <w:r>
              <w:rPr>
                <w:rFonts w:eastAsiaTheme="minorEastAsia"/>
                <w:color w:val="000000" w:themeColor="text1"/>
                <w:kern w:val="0"/>
              </w:rPr>
              <w:t>1.65%</w:t>
            </w:r>
          </w:p>
        </w:tc>
        <w:tc>
          <w:tcPr>
            <w:tcW w:w="1181" w:type="dxa"/>
            <w:vAlign w:val="center"/>
          </w:tcPr>
          <w:p w:rsidR="004E40BB" w:rsidRDefault="00D532B4">
            <w:pPr>
              <w:jc w:val="center"/>
            </w:pPr>
            <w:r>
              <w:rPr>
                <w:rFonts w:eastAsiaTheme="minorEastAsia"/>
                <w:color w:val="000000" w:themeColor="text1"/>
                <w:kern w:val="0"/>
              </w:rPr>
              <w:t>117.54%</w:t>
            </w:r>
          </w:p>
        </w:tc>
        <w:tc>
          <w:tcPr>
            <w:tcW w:w="1188" w:type="dxa"/>
            <w:vAlign w:val="center"/>
          </w:tcPr>
          <w:p w:rsidR="004E40BB" w:rsidRDefault="00D532B4">
            <w:pPr>
              <w:jc w:val="center"/>
            </w:pPr>
            <w:r>
              <w:rPr>
                <w:rFonts w:eastAsiaTheme="minorEastAsia"/>
                <w:color w:val="000000" w:themeColor="text1"/>
                <w:kern w:val="0"/>
              </w:rPr>
              <w:t>1.25%</w:t>
            </w:r>
          </w:p>
        </w:tc>
        <w:tc>
          <w:tcPr>
            <w:tcW w:w="1199" w:type="dxa"/>
            <w:vAlign w:val="center"/>
          </w:tcPr>
          <w:p w:rsidR="004E40BB" w:rsidRDefault="00D532B4">
            <w:pPr>
              <w:jc w:val="center"/>
            </w:pPr>
            <w:r>
              <w:rPr>
                <w:rFonts w:eastAsiaTheme="minorEastAsia"/>
                <w:color w:val="000000" w:themeColor="text1"/>
                <w:kern w:val="0"/>
              </w:rPr>
              <w:t>119.61%</w:t>
            </w:r>
          </w:p>
        </w:tc>
        <w:tc>
          <w:tcPr>
            <w:tcW w:w="1204" w:type="dxa"/>
            <w:vAlign w:val="center"/>
          </w:tcPr>
          <w:p w:rsidR="004E40BB" w:rsidRDefault="00D532B4">
            <w:pPr>
              <w:jc w:val="center"/>
            </w:pPr>
            <w:r>
              <w:rPr>
                <w:rFonts w:eastAsiaTheme="minorEastAsia"/>
                <w:color w:val="000000" w:themeColor="text1"/>
                <w:kern w:val="0"/>
              </w:rPr>
              <w:t>0.40%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上投摩根核心成长股票型证券投资基金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(2014</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10</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4E40BB" w:rsidRDefault="00D532B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w:t>
      </w:r>
      <w:r>
        <w:rPr>
          <w:rFonts w:eastAsiaTheme="minorEastAsia"/>
          <w:color w:val="000000" w:themeColor="text1"/>
        </w:rPr>
        <w:t>10</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4E40BB">
        <w:tc>
          <w:tcPr>
            <w:tcW w:w="851" w:type="dxa"/>
            <w:vAlign w:val="center"/>
          </w:tcPr>
          <w:p w:rsidR="004E40BB" w:rsidRDefault="00D532B4">
            <w:pPr>
              <w:jc w:val="center"/>
            </w:pPr>
            <w:r>
              <w:rPr>
                <w:rFonts w:eastAsiaTheme="minorEastAsia"/>
                <w:color w:val="000000" w:themeColor="text1"/>
              </w:rPr>
              <w:t>李博</w:t>
            </w:r>
          </w:p>
        </w:tc>
        <w:tc>
          <w:tcPr>
            <w:tcW w:w="850" w:type="dxa"/>
            <w:vAlign w:val="center"/>
          </w:tcPr>
          <w:p w:rsidR="004E40BB" w:rsidRDefault="00D532B4">
            <w:pPr>
              <w:jc w:val="center"/>
            </w:pPr>
            <w:r>
              <w:rPr>
                <w:rFonts w:eastAsiaTheme="minorEastAsia"/>
                <w:color w:val="000000" w:themeColor="text1"/>
              </w:rPr>
              <w:t>本基金基金经理</w:t>
            </w:r>
          </w:p>
        </w:tc>
        <w:tc>
          <w:tcPr>
            <w:tcW w:w="1560" w:type="dxa"/>
            <w:vAlign w:val="center"/>
          </w:tcPr>
          <w:p w:rsidR="004E40BB" w:rsidRDefault="00D532B4">
            <w:pPr>
              <w:jc w:val="center"/>
            </w:pPr>
            <w:r>
              <w:rPr>
                <w:rFonts w:eastAsiaTheme="minorEastAsia"/>
                <w:color w:val="000000" w:themeColor="text1"/>
              </w:rPr>
              <w:t>2014-12-31</w:t>
            </w:r>
          </w:p>
        </w:tc>
        <w:tc>
          <w:tcPr>
            <w:tcW w:w="1559" w:type="dxa"/>
            <w:vAlign w:val="center"/>
          </w:tcPr>
          <w:p w:rsidR="004E40BB" w:rsidRDefault="00D532B4">
            <w:pPr>
              <w:jc w:val="center"/>
            </w:pPr>
            <w:r>
              <w:rPr>
                <w:rFonts w:eastAsiaTheme="minorEastAsia"/>
                <w:color w:val="000000" w:themeColor="text1"/>
              </w:rPr>
              <w:t>-</w:t>
            </w:r>
          </w:p>
        </w:tc>
        <w:tc>
          <w:tcPr>
            <w:tcW w:w="1417" w:type="dxa"/>
            <w:vAlign w:val="center"/>
          </w:tcPr>
          <w:p w:rsidR="004E40BB" w:rsidRDefault="00D532B4">
            <w:pPr>
              <w:jc w:val="center"/>
            </w:pPr>
            <w:r>
              <w:rPr>
                <w:rFonts w:eastAsiaTheme="minorEastAsia"/>
                <w:color w:val="000000" w:themeColor="text1"/>
              </w:rPr>
              <w:t>12</w:t>
            </w:r>
            <w:r>
              <w:rPr>
                <w:rFonts w:eastAsiaTheme="minorEastAsia"/>
                <w:color w:val="000000" w:themeColor="text1"/>
              </w:rPr>
              <w:t>年</w:t>
            </w:r>
          </w:p>
        </w:tc>
        <w:tc>
          <w:tcPr>
            <w:tcW w:w="2694" w:type="dxa"/>
            <w:vAlign w:val="center"/>
          </w:tcPr>
          <w:p w:rsidR="004E40BB" w:rsidRDefault="00D532B4">
            <w:r>
              <w:rPr>
                <w:rFonts w:eastAsiaTheme="minorEastAsia"/>
                <w:color w:val="000000" w:themeColor="text1"/>
              </w:rPr>
              <w:t>李博先生，上海交通大学硕士，自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月在中银国际证券有限公司担任研究员，负责研究方面的工作。自</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月起加入上投摩根基金管理有限公司，先后担任行业专家、基金经理、资深基金经理、国内权益投资部价值成长组组长兼资深基金经理，自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月起担任上投摩根核心成长股票型证券投资基金基金经理，</w:t>
            </w:r>
            <w:r>
              <w:rPr>
                <w:rFonts w:eastAsiaTheme="minorEastAsia"/>
                <w:color w:val="000000" w:themeColor="text1"/>
              </w:rPr>
              <w:lastRenderedPageBreak/>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月同时担任上投摩根科技前沿灵活配置混合型证券投资基金基金经理，自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月起同时担任上投摩根阿尔法混合型证券投资基金基金经理，自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w:t>
            </w:r>
            <w:r>
              <w:rPr>
                <w:rFonts w:eastAsiaTheme="minorEastAsia"/>
                <w:color w:val="000000" w:themeColor="text1"/>
              </w:rPr>
              <w:t>同时担任上投摩根双息平衡混合型证券投资基金基金经理，自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月起同时担任上投摩根核心精选股票型证券投资基金基金经理。</w:t>
            </w:r>
          </w:p>
        </w:tc>
      </w:tr>
    </w:tbl>
    <w:p w:rsidR="004E40BB" w:rsidRDefault="00D532B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2.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w:t>
      </w:r>
      <w:r>
        <w:rPr>
          <w:rFonts w:eastAsiaTheme="minorEastAsia"/>
          <w:color w:val="000000" w:themeColor="text1"/>
        </w:rPr>
        <w:lastRenderedPageBreak/>
        <w:t>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二季度，市场震荡向上，但结构性分化较明显，沪深</w:t>
      </w:r>
      <w:r>
        <w:rPr>
          <w:rFonts w:eastAsiaTheme="minorEastAsia"/>
          <w:color w:val="000000" w:themeColor="text1"/>
        </w:rPr>
        <w:t>300</w:t>
      </w:r>
      <w:r>
        <w:rPr>
          <w:rFonts w:eastAsiaTheme="minorEastAsia"/>
          <w:color w:val="000000" w:themeColor="text1"/>
        </w:rPr>
        <w:t>上涨</w:t>
      </w:r>
      <w:r>
        <w:rPr>
          <w:rFonts w:eastAsiaTheme="minorEastAsia"/>
          <w:color w:val="000000" w:themeColor="text1"/>
        </w:rPr>
        <w:t>3.5%</w:t>
      </w:r>
      <w:r>
        <w:rPr>
          <w:rFonts w:eastAsiaTheme="minorEastAsia"/>
          <w:color w:val="000000" w:themeColor="text1"/>
        </w:rPr>
        <w:t>，创业板大涨</w:t>
      </w:r>
      <w:r>
        <w:rPr>
          <w:rFonts w:eastAsiaTheme="minorEastAsia"/>
          <w:color w:val="000000" w:themeColor="text1"/>
        </w:rPr>
        <w:t>26.1%</w:t>
      </w:r>
      <w:r>
        <w:rPr>
          <w:rFonts w:eastAsiaTheme="minorEastAsia"/>
          <w:color w:val="000000" w:themeColor="text1"/>
        </w:rPr>
        <w:t>。板块方面，电力设备和电子元器件领涨，农林牧渔、房地产和家电领跌。上半年以来国内经济向好，一季度国内生产总值</w:t>
      </w:r>
      <w:r>
        <w:rPr>
          <w:rFonts w:eastAsiaTheme="minorEastAsia"/>
          <w:color w:val="000000" w:themeColor="text1"/>
        </w:rPr>
        <w:t>24.93</w:t>
      </w:r>
      <w:r>
        <w:rPr>
          <w:rFonts w:eastAsiaTheme="minorEastAsia"/>
          <w:color w:val="000000" w:themeColor="text1"/>
        </w:rPr>
        <w:t>万亿，按可比价格计算，同比增长</w:t>
      </w:r>
      <w:r>
        <w:rPr>
          <w:rFonts w:eastAsiaTheme="minorEastAsia"/>
          <w:color w:val="000000" w:themeColor="text1"/>
        </w:rPr>
        <w:t>18.3%</w:t>
      </w:r>
      <w:r>
        <w:rPr>
          <w:rFonts w:eastAsiaTheme="minorEastAsia"/>
          <w:color w:val="000000" w:themeColor="text1"/>
        </w:rPr>
        <w:t>。伴随着经济回暖，企业盈利增速延续了去年下半年以来的向好趋势。本基金重点配置了估值和成长相匹配的个股，此外，本季度还减持了部分前期超额收益较多的个股，增持了部分市场关注度不高的成长股。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进入下半年，我们判断市场机会将大于风险，</w:t>
      </w:r>
      <w:r w:rsidRPr="00FF6B9A">
        <w:rPr>
          <w:rFonts w:eastAsiaTheme="minorEastAsia"/>
          <w:color w:val="000000" w:themeColor="text1"/>
        </w:rPr>
        <w:t>A</w:t>
      </w:r>
      <w:r w:rsidRPr="00FF6B9A">
        <w:rPr>
          <w:rFonts w:eastAsiaTheme="minorEastAsia"/>
          <w:color w:val="000000" w:themeColor="text1"/>
        </w:rPr>
        <w:t>股有望呈现结构性的投资机会。过去</w:t>
      </w:r>
      <w:r w:rsidRPr="00FF6B9A">
        <w:rPr>
          <w:rFonts w:eastAsiaTheme="minorEastAsia"/>
          <w:color w:val="000000" w:themeColor="text1"/>
        </w:rPr>
        <w:t>2</w:t>
      </w:r>
      <w:r w:rsidRPr="00FF6B9A">
        <w:rPr>
          <w:rFonts w:eastAsiaTheme="minorEastAsia"/>
          <w:color w:val="000000" w:themeColor="text1"/>
        </w:rPr>
        <w:t>年股价的上涨更多来源于估值的上升，站在目前的时点，我们认为未来公司估值继续提升的可能性大幅降低，我们将更看重公司业绩的增长。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本报告期上投摩根核心成长股票份额净值增长率为</w:t>
      </w:r>
      <w:r w:rsidRPr="00FF6B9A">
        <w:rPr>
          <w:rFonts w:eastAsiaTheme="minorEastAsia"/>
          <w:color w:val="000000" w:themeColor="text1"/>
        </w:rPr>
        <w:t>:1.30%</w:t>
      </w:r>
      <w:r w:rsidRPr="00FF6B9A">
        <w:rPr>
          <w:rFonts w:eastAsiaTheme="minorEastAsia"/>
          <w:color w:val="000000" w:themeColor="text1"/>
        </w:rPr>
        <w:t>，同期业绩比较基准收益率为</w:t>
      </w:r>
      <w:r w:rsidRPr="00FF6B9A">
        <w:rPr>
          <w:rFonts w:eastAsiaTheme="minorEastAsia"/>
          <w:color w:val="000000" w:themeColor="text1"/>
        </w:rPr>
        <w:t>:3.03%</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1,344,597,339.95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79.52</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1,344,597,339.95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79.52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339,568,614.40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20.08</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6,743,915.71</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0.40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1,690,909,870.06</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1,086,162,938.02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65.05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13,020.39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14,881,050.01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8,454,755.22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44,118,288.27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142,957,717.36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8.56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19,800,045.00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39,903.65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798,850.00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27,370,772.03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1,344,597,339.95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80.53</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4E40BB">
        <w:tc>
          <w:tcPr>
            <w:tcW w:w="817" w:type="dxa"/>
            <w:vAlign w:val="center"/>
          </w:tcPr>
          <w:p w:rsidR="004E40BB" w:rsidRDefault="00D532B4">
            <w:pPr>
              <w:jc w:val="center"/>
            </w:pPr>
            <w:r>
              <w:rPr>
                <w:rFonts w:eastAsiaTheme="minorEastAsia"/>
                <w:kern w:val="0"/>
                <w:sz w:val="24"/>
                <w:szCs w:val="24"/>
              </w:rPr>
              <w:t>1</w:t>
            </w:r>
          </w:p>
        </w:tc>
        <w:tc>
          <w:tcPr>
            <w:tcW w:w="1276" w:type="dxa"/>
            <w:vAlign w:val="center"/>
          </w:tcPr>
          <w:p w:rsidR="004E40BB" w:rsidRDefault="00D532B4">
            <w:pPr>
              <w:jc w:val="center"/>
            </w:pPr>
            <w:r>
              <w:rPr>
                <w:rFonts w:eastAsiaTheme="minorEastAsia"/>
                <w:kern w:val="0"/>
                <w:sz w:val="24"/>
                <w:szCs w:val="24"/>
              </w:rPr>
              <w:t>002043</w:t>
            </w:r>
          </w:p>
        </w:tc>
        <w:tc>
          <w:tcPr>
            <w:tcW w:w="1701" w:type="dxa"/>
            <w:vAlign w:val="center"/>
          </w:tcPr>
          <w:p w:rsidR="004E40BB" w:rsidRDefault="00D532B4">
            <w:pPr>
              <w:jc w:val="center"/>
            </w:pPr>
            <w:r>
              <w:rPr>
                <w:rFonts w:eastAsiaTheme="minorEastAsia"/>
                <w:kern w:val="0"/>
                <w:sz w:val="24"/>
                <w:szCs w:val="24"/>
              </w:rPr>
              <w:t>兔宝宝</w:t>
            </w:r>
          </w:p>
        </w:tc>
        <w:tc>
          <w:tcPr>
            <w:tcW w:w="1276" w:type="dxa"/>
            <w:vAlign w:val="center"/>
          </w:tcPr>
          <w:p w:rsidR="004E40BB" w:rsidRDefault="00D532B4">
            <w:pPr>
              <w:jc w:val="right"/>
            </w:pPr>
            <w:r>
              <w:rPr>
                <w:rFonts w:eastAsiaTheme="minorEastAsia"/>
                <w:kern w:val="0"/>
                <w:sz w:val="24"/>
                <w:szCs w:val="24"/>
              </w:rPr>
              <w:t>15,124,135</w:t>
            </w:r>
          </w:p>
        </w:tc>
        <w:tc>
          <w:tcPr>
            <w:tcW w:w="1842" w:type="dxa"/>
            <w:vAlign w:val="center"/>
          </w:tcPr>
          <w:p w:rsidR="004E40BB" w:rsidRDefault="00D532B4">
            <w:pPr>
              <w:jc w:val="right"/>
            </w:pPr>
            <w:r>
              <w:rPr>
                <w:rFonts w:eastAsiaTheme="minorEastAsia"/>
                <w:kern w:val="0"/>
                <w:sz w:val="24"/>
                <w:szCs w:val="24"/>
              </w:rPr>
              <w:t>149,123,971.10</w:t>
            </w:r>
          </w:p>
        </w:tc>
        <w:tc>
          <w:tcPr>
            <w:tcW w:w="1616" w:type="dxa"/>
            <w:vAlign w:val="center"/>
          </w:tcPr>
          <w:p w:rsidR="004E40BB" w:rsidRDefault="00D532B4">
            <w:pPr>
              <w:jc w:val="right"/>
            </w:pPr>
            <w:r>
              <w:rPr>
                <w:rFonts w:eastAsiaTheme="minorEastAsia"/>
                <w:kern w:val="0"/>
                <w:sz w:val="24"/>
                <w:szCs w:val="24"/>
              </w:rPr>
              <w:t>8.93</w:t>
            </w:r>
          </w:p>
        </w:tc>
      </w:tr>
      <w:tr w:rsidR="004E40BB">
        <w:tc>
          <w:tcPr>
            <w:tcW w:w="817" w:type="dxa"/>
            <w:vAlign w:val="center"/>
          </w:tcPr>
          <w:p w:rsidR="004E40BB" w:rsidRDefault="00D532B4">
            <w:pPr>
              <w:jc w:val="center"/>
            </w:pPr>
            <w:r>
              <w:rPr>
                <w:rFonts w:eastAsiaTheme="minorEastAsia"/>
                <w:kern w:val="0"/>
                <w:sz w:val="24"/>
                <w:szCs w:val="24"/>
              </w:rPr>
              <w:t>2</w:t>
            </w:r>
          </w:p>
        </w:tc>
        <w:tc>
          <w:tcPr>
            <w:tcW w:w="1276" w:type="dxa"/>
            <w:vAlign w:val="center"/>
          </w:tcPr>
          <w:p w:rsidR="004E40BB" w:rsidRDefault="00D532B4">
            <w:pPr>
              <w:jc w:val="center"/>
            </w:pPr>
            <w:r>
              <w:rPr>
                <w:rFonts w:eastAsiaTheme="minorEastAsia"/>
                <w:kern w:val="0"/>
                <w:sz w:val="24"/>
                <w:szCs w:val="24"/>
              </w:rPr>
              <w:t>603008</w:t>
            </w:r>
          </w:p>
        </w:tc>
        <w:tc>
          <w:tcPr>
            <w:tcW w:w="1701" w:type="dxa"/>
            <w:vAlign w:val="center"/>
          </w:tcPr>
          <w:p w:rsidR="004E40BB" w:rsidRDefault="00D532B4">
            <w:pPr>
              <w:jc w:val="center"/>
            </w:pPr>
            <w:r>
              <w:rPr>
                <w:rFonts w:eastAsiaTheme="minorEastAsia"/>
                <w:kern w:val="0"/>
                <w:sz w:val="24"/>
                <w:szCs w:val="24"/>
              </w:rPr>
              <w:t>喜临门</w:t>
            </w:r>
          </w:p>
        </w:tc>
        <w:tc>
          <w:tcPr>
            <w:tcW w:w="1276" w:type="dxa"/>
            <w:vAlign w:val="center"/>
          </w:tcPr>
          <w:p w:rsidR="004E40BB" w:rsidRDefault="00D532B4">
            <w:pPr>
              <w:jc w:val="right"/>
            </w:pPr>
            <w:r>
              <w:rPr>
                <w:rFonts w:eastAsiaTheme="minorEastAsia"/>
                <w:kern w:val="0"/>
                <w:sz w:val="24"/>
                <w:szCs w:val="24"/>
              </w:rPr>
              <w:t>4,025,293</w:t>
            </w:r>
          </w:p>
        </w:tc>
        <w:tc>
          <w:tcPr>
            <w:tcW w:w="1842" w:type="dxa"/>
            <w:vAlign w:val="center"/>
          </w:tcPr>
          <w:p w:rsidR="004E40BB" w:rsidRDefault="00D532B4">
            <w:pPr>
              <w:jc w:val="right"/>
            </w:pPr>
            <w:r>
              <w:rPr>
                <w:rFonts w:eastAsiaTheme="minorEastAsia"/>
                <w:kern w:val="0"/>
                <w:sz w:val="24"/>
                <w:szCs w:val="24"/>
              </w:rPr>
              <w:t>132,874,921.93</w:t>
            </w:r>
          </w:p>
        </w:tc>
        <w:tc>
          <w:tcPr>
            <w:tcW w:w="1616" w:type="dxa"/>
            <w:vAlign w:val="center"/>
          </w:tcPr>
          <w:p w:rsidR="004E40BB" w:rsidRDefault="00D532B4">
            <w:pPr>
              <w:jc w:val="right"/>
            </w:pPr>
            <w:r>
              <w:rPr>
                <w:rFonts w:eastAsiaTheme="minorEastAsia"/>
                <w:kern w:val="0"/>
                <w:sz w:val="24"/>
                <w:szCs w:val="24"/>
              </w:rPr>
              <w:t>7.96</w:t>
            </w:r>
          </w:p>
        </w:tc>
      </w:tr>
      <w:tr w:rsidR="004E40BB">
        <w:tc>
          <w:tcPr>
            <w:tcW w:w="817" w:type="dxa"/>
            <w:vAlign w:val="center"/>
          </w:tcPr>
          <w:p w:rsidR="004E40BB" w:rsidRDefault="00D532B4">
            <w:pPr>
              <w:jc w:val="center"/>
            </w:pPr>
            <w:r>
              <w:rPr>
                <w:rFonts w:eastAsiaTheme="minorEastAsia"/>
                <w:kern w:val="0"/>
                <w:sz w:val="24"/>
                <w:szCs w:val="24"/>
              </w:rPr>
              <w:t>3</w:t>
            </w:r>
          </w:p>
        </w:tc>
        <w:tc>
          <w:tcPr>
            <w:tcW w:w="1276" w:type="dxa"/>
            <w:vAlign w:val="center"/>
          </w:tcPr>
          <w:p w:rsidR="004E40BB" w:rsidRDefault="00D532B4">
            <w:pPr>
              <w:jc w:val="center"/>
            </w:pPr>
            <w:r>
              <w:rPr>
                <w:rFonts w:eastAsiaTheme="minorEastAsia"/>
                <w:kern w:val="0"/>
                <w:sz w:val="24"/>
                <w:szCs w:val="24"/>
              </w:rPr>
              <w:t>002236</w:t>
            </w:r>
          </w:p>
        </w:tc>
        <w:tc>
          <w:tcPr>
            <w:tcW w:w="1701" w:type="dxa"/>
            <w:vAlign w:val="center"/>
          </w:tcPr>
          <w:p w:rsidR="004E40BB" w:rsidRDefault="00D532B4">
            <w:pPr>
              <w:jc w:val="center"/>
            </w:pPr>
            <w:r>
              <w:rPr>
                <w:rFonts w:eastAsiaTheme="minorEastAsia"/>
                <w:kern w:val="0"/>
                <w:sz w:val="24"/>
                <w:szCs w:val="24"/>
              </w:rPr>
              <w:t>大华股份</w:t>
            </w:r>
          </w:p>
        </w:tc>
        <w:tc>
          <w:tcPr>
            <w:tcW w:w="1276" w:type="dxa"/>
            <w:vAlign w:val="center"/>
          </w:tcPr>
          <w:p w:rsidR="004E40BB" w:rsidRDefault="00D532B4">
            <w:pPr>
              <w:jc w:val="right"/>
            </w:pPr>
            <w:r>
              <w:rPr>
                <w:rFonts w:eastAsiaTheme="minorEastAsia"/>
                <w:kern w:val="0"/>
                <w:sz w:val="24"/>
                <w:szCs w:val="24"/>
              </w:rPr>
              <w:t>5,618,235</w:t>
            </w:r>
          </w:p>
        </w:tc>
        <w:tc>
          <w:tcPr>
            <w:tcW w:w="1842" w:type="dxa"/>
            <w:vAlign w:val="center"/>
          </w:tcPr>
          <w:p w:rsidR="004E40BB" w:rsidRDefault="00D532B4">
            <w:pPr>
              <w:jc w:val="right"/>
            </w:pPr>
            <w:r>
              <w:rPr>
                <w:rFonts w:eastAsiaTheme="minorEastAsia"/>
                <w:kern w:val="0"/>
                <w:sz w:val="24"/>
                <w:szCs w:val="24"/>
              </w:rPr>
              <w:t>118,544,758.50</w:t>
            </w:r>
          </w:p>
        </w:tc>
        <w:tc>
          <w:tcPr>
            <w:tcW w:w="1616" w:type="dxa"/>
            <w:vAlign w:val="center"/>
          </w:tcPr>
          <w:p w:rsidR="004E40BB" w:rsidRDefault="00D532B4">
            <w:pPr>
              <w:jc w:val="right"/>
            </w:pPr>
            <w:r>
              <w:rPr>
                <w:rFonts w:eastAsiaTheme="minorEastAsia"/>
                <w:kern w:val="0"/>
                <w:sz w:val="24"/>
                <w:szCs w:val="24"/>
              </w:rPr>
              <w:t>7.10</w:t>
            </w:r>
          </w:p>
        </w:tc>
      </w:tr>
      <w:tr w:rsidR="004E40BB">
        <w:tc>
          <w:tcPr>
            <w:tcW w:w="817" w:type="dxa"/>
            <w:vAlign w:val="center"/>
          </w:tcPr>
          <w:p w:rsidR="004E40BB" w:rsidRDefault="00D532B4">
            <w:pPr>
              <w:jc w:val="center"/>
            </w:pPr>
            <w:r>
              <w:rPr>
                <w:rFonts w:eastAsiaTheme="minorEastAsia"/>
                <w:kern w:val="0"/>
                <w:sz w:val="24"/>
                <w:szCs w:val="24"/>
              </w:rPr>
              <w:t>4</w:t>
            </w:r>
          </w:p>
        </w:tc>
        <w:tc>
          <w:tcPr>
            <w:tcW w:w="1276" w:type="dxa"/>
            <w:vAlign w:val="center"/>
          </w:tcPr>
          <w:p w:rsidR="004E40BB" w:rsidRDefault="00D532B4">
            <w:pPr>
              <w:jc w:val="center"/>
            </w:pPr>
            <w:r>
              <w:rPr>
                <w:rFonts w:eastAsiaTheme="minorEastAsia"/>
                <w:kern w:val="0"/>
                <w:sz w:val="24"/>
                <w:szCs w:val="24"/>
              </w:rPr>
              <w:t>002572</w:t>
            </w:r>
          </w:p>
        </w:tc>
        <w:tc>
          <w:tcPr>
            <w:tcW w:w="1701" w:type="dxa"/>
            <w:vAlign w:val="center"/>
          </w:tcPr>
          <w:p w:rsidR="004E40BB" w:rsidRDefault="00D532B4">
            <w:pPr>
              <w:jc w:val="center"/>
            </w:pPr>
            <w:r>
              <w:rPr>
                <w:rFonts w:eastAsiaTheme="minorEastAsia"/>
                <w:kern w:val="0"/>
                <w:sz w:val="24"/>
                <w:szCs w:val="24"/>
              </w:rPr>
              <w:t>索菲亚</w:t>
            </w:r>
          </w:p>
        </w:tc>
        <w:tc>
          <w:tcPr>
            <w:tcW w:w="1276" w:type="dxa"/>
            <w:vAlign w:val="center"/>
          </w:tcPr>
          <w:p w:rsidR="004E40BB" w:rsidRDefault="00D532B4">
            <w:pPr>
              <w:jc w:val="right"/>
            </w:pPr>
            <w:r>
              <w:rPr>
                <w:rFonts w:eastAsiaTheme="minorEastAsia"/>
                <w:kern w:val="0"/>
                <w:sz w:val="24"/>
                <w:szCs w:val="24"/>
              </w:rPr>
              <w:t>4,142,802</w:t>
            </w:r>
          </w:p>
        </w:tc>
        <w:tc>
          <w:tcPr>
            <w:tcW w:w="1842" w:type="dxa"/>
            <w:vAlign w:val="center"/>
          </w:tcPr>
          <w:p w:rsidR="004E40BB" w:rsidRDefault="00D532B4">
            <w:pPr>
              <w:jc w:val="right"/>
            </w:pPr>
            <w:r>
              <w:rPr>
                <w:rFonts w:eastAsiaTheme="minorEastAsia"/>
                <w:kern w:val="0"/>
                <w:sz w:val="24"/>
                <w:szCs w:val="24"/>
              </w:rPr>
              <w:t>100,255,808.40</w:t>
            </w:r>
          </w:p>
        </w:tc>
        <w:tc>
          <w:tcPr>
            <w:tcW w:w="1616" w:type="dxa"/>
            <w:vAlign w:val="center"/>
          </w:tcPr>
          <w:p w:rsidR="004E40BB" w:rsidRDefault="00D532B4">
            <w:pPr>
              <w:jc w:val="right"/>
            </w:pPr>
            <w:r>
              <w:rPr>
                <w:rFonts w:eastAsiaTheme="minorEastAsia"/>
                <w:kern w:val="0"/>
                <w:sz w:val="24"/>
                <w:szCs w:val="24"/>
              </w:rPr>
              <w:t>6.00</w:t>
            </w:r>
          </w:p>
        </w:tc>
      </w:tr>
      <w:tr w:rsidR="004E40BB">
        <w:tc>
          <w:tcPr>
            <w:tcW w:w="817" w:type="dxa"/>
            <w:vAlign w:val="center"/>
          </w:tcPr>
          <w:p w:rsidR="004E40BB" w:rsidRDefault="00D532B4">
            <w:pPr>
              <w:jc w:val="center"/>
            </w:pPr>
            <w:r>
              <w:rPr>
                <w:rFonts w:eastAsiaTheme="minorEastAsia"/>
                <w:kern w:val="0"/>
                <w:sz w:val="24"/>
                <w:szCs w:val="24"/>
              </w:rPr>
              <w:t>5</w:t>
            </w:r>
          </w:p>
        </w:tc>
        <w:tc>
          <w:tcPr>
            <w:tcW w:w="1276" w:type="dxa"/>
            <w:vAlign w:val="center"/>
          </w:tcPr>
          <w:p w:rsidR="004E40BB" w:rsidRDefault="00D532B4">
            <w:pPr>
              <w:jc w:val="center"/>
            </w:pPr>
            <w:r>
              <w:rPr>
                <w:rFonts w:eastAsiaTheme="minorEastAsia"/>
                <w:kern w:val="0"/>
                <w:sz w:val="24"/>
                <w:szCs w:val="24"/>
              </w:rPr>
              <w:t>002614</w:t>
            </w:r>
          </w:p>
        </w:tc>
        <w:tc>
          <w:tcPr>
            <w:tcW w:w="1701" w:type="dxa"/>
            <w:vAlign w:val="center"/>
          </w:tcPr>
          <w:p w:rsidR="004E40BB" w:rsidRDefault="00D532B4">
            <w:pPr>
              <w:jc w:val="center"/>
            </w:pPr>
            <w:r>
              <w:rPr>
                <w:rFonts w:eastAsiaTheme="minorEastAsia"/>
                <w:kern w:val="0"/>
                <w:sz w:val="24"/>
                <w:szCs w:val="24"/>
              </w:rPr>
              <w:t>奥佳华</w:t>
            </w:r>
          </w:p>
        </w:tc>
        <w:tc>
          <w:tcPr>
            <w:tcW w:w="1276" w:type="dxa"/>
            <w:vAlign w:val="center"/>
          </w:tcPr>
          <w:p w:rsidR="004E40BB" w:rsidRDefault="00D532B4">
            <w:pPr>
              <w:jc w:val="right"/>
            </w:pPr>
            <w:r>
              <w:rPr>
                <w:rFonts w:eastAsiaTheme="minorEastAsia"/>
                <w:kern w:val="0"/>
                <w:sz w:val="24"/>
                <w:szCs w:val="24"/>
              </w:rPr>
              <w:t>4,264,542</w:t>
            </w:r>
          </w:p>
        </w:tc>
        <w:tc>
          <w:tcPr>
            <w:tcW w:w="1842" w:type="dxa"/>
            <w:vAlign w:val="center"/>
          </w:tcPr>
          <w:p w:rsidR="004E40BB" w:rsidRDefault="00D532B4">
            <w:pPr>
              <w:jc w:val="right"/>
            </w:pPr>
            <w:r>
              <w:rPr>
                <w:rFonts w:eastAsiaTheme="minorEastAsia"/>
                <w:kern w:val="0"/>
                <w:sz w:val="24"/>
                <w:szCs w:val="24"/>
              </w:rPr>
              <w:t>96,506,585.46</w:t>
            </w:r>
          </w:p>
        </w:tc>
        <w:tc>
          <w:tcPr>
            <w:tcW w:w="1616" w:type="dxa"/>
            <w:vAlign w:val="center"/>
          </w:tcPr>
          <w:p w:rsidR="004E40BB" w:rsidRDefault="00D532B4">
            <w:pPr>
              <w:jc w:val="right"/>
            </w:pPr>
            <w:r>
              <w:rPr>
                <w:rFonts w:eastAsiaTheme="minorEastAsia"/>
                <w:kern w:val="0"/>
                <w:sz w:val="24"/>
                <w:szCs w:val="24"/>
              </w:rPr>
              <w:t>5.78</w:t>
            </w:r>
          </w:p>
        </w:tc>
      </w:tr>
      <w:tr w:rsidR="004E40BB">
        <w:tc>
          <w:tcPr>
            <w:tcW w:w="817" w:type="dxa"/>
            <w:vAlign w:val="center"/>
          </w:tcPr>
          <w:p w:rsidR="004E40BB" w:rsidRDefault="00D532B4">
            <w:pPr>
              <w:jc w:val="center"/>
            </w:pPr>
            <w:r>
              <w:rPr>
                <w:rFonts w:eastAsiaTheme="minorEastAsia"/>
                <w:kern w:val="0"/>
                <w:sz w:val="24"/>
                <w:szCs w:val="24"/>
              </w:rPr>
              <w:t>6</w:t>
            </w:r>
          </w:p>
        </w:tc>
        <w:tc>
          <w:tcPr>
            <w:tcW w:w="1276" w:type="dxa"/>
            <w:vAlign w:val="center"/>
          </w:tcPr>
          <w:p w:rsidR="004E40BB" w:rsidRDefault="00D532B4">
            <w:pPr>
              <w:jc w:val="center"/>
            </w:pPr>
            <w:r>
              <w:rPr>
                <w:rFonts w:eastAsiaTheme="minorEastAsia"/>
                <w:kern w:val="0"/>
                <w:sz w:val="24"/>
                <w:szCs w:val="24"/>
              </w:rPr>
              <w:t>300433</w:t>
            </w:r>
          </w:p>
        </w:tc>
        <w:tc>
          <w:tcPr>
            <w:tcW w:w="1701" w:type="dxa"/>
            <w:vAlign w:val="center"/>
          </w:tcPr>
          <w:p w:rsidR="004E40BB" w:rsidRDefault="00D532B4">
            <w:pPr>
              <w:jc w:val="center"/>
            </w:pPr>
            <w:r>
              <w:rPr>
                <w:rFonts w:eastAsiaTheme="minorEastAsia"/>
                <w:kern w:val="0"/>
                <w:sz w:val="24"/>
                <w:szCs w:val="24"/>
              </w:rPr>
              <w:t>蓝思科技</w:t>
            </w:r>
          </w:p>
        </w:tc>
        <w:tc>
          <w:tcPr>
            <w:tcW w:w="1276" w:type="dxa"/>
            <w:vAlign w:val="center"/>
          </w:tcPr>
          <w:p w:rsidR="004E40BB" w:rsidRDefault="00D532B4">
            <w:pPr>
              <w:jc w:val="right"/>
            </w:pPr>
            <w:r>
              <w:rPr>
                <w:rFonts w:eastAsiaTheme="minorEastAsia"/>
                <w:kern w:val="0"/>
                <w:sz w:val="24"/>
                <w:szCs w:val="24"/>
              </w:rPr>
              <w:t>1,969,243</w:t>
            </w:r>
          </w:p>
        </w:tc>
        <w:tc>
          <w:tcPr>
            <w:tcW w:w="1842" w:type="dxa"/>
            <w:vAlign w:val="center"/>
          </w:tcPr>
          <w:p w:rsidR="004E40BB" w:rsidRDefault="00D532B4">
            <w:pPr>
              <w:jc w:val="right"/>
            </w:pPr>
            <w:r>
              <w:rPr>
                <w:rFonts w:eastAsiaTheme="minorEastAsia"/>
                <w:kern w:val="0"/>
                <w:sz w:val="24"/>
                <w:szCs w:val="24"/>
              </w:rPr>
              <w:t>57,915,436.63</w:t>
            </w:r>
          </w:p>
        </w:tc>
        <w:tc>
          <w:tcPr>
            <w:tcW w:w="1616" w:type="dxa"/>
            <w:vAlign w:val="center"/>
          </w:tcPr>
          <w:p w:rsidR="004E40BB" w:rsidRDefault="00D532B4">
            <w:pPr>
              <w:jc w:val="right"/>
            </w:pPr>
            <w:r>
              <w:rPr>
                <w:rFonts w:eastAsiaTheme="minorEastAsia"/>
                <w:kern w:val="0"/>
                <w:sz w:val="24"/>
                <w:szCs w:val="24"/>
              </w:rPr>
              <w:t>3.47</w:t>
            </w:r>
          </w:p>
        </w:tc>
      </w:tr>
      <w:tr w:rsidR="004E40BB">
        <w:tc>
          <w:tcPr>
            <w:tcW w:w="817" w:type="dxa"/>
            <w:vAlign w:val="center"/>
          </w:tcPr>
          <w:p w:rsidR="004E40BB" w:rsidRDefault="00D532B4">
            <w:pPr>
              <w:jc w:val="center"/>
            </w:pPr>
            <w:r>
              <w:rPr>
                <w:rFonts w:eastAsiaTheme="minorEastAsia"/>
                <w:kern w:val="0"/>
                <w:sz w:val="24"/>
                <w:szCs w:val="24"/>
              </w:rPr>
              <w:t>7</w:t>
            </w:r>
          </w:p>
        </w:tc>
        <w:tc>
          <w:tcPr>
            <w:tcW w:w="1276" w:type="dxa"/>
            <w:vAlign w:val="center"/>
          </w:tcPr>
          <w:p w:rsidR="004E40BB" w:rsidRDefault="00D532B4">
            <w:pPr>
              <w:jc w:val="center"/>
            </w:pPr>
            <w:r>
              <w:rPr>
                <w:rFonts w:eastAsiaTheme="minorEastAsia"/>
                <w:kern w:val="0"/>
                <w:sz w:val="24"/>
                <w:szCs w:val="24"/>
              </w:rPr>
              <w:t>002745</w:t>
            </w:r>
          </w:p>
        </w:tc>
        <w:tc>
          <w:tcPr>
            <w:tcW w:w="1701" w:type="dxa"/>
            <w:vAlign w:val="center"/>
          </w:tcPr>
          <w:p w:rsidR="004E40BB" w:rsidRDefault="00D532B4">
            <w:pPr>
              <w:jc w:val="center"/>
            </w:pPr>
            <w:r>
              <w:rPr>
                <w:rFonts w:eastAsiaTheme="minorEastAsia"/>
                <w:kern w:val="0"/>
                <w:sz w:val="24"/>
                <w:szCs w:val="24"/>
              </w:rPr>
              <w:t>木林森</w:t>
            </w:r>
          </w:p>
        </w:tc>
        <w:tc>
          <w:tcPr>
            <w:tcW w:w="1276" w:type="dxa"/>
            <w:vAlign w:val="center"/>
          </w:tcPr>
          <w:p w:rsidR="004E40BB" w:rsidRDefault="00D532B4">
            <w:pPr>
              <w:jc w:val="right"/>
            </w:pPr>
            <w:r>
              <w:rPr>
                <w:rFonts w:eastAsiaTheme="minorEastAsia"/>
                <w:kern w:val="0"/>
                <w:sz w:val="24"/>
                <w:szCs w:val="24"/>
              </w:rPr>
              <w:t>3,519,006</w:t>
            </w:r>
          </w:p>
        </w:tc>
        <w:tc>
          <w:tcPr>
            <w:tcW w:w="1842" w:type="dxa"/>
            <w:vAlign w:val="center"/>
          </w:tcPr>
          <w:p w:rsidR="004E40BB" w:rsidRDefault="00D532B4">
            <w:pPr>
              <w:jc w:val="right"/>
            </w:pPr>
            <w:r>
              <w:rPr>
                <w:rFonts w:eastAsiaTheme="minorEastAsia"/>
                <w:kern w:val="0"/>
                <w:sz w:val="24"/>
                <w:szCs w:val="24"/>
              </w:rPr>
              <w:t>47,154,680.40</w:t>
            </w:r>
          </w:p>
        </w:tc>
        <w:tc>
          <w:tcPr>
            <w:tcW w:w="1616" w:type="dxa"/>
            <w:vAlign w:val="center"/>
          </w:tcPr>
          <w:p w:rsidR="004E40BB" w:rsidRDefault="00D532B4">
            <w:pPr>
              <w:jc w:val="right"/>
            </w:pPr>
            <w:r>
              <w:rPr>
                <w:rFonts w:eastAsiaTheme="minorEastAsia"/>
                <w:kern w:val="0"/>
                <w:sz w:val="24"/>
                <w:szCs w:val="24"/>
              </w:rPr>
              <w:t>2.82</w:t>
            </w:r>
          </w:p>
        </w:tc>
      </w:tr>
      <w:tr w:rsidR="004E40BB">
        <w:tc>
          <w:tcPr>
            <w:tcW w:w="817" w:type="dxa"/>
            <w:vAlign w:val="center"/>
          </w:tcPr>
          <w:p w:rsidR="004E40BB" w:rsidRDefault="00D532B4">
            <w:pPr>
              <w:jc w:val="center"/>
            </w:pPr>
            <w:r>
              <w:rPr>
                <w:rFonts w:eastAsiaTheme="minorEastAsia"/>
                <w:kern w:val="0"/>
                <w:sz w:val="24"/>
                <w:szCs w:val="24"/>
              </w:rPr>
              <w:t>8</w:t>
            </w:r>
          </w:p>
        </w:tc>
        <w:tc>
          <w:tcPr>
            <w:tcW w:w="1276" w:type="dxa"/>
            <w:vAlign w:val="center"/>
          </w:tcPr>
          <w:p w:rsidR="004E40BB" w:rsidRDefault="00D532B4">
            <w:pPr>
              <w:jc w:val="center"/>
            </w:pPr>
            <w:r>
              <w:rPr>
                <w:rFonts w:eastAsiaTheme="minorEastAsia"/>
                <w:kern w:val="0"/>
                <w:sz w:val="24"/>
                <w:szCs w:val="24"/>
              </w:rPr>
              <w:t>002918</w:t>
            </w:r>
          </w:p>
        </w:tc>
        <w:tc>
          <w:tcPr>
            <w:tcW w:w="1701" w:type="dxa"/>
            <w:vAlign w:val="center"/>
          </w:tcPr>
          <w:p w:rsidR="004E40BB" w:rsidRDefault="00D532B4">
            <w:pPr>
              <w:jc w:val="center"/>
            </w:pPr>
            <w:r>
              <w:rPr>
                <w:rFonts w:eastAsiaTheme="minorEastAsia"/>
                <w:kern w:val="0"/>
                <w:sz w:val="24"/>
                <w:szCs w:val="24"/>
              </w:rPr>
              <w:t>蒙娜丽莎</w:t>
            </w:r>
          </w:p>
        </w:tc>
        <w:tc>
          <w:tcPr>
            <w:tcW w:w="1276" w:type="dxa"/>
            <w:vAlign w:val="center"/>
          </w:tcPr>
          <w:p w:rsidR="004E40BB" w:rsidRDefault="00D532B4">
            <w:pPr>
              <w:jc w:val="right"/>
            </w:pPr>
            <w:r>
              <w:rPr>
                <w:rFonts w:eastAsiaTheme="minorEastAsia"/>
                <w:kern w:val="0"/>
                <w:sz w:val="24"/>
                <w:szCs w:val="24"/>
              </w:rPr>
              <w:t>1,469,500</w:t>
            </w:r>
          </w:p>
        </w:tc>
        <w:tc>
          <w:tcPr>
            <w:tcW w:w="1842" w:type="dxa"/>
            <w:vAlign w:val="center"/>
          </w:tcPr>
          <w:p w:rsidR="004E40BB" w:rsidRDefault="00D532B4">
            <w:pPr>
              <w:jc w:val="right"/>
            </w:pPr>
            <w:r>
              <w:rPr>
                <w:rFonts w:eastAsiaTheme="minorEastAsia"/>
                <w:kern w:val="0"/>
                <w:sz w:val="24"/>
                <w:szCs w:val="24"/>
              </w:rPr>
              <w:t>46,127,605.00</w:t>
            </w:r>
          </w:p>
        </w:tc>
        <w:tc>
          <w:tcPr>
            <w:tcW w:w="1616" w:type="dxa"/>
            <w:vAlign w:val="center"/>
          </w:tcPr>
          <w:p w:rsidR="004E40BB" w:rsidRDefault="00D532B4">
            <w:pPr>
              <w:jc w:val="right"/>
            </w:pPr>
            <w:r>
              <w:rPr>
                <w:rFonts w:eastAsiaTheme="minorEastAsia"/>
                <w:kern w:val="0"/>
                <w:sz w:val="24"/>
                <w:szCs w:val="24"/>
              </w:rPr>
              <w:t>2.76</w:t>
            </w:r>
          </w:p>
        </w:tc>
      </w:tr>
      <w:tr w:rsidR="004E40BB">
        <w:tc>
          <w:tcPr>
            <w:tcW w:w="817" w:type="dxa"/>
            <w:vAlign w:val="center"/>
          </w:tcPr>
          <w:p w:rsidR="004E40BB" w:rsidRDefault="00D532B4">
            <w:pPr>
              <w:jc w:val="center"/>
            </w:pPr>
            <w:r>
              <w:rPr>
                <w:rFonts w:eastAsiaTheme="minorEastAsia"/>
                <w:kern w:val="0"/>
                <w:sz w:val="24"/>
                <w:szCs w:val="24"/>
              </w:rPr>
              <w:t>9</w:t>
            </w:r>
          </w:p>
        </w:tc>
        <w:tc>
          <w:tcPr>
            <w:tcW w:w="1276" w:type="dxa"/>
            <w:vAlign w:val="center"/>
          </w:tcPr>
          <w:p w:rsidR="004E40BB" w:rsidRDefault="00D532B4">
            <w:pPr>
              <w:jc w:val="center"/>
            </w:pPr>
            <w:r>
              <w:rPr>
                <w:rFonts w:eastAsiaTheme="minorEastAsia"/>
                <w:kern w:val="0"/>
                <w:sz w:val="24"/>
                <w:szCs w:val="24"/>
              </w:rPr>
              <w:t>603606</w:t>
            </w:r>
          </w:p>
        </w:tc>
        <w:tc>
          <w:tcPr>
            <w:tcW w:w="1701" w:type="dxa"/>
            <w:vAlign w:val="center"/>
          </w:tcPr>
          <w:p w:rsidR="004E40BB" w:rsidRDefault="00D532B4">
            <w:pPr>
              <w:jc w:val="center"/>
            </w:pPr>
            <w:r>
              <w:rPr>
                <w:rFonts w:eastAsiaTheme="minorEastAsia"/>
                <w:kern w:val="0"/>
                <w:sz w:val="24"/>
                <w:szCs w:val="24"/>
              </w:rPr>
              <w:t>东方电缆</w:t>
            </w:r>
          </w:p>
        </w:tc>
        <w:tc>
          <w:tcPr>
            <w:tcW w:w="1276" w:type="dxa"/>
            <w:vAlign w:val="center"/>
          </w:tcPr>
          <w:p w:rsidR="004E40BB" w:rsidRDefault="00D532B4">
            <w:pPr>
              <w:jc w:val="right"/>
            </w:pPr>
            <w:r>
              <w:rPr>
                <w:rFonts w:eastAsiaTheme="minorEastAsia"/>
                <w:kern w:val="0"/>
                <w:sz w:val="24"/>
                <w:szCs w:val="24"/>
              </w:rPr>
              <w:t>2,230,669</w:t>
            </w:r>
          </w:p>
        </w:tc>
        <w:tc>
          <w:tcPr>
            <w:tcW w:w="1842" w:type="dxa"/>
            <w:vAlign w:val="center"/>
          </w:tcPr>
          <w:p w:rsidR="004E40BB" w:rsidRDefault="00D532B4">
            <w:pPr>
              <w:jc w:val="right"/>
            </w:pPr>
            <w:r>
              <w:rPr>
                <w:rFonts w:eastAsiaTheme="minorEastAsia"/>
                <w:kern w:val="0"/>
                <w:sz w:val="24"/>
                <w:szCs w:val="24"/>
              </w:rPr>
              <w:t>44,925,673.66</w:t>
            </w:r>
          </w:p>
        </w:tc>
        <w:tc>
          <w:tcPr>
            <w:tcW w:w="1616" w:type="dxa"/>
            <w:vAlign w:val="center"/>
          </w:tcPr>
          <w:p w:rsidR="004E40BB" w:rsidRDefault="00D532B4">
            <w:pPr>
              <w:jc w:val="right"/>
            </w:pPr>
            <w:r>
              <w:rPr>
                <w:rFonts w:eastAsiaTheme="minorEastAsia"/>
                <w:kern w:val="0"/>
                <w:sz w:val="24"/>
                <w:szCs w:val="24"/>
              </w:rPr>
              <w:t>2.69</w:t>
            </w:r>
          </w:p>
        </w:tc>
      </w:tr>
      <w:tr w:rsidR="004E40BB">
        <w:tc>
          <w:tcPr>
            <w:tcW w:w="817" w:type="dxa"/>
            <w:vAlign w:val="center"/>
          </w:tcPr>
          <w:p w:rsidR="004E40BB" w:rsidRDefault="00D532B4">
            <w:pPr>
              <w:jc w:val="center"/>
            </w:pPr>
            <w:r>
              <w:rPr>
                <w:rFonts w:eastAsiaTheme="minorEastAsia"/>
                <w:kern w:val="0"/>
                <w:sz w:val="24"/>
                <w:szCs w:val="24"/>
              </w:rPr>
              <w:t>10</w:t>
            </w:r>
          </w:p>
        </w:tc>
        <w:tc>
          <w:tcPr>
            <w:tcW w:w="1276" w:type="dxa"/>
            <w:vAlign w:val="center"/>
          </w:tcPr>
          <w:p w:rsidR="004E40BB" w:rsidRDefault="00D532B4">
            <w:pPr>
              <w:jc w:val="center"/>
            </w:pPr>
            <w:r>
              <w:rPr>
                <w:rFonts w:eastAsiaTheme="minorEastAsia"/>
                <w:kern w:val="0"/>
                <w:sz w:val="24"/>
                <w:szCs w:val="24"/>
              </w:rPr>
              <w:t>002555</w:t>
            </w:r>
          </w:p>
        </w:tc>
        <w:tc>
          <w:tcPr>
            <w:tcW w:w="1701" w:type="dxa"/>
            <w:vAlign w:val="center"/>
          </w:tcPr>
          <w:p w:rsidR="004E40BB" w:rsidRDefault="00D532B4">
            <w:pPr>
              <w:jc w:val="center"/>
            </w:pPr>
            <w:r>
              <w:rPr>
                <w:rFonts w:eastAsiaTheme="minorEastAsia"/>
                <w:kern w:val="0"/>
                <w:sz w:val="24"/>
                <w:szCs w:val="24"/>
              </w:rPr>
              <w:t>三七互娱</w:t>
            </w:r>
          </w:p>
        </w:tc>
        <w:tc>
          <w:tcPr>
            <w:tcW w:w="1276" w:type="dxa"/>
            <w:vAlign w:val="center"/>
          </w:tcPr>
          <w:p w:rsidR="004E40BB" w:rsidRDefault="00D532B4">
            <w:pPr>
              <w:jc w:val="right"/>
            </w:pPr>
            <w:r>
              <w:rPr>
                <w:rFonts w:eastAsiaTheme="minorEastAsia"/>
                <w:kern w:val="0"/>
                <w:sz w:val="24"/>
                <w:szCs w:val="24"/>
              </w:rPr>
              <w:t>1,834,400</w:t>
            </w:r>
          </w:p>
        </w:tc>
        <w:tc>
          <w:tcPr>
            <w:tcW w:w="1842" w:type="dxa"/>
            <w:vAlign w:val="center"/>
          </w:tcPr>
          <w:p w:rsidR="004E40BB" w:rsidRDefault="00D532B4">
            <w:pPr>
              <w:jc w:val="right"/>
            </w:pPr>
            <w:r>
              <w:rPr>
                <w:rFonts w:eastAsiaTheme="minorEastAsia"/>
                <w:kern w:val="0"/>
                <w:sz w:val="24"/>
                <w:szCs w:val="24"/>
              </w:rPr>
              <w:t>44,062,288.00</w:t>
            </w:r>
          </w:p>
        </w:tc>
        <w:tc>
          <w:tcPr>
            <w:tcW w:w="1616" w:type="dxa"/>
            <w:vAlign w:val="center"/>
          </w:tcPr>
          <w:p w:rsidR="004E40BB" w:rsidRDefault="00D532B4">
            <w:pPr>
              <w:jc w:val="right"/>
            </w:pPr>
            <w:r>
              <w:rPr>
                <w:rFonts w:eastAsiaTheme="minorEastAsia"/>
                <w:kern w:val="0"/>
                <w:sz w:val="24"/>
                <w:szCs w:val="24"/>
              </w:rPr>
              <w:t>2.64</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608,177.75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5,015,957.56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40,611.12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1,079,169.28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6,743,915.71</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597,709,135.37</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101,538,155.24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121,980,517.33</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577,266,773.28</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中国证监会批准上投摩根核心成长股票型证券投资基金设立的文件；</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《上投摩根核心成长股票型证券投资基金基金合同》；</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 xml:space="preserve"> </w:t>
      </w:r>
      <w:r>
        <w:rPr>
          <w:rFonts w:eastAsiaTheme="minorEastAsia"/>
          <w:color w:val="000000" w:themeColor="text1"/>
        </w:rPr>
        <w:t>《上投摩根核心成长股票型证券投资基金基金托管协议》；</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《上投摩根基金管理有限公司开放式基金业务规则》；</w:t>
      </w:r>
    </w:p>
    <w:p w:rsidR="004E40BB" w:rsidRDefault="00D532B4">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D532B4" w:rsidRPr="00D532B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D532B4">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上投摩根核心成长股票型证券投资基金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40BB"/>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32B4"/>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BEEDF-CBC9-4479-89A0-13C4E02C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Wenyu.Qiu@FA</cp:lastModifiedBy>
  <cp:revision>268</cp:revision>
  <dcterms:created xsi:type="dcterms:W3CDTF">2012-10-16T06:07:00Z</dcterms:created>
  <dcterms:modified xsi:type="dcterms:W3CDTF">2021-07-20T06:57:00Z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