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上投摩根核心成长股票型证券投资基金</w:t>
      </w:r>
    </w:p>
    <w:p w:rsidR="00E76EE7" w:rsidRDefault="00E22261">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4</w:t>
      </w:r>
      <w:r>
        <w:rPr>
          <w:rFonts w:asciiTheme="minorEastAsia" w:eastAsiaTheme="minorEastAsia" w:hAnsiTheme="minorEastAsia" w:hint="eastAsia"/>
          <w:b/>
          <w:color w:val="000000" w:themeColor="text1"/>
          <w:sz w:val="36"/>
          <w:szCs w:val="36"/>
        </w:rPr>
        <w:t>季度报告</w:t>
      </w:r>
    </w:p>
    <w:p w:rsidR="00E76EE7" w:rsidRDefault="00E22261">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12</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31</w:t>
      </w:r>
      <w:r>
        <w:rPr>
          <w:rFonts w:asciiTheme="minorEastAsia" w:eastAsiaTheme="minorEastAsia" w:hAnsiTheme="minorEastAsia"/>
          <w:b/>
          <w:color w:val="000000" w:themeColor="text1"/>
          <w:sz w:val="24"/>
          <w:szCs w:val="24"/>
        </w:rPr>
        <w:t>日</w:t>
      </w: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jc w:val="center"/>
        <w:rPr>
          <w:rFonts w:asciiTheme="minorEastAsia" w:eastAsiaTheme="minorEastAsia" w:hAnsiTheme="minorEastAsia"/>
          <w:b/>
          <w:bCs/>
          <w:color w:val="000000" w:themeColor="text1"/>
          <w:sz w:val="24"/>
          <w:szCs w:val="24"/>
        </w:rPr>
      </w:pPr>
    </w:p>
    <w:p w:rsidR="00E76EE7" w:rsidRDefault="00E76EE7">
      <w:pPr>
        <w:spacing w:line="360" w:lineRule="auto"/>
        <w:rPr>
          <w:rFonts w:asciiTheme="minorEastAsia" w:eastAsiaTheme="minorEastAsia" w:hAnsiTheme="minorEastAsia"/>
          <w:b/>
          <w:bCs/>
          <w:color w:val="000000" w:themeColor="text1"/>
          <w:sz w:val="24"/>
          <w:szCs w:val="24"/>
        </w:rPr>
      </w:pPr>
    </w:p>
    <w:p w:rsidR="00E76EE7" w:rsidRDefault="00E22261">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E76EE7" w:rsidRDefault="00E22261">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E76EE7" w:rsidRDefault="00E22261">
      <w:pPr>
        <w:spacing w:line="360" w:lineRule="auto"/>
        <w:ind w:firstLineChars="900" w:firstLine="2168"/>
        <w:rPr>
          <w:rFonts w:asciiTheme="minorEastAsia" w:eastAsiaTheme="minorEastAsia" w:hAnsiTheme="minorEastAsia"/>
          <w:b/>
          <w:color w:val="000000" w:themeColor="text1"/>
          <w:sz w:val="24"/>
          <w:szCs w:val="24"/>
        </w:rPr>
        <w:sectPr w:rsidR="00E76EE7">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E76EE7" w:rsidRDefault="00E22261">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17</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日止。</w:t>
      </w:r>
    </w:p>
    <w:p w:rsidR="00E76EE7" w:rsidRDefault="00E2226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上投摩根核心成长股票</w:t>
            </w:r>
          </w:p>
        </w:tc>
      </w:tr>
      <w:tr w:rsidR="00E76EE7">
        <w:tc>
          <w:tcPr>
            <w:tcW w:w="2835" w:type="dxa"/>
            <w:tcBorders>
              <w:top w:val="single" w:sz="4" w:space="0" w:color="auto"/>
              <w:left w:val="single" w:sz="4" w:space="0" w:color="auto"/>
              <w:bottom w:val="single" w:sz="4" w:space="0" w:color="auto"/>
              <w:right w:val="single" w:sz="4" w:space="0" w:color="auto"/>
            </w:tcBorders>
            <w:vAlign w:val="center"/>
          </w:tcPr>
          <w:p w:rsidR="00E76EE7" w:rsidRDefault="00E22261">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000457</w:t>
            </w:r>
          </w:p>
        </w:tc>
      </w:tr>
      <w:tr w:rsidR="00E76EE7">
        <w:tc>
          <w:tcPr>
            <w:tcW w:w="2835" w:type="dxa"/>
            <w:tcBorders>
              <w:top w:val="single" w:sz="4" w:space="0" w:color="auto"/>
              <w:left w:val="single" w:sz="4" w:space="0" w:color="auto"/>
              <w:bottom w:val="single" w:sz="4" w:space="0" w:color="auto"/>
              <w:right w:val="single" w:sz="4" w:space="0" w:color="auto"/>
            </w:tcBorders>
            <w:vAlign w:val="center"/>
          </w:tcPr>
          <w:p w:rsidR="00E76EE7" w:rsidRDefault="00E22261">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000457</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2014</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10</w:t>
            </w:r>
            <w:r>
              <w:rPr>
                <w:rFonts w:asciiTheme="minorEastAsia" w:eastAsiaTheme="minorEastAsia" w:hAnsiTheme="minorEastAsia"/>
                <w:color w:val="000000" w:themeColor="text1"/>
                <w:kern w:val="0"/>
              </w:rPr>
              <w:t>日</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1,915,230,935.14</w:t>
            </w:r>
            <w:r>
              <w:rPr>
                <w:rFonts w:asciiTheme="minorEastAsia" w:eastAsiaTheme="minorEastAsia" w:hAnsiTheme="minorEastAsia" w:hint="eastAsia"/>
                <w:color w:val="000000" w:themeColor="text1"/>
                <w:kern w:val="0"/>
              </w:rPr>
              <w:t>份</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本基金将充分利用管理人的投资研究平台，通过系统和深入的基本面研究，选择公司治理良好且具有较高增长潜力的公司进行投资，力争实现基金资产的长期稳定增值。</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的个股精选策略，综合运用定量分析与定性分析的手段，基于公司内部研究团队对于个股基本面的深入研究和细致的实地调研，重点投资于公司治理良好且具有较高增长潜力的公司。在行业配置层面，本</w:t>
            </w:r>
            <w:r>
              <w:rPr>
                <w:rFonts w:asciiTheme="minorEastAsia" w:eastAsiaTheme="minorEastAsia" w:hAnsiTheme="minorEastAsia"/>
                <w:color w:val="000000" w:themeColor="text1"/>
                <w:kern w:val="0"/>
              </w:rPr>
              <w:lastRenderedPageBreak/>
              <w:t>基金将对宏观经济发展状况及趋势、行业周期性及景气度、行业相对估值水平等方面进行研究，判断各个行业的相对投资价值，参考整体市场的行业资产分布比例，确定和</w:t>
            </w:r>
            <w:r>
              <w:rPr>
                <w:rFonts w:asciiTheme="minorEastAsia" w:eastAsiaTheme="minorEastAsia" w:hAnsiTheme="minorEastAsia"/>
                <w:color w:val="000000" w:themeColor="text1"/>
                <w:kern w:val="0"/>
              </w:rPr>
              <w:t>动态调整各个行业的配置比例。在个股选择层面，本基金通过纪律化的投资约束，力争最大程度地将内部研究成果转化为投资业绩，公司研究团队负责内部研究组合的构建与维护。</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×15%</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本基金属于股票型基金产品，预期风险和收益水平高于混合型基金、债券型基金和货币市场基金</w:t>
            </w:r>
            <w:r>
              <w:rPr>
                <w:rFonts w:asciiTheme="minorEastAsia" w:eastAsiaTheme="minorEastAsia" w:hAnsiTheme="minorEastAsia"/>
                <w:color w:val="000000" w:themeColor="text1"/>
                <w:kern w:val="0"/>
              </w:rPr>
              <w:t xml:space="preserve"> </w:t>
            </w:r>
            <w:r>
              <w:rPr>
                <w:rFonts w:asciiTheme="minorEastAsia" w:eastAsiaTheme="minorEastAsia" w:hAnsiTheme="minorEastAsia"/>
                <w:color w:val="000000" w:themeColor="text1"/>
                <w:kern w:val="0"/>
              </w:rPr>
              <w:t>，属于较高风险收益水平的基金产品。</w:t>
            </w:r>
          </w:p>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E76EE7">
        <w:tc>
          <w:tcPr>
            <w:tcW w:w="2835"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E76EE7" w:rsidRDefault="00E2226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22261" w:rsidTr="00E22261">
        <w:tc>
          <w:tcPr>
            <w:tcW w:w="3402" w:type="dxa"/>
            <w:vAlign w:val="center"/>
          </w:tcPr>
          <w:p w:rsidR="00E76EE7" w:rsidRDefault="00E22261">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E76EE7" w:rsidRDefault="00E22261">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E76EE7" w:rsidRDefault="00E22261">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10</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12</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31</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E22261" w:rsidTr="00E22261">
        <w:tc>
          <w:tcPr>
            <w:tcW w:w="3402"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E76EE7" w:rsidRDefault="00E2226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144,112,739.96</w:t>
            </w:r>
          </w:p>
        </w:tc>
      </w:tr>
      <w:tr w:rsidR="00E22261" w:rsidTr="00E22261">
        <w:tc>
          <w:tcPr>
            <w:tcW w:w="3402"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E76EE7" w:rsidRDefault="00E2226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351,918,575.42</w:t>
            </w:r>
          </w:p>
        </w:tc>
      </w:tr>
      <w:tr w:rsidR="00E22261" w:rsidTr="00E22261">
        <w:tc>
          <w:tcPr>
            <w:tcW w:w="3402"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E76EE7" w:rsidRDefault="00E2226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0.1713</w:t>
            </w:r>
          </w:p>
        </w:tc>
      </w:tr>
      <w:tr w:rsidR="00E22261" w:rsidTr="00E22261">
        <w:tc>
          <w:tcPr>
            <w:tcW w:w="3402"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E76EE7" w:rsidRDefault="00E2226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3,389,046,202.19</w:t>
            </w:r>
          </w:p>
        </w:tc>
      </w:tr>
      <w:tr w:rsidR="00E22261" w:rsidTr="00E22261">
        <w:trPr>
          <w:trHeight w:val="158"/>
        </w:trPr>
        <w:tc>
          <w:tcPr>
            <w:tcW w:w="3402" w:type="dxa"/>
            <w:vAlign w:val="center"/>
          </w:tcPr>
          <w:p w:rsidR="00E76EE7" w:rsidRDefault="00E2226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E76EE7" w:rsidRDefault="00E2226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1.770</w:t>
            </w:r>
          </w:p>
        </w:tc>
      </w:tr>
    </w:tbl>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上述基金业绩指标不包括持有人认购或交易基金的各项费用（例如，开放式基金的申购赎回费、红利再投资费、基金转换费等），计入费用后实际收益水平要低于所列数字。</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E76EE7" w:rsidRDefault="00E22261">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76EE7">
        <w:tc>
          <w:tcPr>
            <w:tcW w:w="1395"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E76EE7">
        <w:tc>
          <w:tcPr>
            <w:tcW w:w="1395" w:type="dxa"/>
            <w:vAlign w:val="center"/>
          </w:tcPr>
          <w:p w:rsidR="00E76EE7" w:rsidRDefault="00E22261">
            <w:pPr>
              <w:jc w:val="left"/>
            </w:pPr>
            <w:r>
              <w:rPr>
                <w:rFonts w:asciiTheme="minorEastAsia" w:eastAsiaTheme="minorEastAsia" w:hAnsiTheme="minorEastAsia"/>
                <w:color w:val="000000" w:themeColor="text1"/>
                <w:kern w:val="0"/>
              </w:rPr>
              <w:t>过去三个月</w:t>
            </w:r>
          </w:p>
        </w:tc>
        <w:tc>
          <w:tcPr>
            <w:tcW w:w="1092" w:type="dxa"/>
            <w:vAlign w:val="center"/>
          </w:tcPr>
          <w:p w:rsidR="00E76EE7" w:rsidRDefault="00E22261">
            <w:pPr>
              <w:jc w:val="center"/>
            </w:pPr>
            <w:r>
              <w:rPr>
                <w:rFonts w:asciiTheme="minorEastAsia" w:eastAsiaTheme="minorEastAsia" w:hAnsiTheme="minorEastAsia"/>
                <w:color w:val="000000" w:themeColor="text1"/>
                <w:kern w:val="0"/>
              </w:rPr>
              <w:t>10.90%</w:t>
            </w:r>
          </w:p>
        </w:tc>
        <w:tc>
          <w:tcPr>
            <w:tcW w:w="1161" w:type="dxa"/>
            <w:vAlign w:val="center"/>
          </w:tcPr>
          <w:p w:rsidR="00E76EE7" w:rsidRDefault="00E22261">
            <w:pPr>
              <w:jc w:val="center"/>
            </w:pPr>
            <w:r>
              <w:rPr>
                <w:rFonts w:asciiTheme="minorEastAsia" w:eastAsiaTheme="minorEastAsia" w:hAnsiTheme="minorEastAsia"/>
                <w:color w:val="000000" w:themeColor="text1"/>
                <w:kern w:val="0"/>
              </w:rPr>
              <w:t>0.76%</w:t>
            </w:r>
          </w:p>
        </w:tc>
        <w:tc>
          <w:tcPr>
            <w:tcW w:w="1181" w:type="dxa"/>
            <w:vAlign w:val="center"/>
          </w:tcPr>
          <w:p w:rsidR="00E76EE7" w:rsidRDefault="00E22261">
            <w:pPr>
              <w:jc w:val="center"/>
            </w:pPr>
            <w:r>
              <w:rPr>
                <w:rFonts w:asciiTheme="minorEastAsia" w:eastAsiaTheme="minorEastAsia" w:hAnsiTheme="minorEastAsia"/>
                <w:color w:val="000000" w:themeColor="text1"/>
                <w:kern w:val="0"/>
              </w:rPr>
              <w:t>6.41%</w:t>
            </w:r>
          </w:p>
        </w:tc>
        <w:tc>
          <w:tcPr>
            <w:tcW w:w="1188" w:type="dxa"/>
            <w:vAlign w:val="center"/>
          </w:tcPr>
          <w:p w:rsidR="00E76EE7" w:rsidRDefault="00E22261">
            <w:pPr>
              <w:jc w:val="center"/>
            </w:pPr>
            <w:r>
              <w:rPr>
                <w:rFonts w:asciiTheme="minorEastAsia" w:eastAsiaTheme="minorEastAsia" w:hAnsiTheme="minorEastAsia"/>
                <w:color w:val="000000" w:themeColor="text1"/>
                <w:kern w:val="0"/>
              </w:rPr>
              <w:t>0.63%</w:t>
            </w:r>
          </w:p>
        </w:tc>
        <w:tc>
          <w:tcPr>
            <w:tcW w:w="1199" w:type="dxa"/>
            <w:vAlign w:val="center"/>
          </w:tcPr>
          <w:p w:rsidR="00E76EE7" w:rsidRDefault="00E22261">
            <w:pPr>
              <w:jc w:val="center"/>
            </w:pPr>
            <w:r>
              <w:rPr>
                <w:rFonts w:asciiTheme="minorEastAsia" w:eastAsiaTheme="minorEastAsia" w:hAnsiTheme="minorEastAsia"/>
                <w:color w:val="000000" w:themeColor="text1"/>
                <w:kern w:val="0"/>
              </w:rPr>
              <w:t>4.49%</w:t>
            </w:r>
          </w:p>
        </w:tc>
        <w:tc>
          <w:tcPr>
            <w:tcW w:w="1204" w:type="dxa"/>
            <w:vAlign w:val="center"/>
          </w:tcPr>
          <w:p w:rsidR="00E76EE7" w:rsidRDefault="00E22261">
            <w:pPr>
              <w:jc w:val="center"/>
            </w:pPr>
            <w:r>
              <w:rPr>
                <w:rFonts w:asciiTheme="minorEastAsia" w:eastAsiaTheme="minorEastAsia" w:hAnsiTheme="minorEastAsia"/>
                <w:color w:val="000000" w:themeColor="text1"/>
                <w:kern w:val="0"/>
              </w:rPr>
              <w:t>0.13%</w:t>
            </w:r>
          </w:p>
        </w:tc>
      </w:tr>
    </w:tbl>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E76EE7" w:rsidRDefault="00E22261">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上投摩根核心成长股票型证券投资基金</w:t>
      </w:r>
    </w:p>
    <w:p w:rsidR="00E76EE7" w:rsidRDefault="00E22261">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E76EE7" w:rsidRDefault="00E22261">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31</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E76EE7" w:rsidRDefault="00E22261">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日，建仓期结束时资产配置比例符合本基金基金合同规定。</w:t>
      </w:r>
    </w:p>
    <w:p w:rsidR="00E76EE7" w:rsidRDefault="00E76EE7">
      <w:pPr>
        <w:tabs>
          <w:tab w:val="left" w:pos="1800"/>
        </w:tabs>
        <w:spacing w:line="360" w:lineRule="auto"/>
        <w:rPr>
          <w:rFonts w:asciiTheme="minorEastAsia" w:eastAsiaTheme="minorEastAsia" w:hAnsiTheme="minorEastAsia"/>
          <w:color w:val="000000" w:themeColor="text1"/>
          <w:sz w:val="24"/>
          <w:szCs w:val="24"/>
        </w:rPr>
      </w:pPr>
    </w:p>
    <w:p w:rsidR="00E76EE7" w:rsidRDefault="00E2226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E76EE7">
        <w:trPr>
          <w:cantSplit/>
          <w:trHeight w:val="292"/>
        </w:trPr>
        <w:tc>
          <w:tcPr>
            <w:tcW w:w="851" w:type="dxa"/>
            <w:vMerge w:val="restart"/>
            <w:vAlign w:val="center"/>
          </w:tcPr>
          <w:p w:rsidR="00E76EE7" w:rsidRDefault="00E2226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E76EE7" w:rsidRDefault="00E2226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E76EE7" w:rsidRDefault="00E2226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E76EE7">
        <w:trPr>
          <w:cantSplit/>
        </w:trPr>
        <w:tc>
          <w:tcPr>
            <w:tcW w:w="851" w:type="dxa"/>
            <w:vMerge/>
            <w:vAlign w:val="center"/>
          </w:tcPr>
          <w:p w:rsidR="00E76EE7" w:rsidRDefault="00E76EE7">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E76EE7" w:rsidRDefault="00E76EE7">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E76EE7" w:rsidRDefault="00E76EE7">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E76EE7" w:rsidRDefault="00E76EE7">
            <w:pPr>
              <w:widowControl/>
              <w:spacing w:line="360" w:lineRule="auto"/>
              <w:jc w:val="left"/>
              <w:rPr>
                <w:rFonts w:asciiTheme="minorEastAsia" w:eastAsiaTheme="minorEastAsia" w:hAnsiTheme="minorEastAsia"/>
                <w:color w:val="000000" w:themeColor="text1"/>
                <w:kern w:val="0"/>
              </w:rPr>
            </w:pPr>
          </w:p>
        </w:tc>
      </w:tr>
      <w:tr w:rsidR="00E76EE7">
        <w:tc>
          <w:tcPr>
            <w:tcW w:w="851" w:type="dxa"/>
            <w:vAlign w:val="center"/>
          </w:tcPr>
          <w:p w:rsidR="00E76EE7" w:rsidRDefault="00E22261">
            <w:pPr>
              <w:jc w:val="center"/>
            </w:pPr>
            <w:r>
              <w:rPr>
                <w:rFonts w:asciiTheme="minorEastAsia" w:eastAsiaTheme="minorEastAsia" w:hAnsiTheme="minorEastAsia"/>
                <w:color w:val="000000" w:themeColor="text1"/>
              </w:rPr>
              <w:t>李博</w:t>
            </w:r>
          </w:p>
        </w:tc>
        <w:tc>
          <w:tcPr>
            <w:tcW w:w="850" w:type="dxa"/>
            <w:vAlign w:val="center"/>
          </w:tcPr>
          <w:p w:rsidR="00E76EE7" w:rsidRDefault="00E22261">
            <w:pPr>
              <w:jc w:val="center"/>
            </w:pPr>
            <w:r>
              <w:rPr>
                <w:rFonts w:asciiTheme="minorEastAsia" w:eastAsiaTheme="minorEastAsia" w:hAnsiTheme="minorEastAsia"/>
                <w:color w:val="000000" w:themeColor="text1"/>
              </w:rPr>
              <w:t>本基金基金经理</w:t>
            </w:r>
          </w:p>
        </w:tc>
        <w:tc>
          <w:tcPr>
            <w:tcW w:w="1560" w:type="dxa"/>
            <w:vAlign w:val="center"/>
          </w:tcPr>
          <w:p w:rsidR="00E76EE7" w:rsidRDefault="00E22261">
            <w:pPr>
              <w:jc w:val="center"/>
            </w:pPr>
            <w:r>
              <w:rPr>
                <w:rFonts w:asciiTheme="minorEastAsia" w:eastAsiaTheme="minorEastAsia" w:hAnsiTheme="minorEastAsia"/>
                <w:color w:val="000000" w:themeColor="text1"/>
              </w:rPr>
              <w:t>2014-12-31</w:t>
            </w:r>
          </w:p>
        </w:tc>
        <w:tc>
          <w:tcPr>
            <w:tcW w:w="1559" w:type="dxa"/>
            <w:vAlign w:val="center"/>
          </w:tcPr>
          <w:p w:rsidR="00E76EE7" w:rsidRDefault="00E22261">
            <w:pPr>
              <w:jc w:val="center"/>
            </w:pPr>
            <w:r>
              <w:rPr>
                <w:rFonts w:asciiTheme="minorEastAsia" w:eastAsiaTheme="minorEastAsia" w:hAnsiTheme="minorEastAsia"/>
                <w:color w:val="000000" w:themeColor="text1"/>
              </w:rPr>
              <w:t>-</w:t>
            </w:r>
          </w:p>
        </w:tc>
        <w:tc>
          <w:tcPr>
            <w:tcW w:w="1417" w:type="dxa"/>
            <w:vAlign w:val="center"/>
          </w:tcPr>
          <w:p w:rsidR="00E76EE7" w:rsidRDefault="00E22261">
            <w:pPr>
              <w:jc w:val="center"/>
            </w:pP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年</w:t>
            </w:r>
          </w:p>
        </w:tc>
        <w:tc>
          <w:tcPr>
            <w:tcW w:w="2694" w:type="dxa"/>
            <w:vAlign w:val="center"/>
          </w:tcPr>
          <w:p w:rsidR="00E76EE7" w:rsidRDefault="00E22261">
            <w:r>
              <w:rPr>
                <w:rFonts w:asciiTheme="minorEastAsia" w:eastAsiaTheme="minorEastAsia" w:hAnsiTheme="minorEastAsia"/>
                <w:color w:val="000000" w:themeColor="text1"/>
              </w:rPr>
              <w:t>李博先生，上海交通大学硕士，自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月在中银国际证券有限公司担任研究员，负责研究方面的工作，自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月起加入上投摩根基金管理有限公司，先后担任行业专家、基金经理、资深基金经理，自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月起担任上投摩根核心成长股票型证券投资基金基金经理，自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月担任上投摩根科技前沿灵活配置混合型证券投资基金基金经理，自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月起同时担任上投摩根阿尔法混合型证券投资基金基金经理，自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月起同时担任上投摩根双息平衡混合型证券投资基金基金经理，自</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月起同时担任上投摩根核心精选股票型证券投资基金基金经理。</w:t>
            </w:r>
          </w:p>
        </w:tc>
      </w:tr>
    </w:tbl>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任职日期和离任日期均指根据公司决定确定的聘任日期和解聘日期。</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 </w:t>
      </w:r>
      <w:r>
        <w:rPr>
          <w:rFonts w:asciiTheme="minorEastAsia" w:eastAsiaTheme="minorEastAsia" w:hAnsiTheme="minorEastAsia"/>
          <w:color w:val="000000" w:themeColor="text1"/>
        </w:rPr>
        <w:t>证券从业的含义遵从行业协会《证券业从业人员资格管理办法》的相关规定。</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基金经理对个股和投资组合的比例遵循了投资决策委员会的授权限制，基金投资比例符合基金合同和法律法规的要求。</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w:t>
      </w:r>
      <w:r>
        <w:rPr>
          <w:rFonts w:asciiTheme="minorEastAsia" w:eastAsiaTheme="minorEastAsia" w:hAnsiTheme="minorEastAsia"/>
          <w:color w:val="000000" w:themeColor="text1"/>
        </w:rPr>
        <w:t>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w:t>
      </w:r>
      <w:r>
        <w:rPr>
          <w:rFonts w:asciiTheme="minorEastAsia" w:eastAsiaTheme="minorEastAsia" w:hAnsiTheme="minorEastAsia"/>
          <w:color w:val="000000" w:themeColor="text1"/>
        </w:rPr>
        <w:t>立申报的价格和数量对交易结果进行公平分配。</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E76EE7" w:rsidRDefault="00E76EE7">
      <w:pPr>
        <w:spacing w:line="360" w:lineRule="auto"/>
        <w:ind w:firstLineChars="200" w:firstLine="480"/>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四季度，市场出现较大幅度上涨，其中沪深</w:t>
      </w:r>
      <w:r>
        <w:rPr>
          <w:rFonts w:asciiTheme="minorEastAsia" w:eastAsiaTheme="minorEastAsia" w:hAnsiTheme="minorEastAsia"/>
          <w:color w:val="000000" w:themeColor="text1"/>
        </w:rPr>
        <w:t>300</w:t>
      </w:r>
      <w:r>
        <w:rPr>
          <w:rFonts w:asciiTheme="minorEastAsia" w:eastAsiaTheme="minorEastAsia" w:hAnsiTheme="minorEastAsia"/>
          <w:color w:val="000000" w:themeColor="text1"/>
        </w:rPr>
        <w:t>上涨</w:t>
      </w:r>
      <w:r>
        <w:rPr>
          <w:rFonts w:asciiTheme="minorEastAsia" w:eastAsiaTheme="minorEastAsia" w:hAnsiTheme="minorEastAsia"/>
          <w:color w:val="000000" w:themeColor="text1"/>
        </w:rPr>
        <w:t>7.4%</w:t>
      </w:r>
      <w:r>
        <w:rPr>
          <w:rFonts w:asciiTheme="minorEastAsia" w:eastAsiaTheme="minorEastAsia" w:hAnsiTheme="minorEastAsia"/>
          <w:color w:val="000000" w:themeColor="text1"/>
        </w:rPr>
        <w:t>，创业板上涨</w:t>
      </w:r>
      <w:r>
        <w:rPr>
          <w:rFonts w:asciiTheme="minorEastAsia" w:eastAsiaTheme="minorEastAsia" w:hAnsiTheme="minorEastAsia"/>
          <w:color w:val="000000" w:themeColor="text1"/>
        </w:rPr>
        <w:t>10.5%</w:t>
      </w:r>
      <w:r>
        <w:rPr>
          <w:rFonts w:asciiTheme="minorEastAsia" w:eastAsiaTheme="minorEastAsia" w:hAnsiTheme="minorEastAsia"/>
          <w:color w:val="000000" w:themeColor="text1"/>
        </w:rPr>
        <w:t>。板块方面，建材、家电和电子领涨，国防军工和商贸零售领跌。伴随着中美贸易摩擦缓解、国内利好政策刺激，国内经济复苏可期。本基金重点配置了估值和成长相匹配的个股，此外，四季度还减持了部分前期超额收益较多个股，增持了部分市场关注度不高的成长股。</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展望后市，我们判断市场机会将大于风险，</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股有望呈现结构性的投资机会。我们将继续以精选个股作为首要方向。首先，重点关注成长股，尤其是近两年涨幅不大但业绩稳定增长的个</w:t>
      </w:r>
      <w:r>
        <w:rPr>
          <w:rFonts w:asciiTheme="minorEastAsia" w:eastAsiaTheme="minorEastAsia" w:hAnsiTheme="minorEastAsia"/>
          <w:color w:val="000000" w:themeColor="text1"/>
        </w:rPr>
        <w:t>股，这些个股伴随业绩兑现全年有望获得超额收益；其次，关注大消费领域，居民可支配收入仍处于稳步提升阶段，和居民消费相关的领域存在投资机会；最后，关注经济转型带来的投资机会。</w:t>
      </w: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本报告期上投摩根核心成长股票份额净值增长率为</w:t>
      </w:r>
      <w:r>
        <w:rPr>
          <w:rFonts w:asciiTheme="minorEastAsia" w:eastAsiaTheme="minorEastAsia" w:hAnsiTheme="minorEastAsia"/>
          <w:color w:val="000000" w:themeColor="text1"/>
        </w:rPr>
        <w:t>:10.90%</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:6.41%</w:t>
      </w:r>
      <w:r>
        <w:rPr>
          <w:rFonts w:asciiTheme="minorEastAsia" w:eastAsiaTheme="minorEastAsia" w:hAnsiTheme="minorEastAsia"/>
          <w:color w:val="000000" w:themeColor="text1"/>
        </w:rPr>
        <w:t>。</w:t>
      </w:r>
    </w:p>
    <w:p w:rsidR="00E76EE7" w:rsidRDefault="00E76EE7">
      <w:pPr>
        <w:spacing w:line="360" w:lineRule="auto"/>
        <w:ind w:firstLineChars="200" w:firstLine="480"/>
        <w:rPr>
          <w:rFonts w:asciiTheme="minorEastAsia" w:eastAsiaTheme="minorEastAsia" w:hAnsiTheme="minorEastAsia"/>
          <w:color w:val="000000" w:themeColor="text1"/>
          <w:sz w:val="24"/>
          <w:szCs w:val="24"/>
        </w:rPr>
      </w:pP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E76EE7" w:rsidRDefault="00E2226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2,784,040,070.18</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80.71</w:t>
            </w:r>
          </w:p>
        </w:tc>
      </w:tr>
      <w:tr w:rsidR="00E76EE7">
        <w:trPr>
          <w:jc w:val="center"/>
        </w:trPr>
        <w:tc>
          <w:tcPr>
            <w:tcW w:w="720" w:type="dxa"/>
            <w:vAlign w:val="center"/>
          </w:tcPr>
          <w:p w:rsidR="00E76EE7" w:rsidRDefault="00E76EE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2,784,040,070.18</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80.71</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vAlign w:val="center"/>
          </w:tcPr>
          <w:p w:rsidR="00E76EE7" w:rsidRDefault="00E76EE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vAlign w:val="center"/>
          </w:tcPr>
          <w:p w:rsidR="00E76EE7" w:rsidRDefault="00E76EE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76EE7" w:rsidRDefault="00E22261">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E76EE7" w:rsidRDefault="00E22261">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E76EE7" w:rsidRDefault="00E2226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vAlign w:val="center"/>
          </w:tcPr>
          <w:p w:rsidR="00E76EE7" w:rsidRDefault="00E76EE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E76EE7" w:rsidRDefault="00E2226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621,695,444.54</w:t>
            </w:r>
          </w:p>
        </w:tc>
        <w:tc>
          <w:tcPr>
            <w:tcW w:w="1843" w:type="dxa"/>
            <w:vAlign w:val="center"/>
          </w:tcPr>
          <w:p w:rsidR="00E76EE7" w:rsidRDefault="00E2226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18.02</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E76EE7" w:rsidRDefault="00E22261">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43,758,570.94</w:t>
            </w:r>
          </w:p>
        </w:tc>
        <w:tc>
          <w:tcPr>
            <w:tcW w:w="1843" w:type="dxa"/>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1.27</w:t>
            </w:r>
          </w:p>
        </w:tc>
      </w:tr>
      <w:tr w:rsidR="00E76EE7">
        <w:trPr>
          <w:jc w:val="center"/>
        </w:trPr>
        <w:tc>
          <w:tcPr>
            <w:tcW w:w="720" w:type="dxa"/>
            <w:vAlign w:val="center"/>
          </w:tcPr>
          <w:p w:rsidR="00E76EE7" w:rsidRDefault="00E2226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E76EE7" w:rsidRDefault="00E22261">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3,449,494,085.66</w:t>
            </w:r>
          </w:p>
        </w:tc>
        <w:tc>
          <w:tcPr>
            <w:tcW w:w="1843" w:type="dxa"/>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E76EE7" w:rsidRDefault="00E76EE7">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E76EE7" w:rsidRDefault="00E22261">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E76EE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68,883,548.37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2.03</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41,547,067.00</w:t>
            </w:r>
          </w:p>
          <w:p w:rsidR="00E76EE7" w:rsidRDefault="00E76EE7">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1.23</w:t>
            </w:r>
          </w:p>
          <w:p w:rsidR="00E76EE7" w:rsidRDefault="00E76EE7">
            <w:pPr>
              <w:jc w:val="right"/>
              <w:rPr>
                <w:rFonts w:asciiTheme="minorEastAsia" w:eastAsiaTheme="minorEastAsia" w:hAnsiTheme="minorEastAsia" w:cs="宋体"/>
                <w:color w:val="000000" w:themeColor="text1"/>
                <w:kern w:val="0"/>
              </w:rPr>
            </w:pP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1,232,139,757.34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36.36</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1,987,486.54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0.06</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82,345,108.06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2.43</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9,875,476.80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0.29</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69,470,921.00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2.05</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142,742,175.53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4.21</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800,242,196.18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23.61</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252,656,725.48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7.46</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82,143,029.84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2.42</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E76EE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76EE7">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76EE7" w:rsidRDefault="00E2226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2,784,040,070.18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76EE7" w:rsidRDefault="00E2226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82.15</w:t>
            </w:r>
          </w:p>
        </w:tc>
      </w:tr>
    </w:tbl>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E76EE7">
        <w:tc>
          <w:tcPr>
            <w:tcW w:w="817" w:type="dxa"/>
            <w:vAlign w:val="center"/>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E76EE7" w:rsidRDefault="00E2226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1</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002236</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大华股份</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16,308,633</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324,215,624.04</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9.57</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2</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300014</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亿纬锂能</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2,945,585</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147,750,543.60</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4.36</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3</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600030</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中信证券</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5,010,424</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126,763,727.20</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3.74</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4</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601318</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中国平安</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1,321,188</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112,908,726.48</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3.33</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5</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600036</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招商银行</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2,931,323</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110,159,118.34</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3.25</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6</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600383</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金地集团</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7,373,073</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106,909,558.50</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3.15</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7</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600837</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海通证券</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6,906,223</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106,770,207.58</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3.15</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8</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600031</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三一重工</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6,090,454</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103,842,240.70</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3.06</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9</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601012</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隆基股份</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3,980,833</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98,844,083.39</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2.92</w:t>
            </w:r>
          </w:p>
        </w:tc>
      </w:tr>
      <w:tr w:rsidR="00E76EE7">
        <w:tc>
          <w:tcPr>
            <w:tcW w:w="817" w:type="dxa"/>
            <w:vAlign w:val="center"/>
          </w:tcPr>
          <w:p w:rsidR="00E76EE7" w:rsidRDefault="00E22261">
            <w:pPr>
              <w:jc w:val="center"/>
            </w:pPr>
            <w:r>
              <w:rPr>
                <w:rFonts w:asciiTheme="minorEastAsia" w:eastAsiaTheme="minorEastAsia" w:hAnsiTheme="minorEastAsia" w:cs="宋体"/>
                <w:color w:val="000000" w:themeColor="text1"/>
                <w:kern w:val="0"/>
              </w:rPr>
              <w:t>10</w:t>
            </w:r>
          </w:p>
        </w:tc>
        <w:tc>
          <w:tcPr>
            <w:tcW w:w="1276" w:type="dxa"/>
            <w:vAlign w:val="center"/>
          </w:tcPr>
          <w:p w:rsidR="00E76EE7" w:rsidRDefault="00E22261">
            <w:pPr>
              <w:jc w:val="center"/>
            </w:pPr>
            <w:r>
              <w:rPr>
                <w:rFonts w:asciiTheme="minorEastAsia" w:eastAsiaTheme="minorEastAsia" w:hAnsiTheme="minorEastAsia" w:cs="宋体"/>
                <w:color w:val="000000" w:themeColor="text1"/>
                <w:kern w:val="0"/>
              </w:rPr>
              <w:t>002798</w:t>
            </w:r>
          </w:p>
        </w:tc>
        <w:tc>
          <w:tcPr>
            <w:tcW w:w="1701" w:type="dxa"/>
            <w:vAlign w:val="center"/>
          </w:tcPr>
          <w:p w:rsidR="00E76EE7" w:rsidRDefault="00E22261">
            <w:pPr>
              <w:jc w:val="center"/>
            </w:pPr>
            <w:r>
              <w:rPr>
                <w:rFonts w:asciiTheme="minorEastAsia" w:eastAsiaTheme="minorEastAsia" w:hAnsiTheme="minorEastAsia" w:cs="宋体"/>
                <w:color w:val="000000" w:themeColor="text1"/>
                <w:kern w:val="0"/>
              </w:rPr>
              <w:t>帝欧家居</w:t>
            </w:r>
          </w:p>
        </w:tc>
        <w:tc>
          <w:tcPr>
            <w:tcW w:w="1276" w:type="dxa"/>
            <w:vAlign w:val="center"/>
          </w:tcPr>
          <w:p w:rsidR="00E76EE7" w:rsidRDefault="00E22261">
            <w:pPr>
              <w:jc w:val="right"/>
            </w:pPr>
            <w:r>
              <w:rPr>
                <w:rFonts w:asciiTheme="minorEastAsia" w:eastAsiaTheme="minorEastAsia" w:hAnsiTheme="minorEastAsia" w:cs="宋体"/>
                <w:color w:val="000000" w:themeColor="text1"/>
                <w:kern w:val="0"/>
              </w:rPr>
              <w:t>3,634,990</w:t>
            </w:r>
          </w:p>
        </w:tc>
        <w:tc>
          <w:tcPr>
            <w:tcW w:w="1842" w:type="dxa"/>
            <w:vAlign w:val="center"/>
          </w:tcPr>
          <w:p w:rsidR="00E76EE7" w:rsidRDefault="00E22261">
            <w:pPr>
              <w:jc w:val="right"/>
            </w:pPr>
            <w:r>
              <w:rPr>
                <w:rFonts w:asciiTheme="minorEastAsia" w:eastAsiaTheme="minorEastAsia" w:hAnsiTheme="minorEastAsia" w:cs="宋体"/>
                <w:color w:val="000000" w:themeColor="text1"/>
                <w:kern w:val="0"/>
              </w:rPr>
              <w:t>91,056,499.50</w:t>
            </w:r>
          </w:p>
        </w:tc>
        <w:tc>
          <w:tcPr>
            <w:tcW w:w="1616" w:type="dxa"/>
            <w:vAlign w:val="center"/>
          </w:tcPr>
          <w:p w:rsidR="00E76EE7" w:rsidRDefault="00E22261">
            <w:pPr>
              <w:jc w:val="right"/>
            </w:pPr>
            <w:r>
              <w:rPr>
                <w:rFonts w:asciiTheme="minorEastAsia" w:eastAsiaTheme="minorEastAsia" w:hAnsiTheme="minorEastAsia" w:cs="宋体"/>
                <w:color w:val="000000" w:themeColor="text1"/>
                <w:kern w:val="0"/>
              </w:rPr>
              <w:t>2.69</w:t>
            </w:r>
          </w:p>
        </w:tc>
      </w:tr>
    </w:tbl>
    <w:p w:rsidR="00E76EE7" w:rsidRDefault="00E76EE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E76EE7" w:rsidRDefault="00E76EE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E76EE7" w:rsidRDefault="00E22261">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E76EE7" w:rsidRDefault="00E76EE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E76EE7" w:rsidRDefault="00E76EE7">
      <w:pPr>
        <w:adjustRightInd w:val="0"/>
        <w:snapToGrid w:val="0"/>
        <w:spacing w:line="360" w:lineRule="exact"/>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E76EE7" w:rsidRDefault="00E2226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E76EE7">
        <w:tc>
          <w:tcPr>
            <w:tcW w:w="1235"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E76EE7" w:rsidRDefault="00E2226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874,644.01</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40,408,254.88</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137,875.04</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2,337,797.01</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E76EE7">
        <w:tc>
          <w:tcPr>
            <w:tcW w:w="1235" w:type="dxa"/>
            <w:vAlign w:val="center"/>
          </w:tcPr>
          <w:p w:rsidR="00E76EE7" w:rsidRDefault="00E2226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E76EE7" w:rsidRDefault="00E2226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43,758,570.94</w:t>
            </w:r>
          </w:p>
        </w:tc>
      </w:tr>
    </w:tbl>
    <w:p w:rsidR="00E76EE7" w:rsidRDefault="00E76EE7">
      <w:pPr>
        <w:autoSpaceDE w:val="0"/>
        <w:autoSpaceDN w:val="0"/>
        <w:adjustRightInd w:val="0"/>
        <w:spacing w:line="360" w:lineRule="auto"/>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E76EE7" w:rsidRDefault="00E76EE7">
      <w:pPr>
        <w:autoSpaceDE w:val="0"/>
        <w:autoSpaceDN w:val="0"/>
        <w:adjustRightInd w:val="0"/>
        <w:spacing w:line="360" w:lineRule="auto"/>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E76EE7" w:rsidRDefault="00E76EE7">
      <w:pPr>
        <w:autoSpaceDE w:val="0"/>
        <w:autoSpaceDN w:val="0"/>
        <w:adjustRightInd w:val="0"/>
        <w:spacing w:line="360" w:lineRule="auto"/>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E76EE7" w:rsidRDefault="00E2226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E76EE7" w:rsidRDefault="00E2226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E76EE7">
        <w:tc>
          <w:tcPr>
            <w:tcW w:w="4609"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2,187,733,503.78</w:t>
            </w:r>
          </w:p>
        </w:tc>
      </w:tr>
      <w:tr w:rsidR="00E76EE7">
        <w:tc>
          <w:tcPr>
            <w:tcW w:w="4609"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61,390,929.88</w:t>
            </w:r>
          </w:p>
        </w:tc>
      </w:tr>
      <w:tr w:rsidR="00E76EE7">
        <w:tc>
          <w:tcPr>
            <w:tcW w:w="4609"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333,893,498.52</w:t>
            </w:r>
          </w:p>
        </w:tc>
      </w:tr>
      <w:tr w:rsidR="00E76EE7">
        <w:tc>
          <w:tcPr>
            <w:tcW w:w="4609"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E76EE7">
        <w:tc>
          <w:tcPr>
            <w:tcW w:w="4609"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76EE7" w:rsidRDefault="00E2226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1,915,230,935.14</w:t>
            </w:r>
          </w:p>
        </w:tc>
      </w:tr>
    </w:tbl>
    <w:p w:rsidR="00E76EE7" w:rsidRDefault="00E22261">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E76EE7" w:rsidRDefault="00E22261">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E76EE7" w:rsidRDefault="00E2226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E76EE7" w:rsidRDefault="00E76EE7">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E76EE7" w:rsidRDefault="00E2226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中国证监会批准上投摩根核心成长股票型证券投资基金设立的文件；</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《上投摩根核心成长股票型证券投资基金基金合同》；</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《上投摩根核心成长股票型证券投资基金基金托管协议》；</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E76EE7" w:rsidRDefault="00E76EE7">
      <w:pPr>
        <w:spacing w:line="360" w:lineRule="auto"/>
        <w:ind w:firstLineChars="200" w:firstLine="480"/>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E76EE7" w:rsidRDefault="00E76EE7">
      <w:pPr>
        <w:spacing w:line="360" w:lineRule="auto"/>
        <w:ind w:firstLineChars="200" w:firstLine="480"/>
        <w:rPr>
          <w:rFonts w:asciiTheme="minorEastAsia" w:eastAsiaTheme="minorEastAsia" w:hAnsiTheme="minorEastAsia"/>
          <w:color w:val="000000" w:themeColor="text1"/>
          <w:sz w:val="24"/>
          <w:szCs w:val="24"/>
        </w:rPr>
      </w:pPr>
    </w:p>
    <w:p w:rsidR="00E76EE7" w:rsidRDefault="00E2226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E76EE7" w:rsidRDefault="00E2226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76EE7">
      <w:pPr>
        <w:spacing w:line="360" w:lineRule="auto"/>
        <w:ind w:left="840"/>
        <w:jc w:val="right"/>
        <w:rPr>
          <w:rFonts w:asciiTheme="minorEastAsia" w:eastAsiaTheme="minorEastAsia" w:hAnsiTheme="minorEastAsia"/>
          <w:color w:val="000000" w:themeColor="text1"/>
          <w:sz w:val="24"/>
          <w:szCs w:val="24"/>
        </w:rPr>
      </w:pPr>
    </w:p>
    <w:p w:rsidR="00E76EE7" w:rsidRDefault="00E22261">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E76EE7" w:rsidRDefault="00E22261">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E76EE7" w:rsidRDefault="00E76EE7">
      <w:pPr>
        <w:spacing w:line="360" w:lineRule="auto"/>
        <w:ind w:left="840"/>
        <w:jc w:val="right"/>
        <w:rPr>
          <w:rFonts w:asciiTheme="minorEastAsia" w:eastAsiaTheme="minorEastAsia" w:hAnsiTheme="minorEastAsia"/>
          <w:b/>
          <w:bCs/>
          <w:color w:val="000000" w:themeColor="text1"/>
          <w:sz w:val="24"/>
          <w:szCs w:val="24"/>
        </w:rPr>
      </w:pPr>
    </w:p>
    <w:p w:rsidR="00E76EE7" w:rsidRDefault="00E76EE7">
      <w:pPr>
        <w:rPr>
          <w:rFonts w:asciiTheme="minorEastAsia" w:eastAsiaTheme="minorEastAsia" w:hAnsiTheme="minorEastAsia"/>
          <w:color w:val="000000" w:themeColor="text1"/>
          <w:sz w:val="24"/>
          <w:szCs w:val="24"/>
        </w:rPr>
      </w:pPr>
    </w:p>
    <w:sectPr w:rsidR="00E76EE7">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2261">
      <w:r>
        <w:separator/>
      </w:r>
    </w:p>
  </w:endnote>
  <w:endnote w:type="continuationSeparator" w:id="0">
    <w:p w:rsidR="00000000" w:rsidRDefault="00E2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E7" w:rsidRDefault="00E22261">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E22261">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E7" w:rsidRDefault="00E22261">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rsidR="00E76EE7" w:rsidRDefault="00E76EE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2261">
      <w:r>
        <w:separator/>
      </w:r>
    </w:p>
  </w:footnote>
  <w:footnote w:type="continuationSeparator" w:id="0">
    <w:p w:rsidR="00000000" w:rsidRDefault="00E22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E7" w:rsidRDefault="00E22261">
    <w:pPr>
      <w:pStyle w:val="ad"/>
      <w:pBdr>
        <w:bottom w:val="single" w:sz="6" w:space="0" w:color="auto"/>
      </w:pBdr>
      <w:jc w:val="right"/>
    </w:pPr>
    <w:r>
      <w:rPr>
        <w:rFonts w:hint="eastAsia"/>
      </w:rPr>
      <w:t>上投摩根核心成长股票型证券投资基金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22261"/>
    <w:rsid w:val="00E44E18"/>
    <w:rsid w:val="00E54301"/>
    <w:rsid w:val="00E55ABD"/>
    <w:rsid w:val="00E60817"/>
    <w:rsid w:val="00E71F78"/>
    <w:rsid w:val="00E76EE7"/>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44D0B-337F-4FC4-8CAF-0C18B9D1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A43D4-64A2-4636-A030-4FC9A1C0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265</cp:revision>
  <dcterms:created xsi:type="dcterms:W3CDTF">2012-10-16T06:07:00Z</dcterms:created>
  <dcterms:modified xsi:type="dcterms:W3CDTF">2020-01-16T10:54:00Z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