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EE7" w:rsidRDefault="00E76EE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76EE7" w:rsidRDefault="00E76EE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76EE7" w:rsidRDefault="00E76EE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76EE7" w:rsidRDefault="00E76EE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76EE7" w:rsidRDefault="00E76EE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76EE7" w:rsidRDefault="00E22261">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上投摩根核心成长股票型证券投资基金</w:t>
      </w:r>
    </w:p>
    <w:p w:rsidR="00E76EE7" w:rsidRDefault="00E22261">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2019</w:t>
      </w:r>
      <w:r>
        <w:rPr>
          <w:rFonts w:asciiTheme="minorEastAsia" w:eastAsiaTheme="minorEastAsia" w:hAnsiTheme="minorEastAsia" w:hint="eastAsia"/>
          <w:b/>
          <w:color w:val="000000" w:themeColor="text1"/>
          <w:sz w:val="36"/>
          <w:szCs w:val="36"/>
        </w:rPr>
        <w:t>年第</w:t>
      </w:r>
      <w:r>
        <w:rPr>
          <w:rFonts w:asciiTheme="minorEastAsia" w:eastAsiaTheme="minorEastAsia" w:hAnsiTheme="minorEastAsia" w:hint="eastAsia"/>
          <w:b/>
          <w:color w:val="000000" w:themeColor="text1"/>
          <w:sz w:val="36"/>
          <w:szCs w:val="36"/>
        </w:rPr>
        <w:t>4</w:t>
      </w:r>
      <w:r>
        <w:rPr>
          <w:rFonts w:asciiTheme="minorEastAsia" w:eastAsiaTheme="minorEastAsia" w:hAnsiTheme="minorEastAsia" w:hint="eastAsia"/>
          <w:b/>
          <w:color w:val="000000" w:themeColor="text1"/>
          <w:sz w:val="36"/>
          <w:szCs w:val="36"/>
        </w:rPr>
        <w:t>季度报告</w:t>
      </w:r>
    </w:p>
    <w:p w:rsidR="00E76EE7" w:rsidRDefault="00E22261">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2019</w:t>
      </w:r>
      <w:r>
        <w:rPr>
          <w:rFonts w:asciiTheme="minorEastAsia" w:eastAsiaTheme="minorEastAsia" w:hAnsiTheme="minorEastAsia"/>
          <w:b/>
          <w:color w:val="000000" w:themeColor="text1"/>
          <w:sz w:val="24"/>
          <w:szCs w:val="24"/>
        </w:rPr>
        <w:t>年</w:t>
      </w:r>
      <w:r>
        <w:rPr>
          <w:rFonts w:asciiTheme="minorEastAsia" w:eastAsiaTheme="minorEastAsia" w:hAnsiTheme="minorEastAsia"/>
          <w:b/>
          <w:color w:val="000000" w:themeColor="text1"/>
          <w:sz w:val="24"/>
          <w:szCs w:val="24"/>
        </w:rPr>
        <w:t>12</w:t>
      </w:r>
      <w:r>
        <w:rPr>
          <w:rFonts w:asciiTheme="minorEastAsia" w:eastAsiaTheme="minorEastAsia" w:hAnsiTheme="minorEastAsia"/>
          <w:b/>
          <w:color w:val="000000" w:themeColor="text1"/>
          <w:sz w:val="24"/>
          <w:szCs w:val="24"/>
        </w:rPr>
        <w:t>月</w:t>
      </w:r>
      <w:r>
        <w:rPr>
          <w:rFonts w:asciiTheme="minorEastAsia" w:eastAsiaTheme="minorEastAsia" w:hAnsiTheme="minorEastAsia"/>
          <w:b/>
          <w:color w:val="000000" w:themeColor="text1"/>
          <w:sz w:val="24"/>
          <w:szCs w:val="24"/>
        </w:rPr>
        <w:t>31</w:t>
      </w:r>
      <w:r>
        <w:rPr>
          <w:rFonts w:asciiTheme="minorEastAsia" w:eastAsiaTheme="minorEastAsia" w:hAnsiTheme="minorEastAsia"/>
          <w:b/>
          <w:color w:val="000000" w:themeColor="text1"/>
          <w:sz w:val="24"/>
          <w:szCs w:val="24"/>
        </w:rPr>
        <w:t>日</w:t>
      </w:r>
    </w:p>
    <w:p w:rsidR="00E76EE7" w:rsidRDefault="00E76EE7">
      <w:pPr>
        <w:spacing w:line="360" w:lineRule="auto"/>
        <w:jc w:val="center"/>
        <w:rPr>
          <w:rFonts w:asciiTheme="minorEastAsia" w:eastAsiaTheme="minorEastAsia" w:hAnsiTheme="minorEastAsia"/>
          <w:b/>
          <w:bCs/>
          <w:color w:val="000000" w:themeColor="text1"/>
          <w:sz w:val="24"/>
          <w:szCs w:val="24"/>
        </w:rPr>
      </w:pPr>
    </w:p>
    <w:p w:rsidR="00E76EE7" w:rsidRDefault="00E76EE7">
      <w:pPr>
        <w:spacing w:line="360" w:lineRule="auto"/>
        <w:jc w:val="center"/>
        <w:rPr>
          <w:rFonts w:asciiTheme="minorEastAsia" w:eastAsiaTheme="minorEastAsia" w:hAnsiTheme="minorEastAsia"/>
          <w:b/>
          <w:bCs/>
          <w:color w:val="000000" w:themeColor="text1"/>
          <w:sz w:val="24"/>
          <w:szCs w:val="24"/>
        </w:rPr>
      </w:pPr>
    </w:p>
    <w:p w:rsidR="00E76EE7" w:rsidRDefault="00E76EE7">
      <w:pPr>
        <w:spacing w:line="360" w:lineRule="auto"/>
        <w:jc w:val="center"/>
        <w:rPr>
          <w:rFonts w:asciiTheme="minorEastAsia" w:eastAsiaTheme="minorEastAsia" w:hAnsiTheme="minorEastAsia"/>
          <w:b/>
          <w:bCs/>
          <w:color w:val="000000" w:themeColor="text1"/>
          <w:sz w:val="24"/>
          <w:szCs w:val="24"/>
        </w:rPr>
      </w:pPr>
    </w:p>
    <w:p w:rsidR="00E76EE7" w:rsidRDefault="00E76EE7">
      <w:pPr>
        <w:spacing w:line="360" w:lineRule="auto"/>
        <w:jc w:val="center"/>
        <w:rPr>
          <w:rFonts w:asciiTheme="minorEastAsia" w:eastAsiaTheme="minorEastAsia" w:hAnsiTheme="minorEastAsia"/>
          <w:b/>
          <w:bCs/>
          <w:color w:val="000000" w:themeColor="text1"/>
          <w:sz w:val="24"/>
          <w:szCs w:val="24"/>
        </w:rPr>
      </w:pPr>
      <w:bookmarkStart w:id="0" w:name="_GoBack"/>
      <w:bookmarkEnd w:id="0"/>
    </w:p>
    <w:p w:rsidR="00E76EE7" w:rsidRDefault="00E76EE7">
      <w:pPr>
        <w:spacing w:line="360" w:lineRule="auto"/>
        <w:jc w:val="center"/>
        <w:rPr>
          <w:rFonts w:asciiTheme="minorEastAsia" w:eastAsiaTheme="minorEastAsia" w:hAnsiTheme="minorEastAsia"/>
          <w:b/>
          <w:bCs/>
          <w:color w:val="000000" w:themeColor="text1"/>
          <w:sz w:val="24"/>
          <w:szCs w:val="24"/>
        </w:rPr>
      </w:pPr>
    </w:p>
    <w:p w:rsidR="00E76EE7" w:rsidRDefault="00E76EE7">
      <w:pPr>
        <w:spacing w:line="360" w:lineRule="auto"/>
        <w:jc w:val="center"/>
        <w:rPr>
          <w:rFonts w:asciiTheme="minorEastAsia" w:eastAsiaTheme="minorEastAsia" w:hAnsiTheme="minorEastAsia"/>
          <w:b/>
          <w:bCs/>
          <w:color w:val="000000" w:themeColor="text1"/>
          <w:sz w:val="24"/>
          <w:szCs w:val="24"/>
        </w:rPr>
      </w:pPr>
    </w:p>
    <w:p w:rsidR="00E76EE7" w:rsidRDefault="00E76EE7">
      <w:pPr>
        <w:spacing w:line="360" w:lineRule="auto"/>
        <w:jc w:val="center"/>
        <w:rPr>
          <w:rFonts w:asciiTheme="minorEastAsia" w:eastAsiaTheme="minorEastAsia" w:hAnsiTheme="minorEastAsia"/>
          <w:b/>
          <w:bCs/>
          <w:color w:val="000000" w:themeColor="text1"/>
          <w:sz w:val="24"/>
          <w:szCs w:val="24"/>
        </w:rPr>
      </w:pPr>
    </w:p>
    <w:p w:rsidR="00E76EE7" w:rsidRDefault="00E76EE7">
      <w:pPr>
        <w:spacing w:line="360" w:lineRule="auto"/>
        <w:jc w:val="center"/>
        <w:rPr>
          <w:rFonts w:asciiTheme="minorEastAsia" w:eastAsiaTheme="minorEastAsia" w:hAnsiTheme="minorEastAsia"/>
          <w:b/>
          <w:bCs/>
          <w:color w:val="000000" w:themeColor="text1"/>
          <w:sz w:val="24"/>
          <w:szCs w:val="24"/>
        </w:rPr>
      </w:pPr>
    </w:p>
    <w:p w:rsidR="00E76EE7" w:rsidRDefault="00E76EE7">
      <w:pPr>
        <w:spacing w:line="360" w:lineRule="auto"/>
        <w:jc w:val="center"/>
        <w:rPr>
          <w:rFonts w:asciiTheme="minorEastAsia" w:eastAsiaTheme="minorEastAsia" w:hAnsiTheme="minorEastAsia"/>
          <w:b/>
          <w:bCs/>
          <w:color w:val="000000" w:themeColor="text1"/>
          <w:sz w:val="24"/>
          <w:szCs w:val="24"/>
        </w:rPr>
      </w:pPr>
    </w:p>
    <w:p w:rsidR="00E76EE7" w:rsidRDefault="00E76EE7">
      <w:pPr>
        <w:spacing w:line="360" w:lineRule="auto"/>
        <w:jc w:val="center"/>
        <w:rPr>
          <w:rFonts w:asciiTheme="minorEastAsia" w:eastAsiaTheme="minorEastAsia" w:hAnsiTheme="minorEastAsia"/>
          <w:b/>
          <w:bCs/>
          <w:color w:val="000000" w:themeColor="text1"/>
          <w:sz w:val="24"/>
          <w:szCs w:val="24"/>
        </w:rPr>
      </w:pPr>
    </w:p>
    <w:p w:rsidR="00E76EE7" w:rsidRDefault="00E76EE7">
      <w:pPr>
        <w:spacing w:line="360" w:lineRule="auto"/>
        <w:jc w:val="center"/>
        <w:rPr>
          <w:rFonts w:asciiTheme="minorEastAsia" w:eastAsiaTheme="minorEastAsia" w:hAnsiTheme="minorEastAsia"/>
          <w:b/>
          <w:bCs/>
          <w:color w:val="000000" w:themeColor="text1"/>
          <w:sz w:val="24"/>
          <w:szCs w:val="24"/>
        </w:rPr>
      </w:pPr>
    </w:p>
    <w:p w:rsidR="00E76EE7" w:rsidRDefault="00E76EE7">
      <w:pPr>
        <w:spacing w:line="360" w:lineRule="auto"/>
        <w:jc w:val="center"/>
        <w:rPr>
          <w:rFonts w:asciiTheme="minorEastAsia" w:eastAsiaTheme="minorEastAsia" w:hAnsiTheme="minorEastAsia"/>
          <w:b/>
          <w:bCs/>
          <w:color w:val="000000" w:themeColor="text1"/>
          <w:sz w:val="24"/>
          <w:szCs w:val="24"/>
        </w:rPr>
      </w:pPr>
    </w:p>
    <w:p w:rsidR="00E76EE7" w:rsidRDefault="00E76EE7">
      <w:pPr>
        <w:spacing w:line="360" w:lineRule="auto"/>
        <w:jc w:val="center"/>
        <w:rPr>
          <w:rFonts w:asciiTheme="minorEastAsia" w:eastAsiaTheme="minorEastAsia" w:hAnsiTheme="minorEastAsia"/>
          <w:b/>
          <w:bCs/>
          <w:color w:val="000000" w:themeColor="text1"/>
          <w:sz w:val="24"/>
          <w:szCs w:val="24"/>
        </w:rPr>
      </w:pPr>
    </w:p>
    <w:p w:rsidR="00E76EE7" w:rsidRDefault="00E76EE7">
      <w:pPr>
        <w:spacing w:line="360" w:lineRule="auto"/>
        <w:rPr>
          <w:rFonts w:asciiTheme="minorEastAsia" w:eastAsiaTheme="minorEastAsia" w:hAnsiTheme="minorEastAsia"/>
          <w:b/>
          <w:bCs/>
          <w:color w:val="000000" w:themeColor="text1"/>
          <w:sz w:val="24"/>
          <w:szCs w:val="24"/>
        </w:rPr>
      </w:pPr>
    </w:p>
    <w:p w:rsidR="00E76EE7" w:rsidRDefault="00E22261">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E76EE7" w:rsidRDefault="00E22261">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中国银行股份有限公司</w:t>
      </w:r>
    </w:p>
    <w:p w:rsidR="00E76EE7" w:rsidRDefault="00E22261">
      <w:pPr>
        <w:spacing w:line="360" w:lineRule="auto"/>
        <w:ind w:firstLineChars="900" w:firstLine="2168"/>
        <w:rPr>
          <w:rFonts w:asciiTheme="minorEastAsia" w:eastAsiaTheme="minorEastAsia" w:hAnsiTheme="minorEastAsia"/>
          <w:b/>
          <w:color w:val="000000" w:themeColor="text1"/>
          <w:sz w:val="24"/>
          <w:szCs w:val="24"/>
        </w:rPr>
        <w:sectPr w:rsidR="00E76EE7">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二〇二〇年一月二十日</w:t>
      </w:r>
    </w:p>
    <w:p w:rsidR="00E76EE7" w:rsidRDefault="00E22261">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E76EE7" w:rsidRDefault="00E2226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rPr>
        <w:t xml:space="preserve"> </w:t>
      </w:r>
    </w:p>
    <w:p w:rsidR="00E76EE7" w:rsidRDefault="00E2226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基金托管人中国银行股份有限公司根据本基金合同规定，于</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17</w:t>
      </w:r>
      <w:r>
        <w:rPr>
          <w:rFonts w:asciiTheme="minorEastAsia" w:eastAsiaTheme="minorEastAsia" w:hAnsiTheme="minorEastAsia"/>
          <w:color w:val="000000" w:themeColor="text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rPr>
        <w:t xml:space="preserve"> </w:t>
      </w:r>
    </w:p>
    <w:p w:rsidR="00E76EE7" w:rsidRDefault="00E2226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基金管理人承诺以诚实信用、勤勉尽责的原则管理和运用基金资产，但不保证基金一定盈利。</w:t>
      </w:r>
      <w:r>
        <w:rPr>
          <w:rFonts w:asciiTheme="minorEastAsia" w:eastAsiaTheme="minorEastAsia" w:hAnsiTheme="minorEastAsia"/>
          <w:color w:val="000000" w:themeColor="text1"/>
        </w:rPr>
        <w:t xml:space="preserve"> </w:t>
      </w:r>
    </w:p>
    <w:p w:rsidR="00E76EE7" w:rsidRDefault="00E2226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rPr>
        <w:t xml:space="preserve"> </w:t>
      </w:r>
    </w:p>
    <w:p w:rsidR="00E76EE7" w:rsidRDefault="00E2226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E76EE7" w:rsidRDefault="00E2226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日起至</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31</w:t>
      </w:r>
      <w:r>
        <w:rPr>
          <w:rFonts w:asciiTheme="minorEastAsia" w:eastAsiaTheme="minorEastAsia" w:hAnsiTheme="minorEastAsia"/>
          <w:color w:val="000000" w:themeColor="text1"/>
        </w:rPr>
        <w:t>日止。</w:t>
      </w:r>
    </w:p>
    <w:p w:rsidR="00E76EE7" w:rsidRDefault="00E22261">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E76EE7">
        <w:tc>
          <w:tcPr>
            <w:tcW w:w="2835" w:type="dxa"/>
            <w:vAlign w:val="center"/>
          </w:tcPr>
          <w:p w:rsidR="00E76EE7" w:rsidRDefault="00E2226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E76EE7" w:rsidRDefault="00E2226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上投摩根核心成长股票</w:t>
            </w:r>
          </w:p>
        </w:tc>
      </w:tr>
      <w:tr w:rsidR="00E76EE7">
        <w:tc>
          <w:tcPr>
            <w:tcW w:w="2835" w:type="dxa"/>
            <w:tcBorders>
              <w:top w:val="single" w:sz="4" w:space="0" w:color="auto"/>
              <w:left w:val="single" w:sz="4" w:space="0" w:color="auto"/>
              <w:bottom w:val="single" w:sz="4" w:space="0" w:color="auto"/>
              <w:right w:val="single" w:sz="4" w:space="0" w:color="auto"/>
            </w:tcBorders>
            <w:vAlign w:val="center"/>
          </w:tcPr>
          <w:p w:rsidR="00E76EE7" w:rsidRDefault="00E22261">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E76EE7" w:rsidRDefault="00E2226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000457</w:t>
            </w:r>
          </w:p>
        </w:tc>
      </w:tr>
      <w:tr w:rsidR="00E76EE7">
        <w:tc>
          <w:tcPr>
            <w:tcW w:w="2835" w:type="dxa"/>
            <w:tcBorders>
              <w:top w:val="single" w:sz="4" w:space="0" w:color="auto"/>
              <w:left w:val="single" w:sz="4" w:space="0" w:color="auto"/>
              <w:bottom w:val="single" w:sz="4" w:space="0" w:color="auto"/>
              <w:right w:val="single" w:sz="4" w:space="0" w:color="auto"/>
            </w:tcBorders>
            <w:vAlign w:val="center"/>
          </w:tcPr>
          <w:p w:rsidR="00E76EE7" w:rsidRDefault="00E22261">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E76EE7" w:rsidRDefault="00E2226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000457</w:t>
            </w:r>
          </w:p>
        </w:tc>
      </w:tr>
      <w:tr w:rsidR="00E76EE7">
        <w:tc>
          <w:tcPr>
            <w:tcW w:w="2835" w:type="dxa"/>
            <w:vAlign w:val="center"/>
          </w:tcPr>
          <w:p w:rsidR="00E76EE7" w:rsidRDefault="00E2226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E76EE7" w:rsidRDefault="00E2226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E76EE7">
        <w:tc>
          <w:tcPr>
            <w:tcW w:w="2835" w:type="dxa"/>
            <w:vAlign w:val="center"/>
          </w:tcPr>
          <w:p w:rsidR="00E76EE7" w:rsidRDefault="00E2226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E76EE7" w:rsidRDefault="00E2226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2014</w:t>
            </w:r>
            <w:r>
              <w:rPr>
                <w:rFonts w:asciiTheme="minorEastAsia" w:eastAsiaTheme="minorEastAsia" w:hAnsiTheme="minorEastAsia"/>
                <w:color w:val="000000" w:themeColor="text1"/>
                <w:kern w:val="0"/>
              </w:rPr>
              <w:t>年</w:t>
            </w:r>
            <w:r>
              <w:rPr>
                <w:rFonts w:asciiTheme="minorEastAsia" w:eastAsiaTheme="minorEastAsia" w:hAnsiTheme="minorEastAsia"/>
                <w:color w:val="000000" w:themeColor="text1"/>
                <w:kern w:val="0"/>
              </w:rPr>
              <w:t>2</w:t>
            </w:r>
            <w:r>
              <w:rPr>
                <w:rFonts w:asciiTheme="minorEastAsia" w:eastAsiaTheme="minorEastAsia" w:hAnsiTheme="minorEastAsia"/>
                <w:color w:val="000000" w:themeColor="text1"/>
                <w:kern w:val="0"/>
              </w:rPr>
              <w:t>月</w:t>
            </w:r>
            <w:r>
              <w:rPr>
                <w:rFonts w:asciiTheme="minorEastAsia" w:eastAsiaTheme="minorEastAsia" w:hAnsiTheme="minorEastAsia"/>
                <w:color w:val="000000" w:themeColor="text1"/>
                <w:kern w:val="0"/>
              </w:rPr>
              <w:t>10</w:t>
            </w:r>
            <w:r>
              <w:rPr>
                <w:rFonts w:asciiTheme="minorEastAsia" w:eastAsiaTheme="minorEastAsia" w:hAnsiTheme="minorEastAsia"/>
                <w:color w:val="000000" w:themeColor="text1"/>
                <w:kern w:val="0"/>
              </w:rPr>
              <w:t>日</w:t>
            </w:r>
          </w:p>
        </w:tc>
      </w:tr>
      <w:tr w:rsidR="00E76EE7">
        <w:tc>
          <w:tcPr>
            <w:tcW w:w="2835" w:type="dxa"/>
            <w:vAlign w:val="center"/>
          </w:tcPr>
          <w:p w:rsidR="00E76EE7" w:rsidRDefault="00E2226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E76EE7" w:rsidRDefault="00E2226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1,915,230,935.14</w:t>
            </w:r>
            <w:r>
              <w:rPr>
                <w:rFonts w:asciiTheme="minorEastAsia" w:eastAsiaTheme="minorEastAsia" w:hAnsiTheme="minorEastAsia" w:hint="eastAsia"/>
                <w:color w:val="000000" w:themeColor="text1"/>
                <w:kern w:val="0"/>
              </w:rPr>
              <w:t>份</w:t>
            </w:r>
          </w:p>
        </w:tc>
      </w:tr>
      <w:tr w:rsidR="00E76EE7">
        <w:tc>
          <w:tcPr>
            <w:tcW w:w="2835" w:type="dxa"/>
            <w:vAlign w:val="center"/>
          </w:tcPr>
          <w:p w:rsidR="00E76EE7" w:rsidRDefault="00E2226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E76EE7" w:rsidRDefault="00E2226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本基金将充分利用管理人的投资研究平台，通过系统和深入的基本面研究，选择公司治理良好且具有较高增长潜力的公司进行投资，力争实现基金资产的长期稳定增值。</w:t>
            </w:r>
          </w:p>
        </w:tc>
      </w:tr>
      <w:tr w:rsidR="00E76EE7">
        <w:tc>
          <w:tcPr>
            <w:tcW w:w="2835" w:type="dxa"/>
            <w:vAlign w:val="center"/>
          </w:tcPr>
          <w:p w:rsidR="00E76EE7" w:rsidRDefault="00E2226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E76EE7" w:rsidRDefault="00E2226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本基金采用</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自下而上</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的个股精选策略，综合运用定量分析与定性分析的手段，基于公司内部研究团队对于个股基本面的深入研究和细致的实地调研，重点投资于公司治理良好且具有较高增长潜力的公司。在行业配置层面，本</w:t>
            </w:r>
            <w:r>
              <w:rPr>
                <w:rFonts w:asciiTheme="minorEastAsia" w:eastAsiaTheme="minorEastAsia" w:hAnsiTheme="minorEastAsia"/>
                <w:color w:val="000000" w:themeColor="text1"/>
                <w:kern w:val="0"/>
              </w:rPr>
              <w:lastRenderedPageBreak/>
              <w:t>基金将对宏观经济发展状况及趋势、行业周期性及景气度、行业相对估值水平等方面进行研究，判断各个行业的相对投资价值，参考整体市场的行业资产分布比例，确定和</w:t>
            </w:r>
            <w:r>
              <w:rPr>
                <w:rFonts w:asciiTheme="minorEastAsia" w:eastAsiaTheme="minorEastAsia" w:hAnsiTheme="minorEastAsia"/>
                <w:color w:val="000000" w:themeColor="text1"/>
                <w:kern w:val="0"/>
              </w:rPr>
              <w:t>动态调整各个行业的配置比例。在个股选择层面，本基金通过纪律化的投资约束，力争最大程度地将内部研究成果转化为投资业绩，公司研究团队负责内部研究组合的构建与维护。</w:t>
            </w:r>
          </w:p>
        </w:tc>
      </w:tr>
      <w:tr w:rsidR="00E76EE7">
        <w:tc>
          <w:tcPr>
            <w:tcW w:w="2835" w:type="dxa"/>
            <w:vAlign w:val="center"/>
          </w:tcPr>
          <w:p w:rsidR="00E76EE7" w:rsidRDefault="00E2226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E76EE7" w:rsidRDefault="00E2226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沪深</w:t>
            </w:r>
            <w:r>
              <w:rPr>
                <w:rFonts w:asciiTheme="minorEastAsia" w:eastAsiaTheme="minorEastAsia" w:hAnsiTheme="minorEastAsia"/>
                <w:color w:val="000000" w:themeColor="text1"/>
                <w:kern w:val="0"/>
              </w:rPr>
              <w:t>300</w:t>
            </w:r>
            <w:r>
              <w:rPr>
                <w:rFonts w:asciiTheme="minorEastAsia" w:eastAsiaTheme="minorEastAsia" w:hAnsiTheme="minorEastAsia"/>
                <w:color w:val="000000" w:themeColor="text1"/>
                <w:kern w:val="0"/>
              </w:rPr>
              <w:t>指数收益率</w:t>
            </w:r>
            <w:r>
              <w:rPr>
                <w:rFonts w:asciiTheme="minorEastAsia" w:eastAsiaTheme="minorEastAsia" w:hAnsiTheme="minorEastAsia"/>
                <w:color w:val="000000" w:themeColor="text1"/>
                <w:kern w:val="0"/>
              </w:rPr>
              <w:t>×85%+</w:t>
            </w:r>
            <w:r>
              <w:rPr>
                <w:rFonts w:asciiTheme="minorEastAsia" w:eastAsiaTheme="minorEastAsia" w:hAnsiTheme="minorEastAsia"/>
                <w:color w:val="000000" w:themeColor="text1"/>
                <w:kern w:val="0"/>
              </w:rPr>
              <w:t>中债总指数收益率</w:t>
            </w:r>
            <w:r>
              <w:rPr>
                <w:rFonts w:asciiTheme="minorEastAsia" w:eastAsiaTheme="minorEastAsia" w:hAnsiTheme="minorEastAsia"/>
                <w:color w:val="000000" w:themeColor="text1"/>
                <w:kern w:val="0"/>
              </w:rPr>
              <w:t>×15%</w:t>
            </w:r>
          </w:p>
        </w:tc>
      </w:tr>
      <w:tr w:rsidR="00E76EE7">
        <w:tc>
          <w:tcPr>
            <w:tcW w:w="2835" w:type="dxa"/>
            <w:vAlign w:val="center"/>
          </w:tcPr>
          <w:p w:rsidR="00E76EE7" w:rsidRDefault="00E2226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E76EE7" w:rsidRDefault="00E2226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本基金属于股票型基金产品，预期风险和收益水平高于混合型基金、债券型基金和货币市场基金</w:t>
            </w:r>
            <w:r>
              <w:rPr>
                <w:rFonts w:asciiTheme="minorEastAsia" w:eastAsiaTheme="minorEastAsia" w:hAnsiTheme="minorEastAsia"/>
                <w:color w:val="000000" w:themeColor="text1"/>
                <w:kern w:val="0"/>
              </w:rPr>
              <w:t xml:space="preserve"> </w:t>
            </w:r>
            <w:r>
              <w:rPr>
                <w:rFonts w:asciiTheme="minorEastAsia" w:eastAsiaTheme="minorEastAsia" w:hAnsiTheme="minorEastAsia"/>
                <w:color w:val="000000" w:themeColor="text1"/>
                <w:kern w:val="0"/>
              </w:rPr>
              <w:t>，属于较高风险收益水平的基金产品。</w:t>
            </w:r>
          </w:p>
          <w:p w:rsidR="00E76EE7" w:rsidRDefault="00E2226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本基金风险收益特征会定期评估并在公司网站发布，请投资者关注。</w:t>
            </w:r>
          </w:p>
        </w:tc>
      </w:tr>
      <w:tr w:rsidR="00E76EE7">
        <w:tc>
          <w:tcPr>
            <w:tcW w:w="2835" w:type="dxa"/>
            <w:vAlign w:val="center"/>
          </w:tcPr>
          <w:p w:rsidR="00E76EE7" w:rsidRDefault="00E2226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E76EE7" w:rsidRDefault="00E2226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E76EE7">
        <w:tc>
          <w:tcPr>
            <w:tcW w:w="2835" w:type="dxa"/>
            <w:vAlign w:val="center"/>
          </w:tcPr>
          <w:p w:rsidR="00E76EE7" w:rsidRDefault="00E2226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E76EE7" w:rsidRDefault="00E2226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中国银行股份有限公司</w:t>
            </w:r>
          </w:p>
        </w:tc>
      </w:tr>
    </w:tbl>
    <w:p w:rsidR="00E76EE7" w:rsidRDefault="00E22261">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E76EE7" w:rsidRDefault="00E2226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E76EE7" w:rsidRDefault="00E2226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E22261" w:rsidTr="00E22261">
        <w:tc>
          <w:tcPr>
            <w:tcW w:w="3402" w:type="dxa"/>
            <w:vAlign w:val="center"/>
          </w:tcPr>
          <w:p w:rsidR="00E76EE7" w:rsidRDefault="00E22261">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E76EE7" w:rsidRDefault="00E22261">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E76EE7" w:rsidRDefault="00E22261">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2019</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10</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1</w:t>
            </w:r>
            <w:r>
              <w:rPr>
                <w:rFonts w:asciiTheme="minorEastAsia" w:eastAsiaTheme="minorEastAsia" w:hAnsiTheme="minorEastAsia" w:cs="宋体"/>
                <w:color w:val="000000" w:themeColor="text1"/>
              </w:rPr>
              <w:t>日</w:t>
            </w:r>
            <w:r>
              <w:rPr>
                <w:rFonts w:asciiTheme="minorEastAsia" w:eastAsiaTheme="minorEastAsia" w:hAnsiTheme="minorEastAsia" w:cs="宋体"/>
                <w:color w:val="000000" w:themeColor="text1"/>
              </w:rPr>
              <w:t>-2019</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12</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31</w:t>
            </w:r>
            <w:r>
              <w:rPr>
                <w:rFonts w:asciiTheme="minorEastAsia" w:eastAsiaTheme="minorEastAsia" w:hAnsiTheme="minorEastAsia" w:cs="宋体"/>
                <w:color w:val="000000" w:themeColor="text1"/>
              </w:rPr>
              <w:t>日</w:t>
            </w:r>
            <w:r>
              <w:rPr>
                <w:rFonts w:asciiTheme="minorEastAsia" w:eastAsiaTheme="minorEastAsia" w:hAnsiTheme="minorEastAsia" w:cs="宋体" w:hint="eastAsia"/>
                <w:color w:val="000000" w:themeColor="text1"/>
              </w:rPr>
              <w:t>)</w:t>
            </w:r>
          </w:p>
        </w:tc>
      </w:tr>
      <w:tr w:rsidR="00E22261" w:rsidTr="00E22261">
        <w:tc>
          <w:tcPr>
            <w:tcW w:w="3402" w:type="dxa"/>
            <w:vAlign w:val="center"/>
          </w:tcPr>
          <w:p w:rsidR="00E76EE7" w:rsidRDefault="00E2226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E76EE7" w:rsidRDefault="00E22261">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144,112,739.96</w:t>
            </w:r>
          </w:p>
        </w:tc>
      </w:tr>
      <w:tr w:rsidR="00E22261" w:rsidTr="00E22261">
        <w:tc>
          <w:tcPr>
            <w:tcW w:w="3402" w:type="dxa"/>
            <w:vAlign w:val="center"/>
          </w:tcPr>
          <w:p w:rsidR="00E76EE7" w:rsidRDefault="00E2226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E76EE7" w:rsidRDefault="00E22261">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351,918,575.42</w:t>
            </w:r>
          </w:p>
        </w:tc>
      </w:tr>
      <w:tr w:rsidR="00E22261" w:rsidTr="00E22261">
        <w:tc>
          <w:tcPr>
            <w:tcW w:w="3402" w:type="dxa"/>
            <w:vAlign w:val="center"/>
          </w:tcPr>
          <w:p w:rsidR="00E76EE7" w:rsidRDefault="00E2226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E76EE7" w:rsidRDefault="00E22261">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0.1713</w:t>
            </w:r>
          </w:p>
        </w:tc>
      </w:tr>
      <w:tr w:rsidR="00E22261" w:rsidTr="00E22261">
        <w:tc>
          <w:tcPr>
            <w:tcW w:w="3402" w:type="dxa"/>
            <w:vAlign w:val="center"/>
          </w:tcPr>
          <w:p w:rsidR="00E76EE7" w:rsidRDefault="00E2226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E76EE7" w:rsidRDefault="00E22261">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3,389,046,202.19</w:t>
            </w:r>
          </w:p>
        </w:tc>
      </w:tr>
      <w:tr w:rsidR="00E22261" w:rsidTr="00E22261">
        <w:trPr>
          <w:trHeight w:val="158"/>
        </w:trPr>
        <w:tc>
          <w:tcPr>
            <w:tcW w:w="3402" w:type="dxa"/>
            <w:vAlign w:val="center"/>
          </w:tcPr>
          <w:p w:rsidR="00E76EE7" w:rsidRDefault="00E2226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E76EE7" w:rsidRDefault="00E22261">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1.770</w:t>
            </w:r>
          </w:p>
        </w:tc>
      </w:tr>
    </w:tbl>
    <w:p w:rsidR="00E76EE7" w:rsidRDefault="00E2226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注：本期已实现收益指基金本期利息收入、投资收益、其他收入</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不含公允价值变动收益</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扣除相关费用后的余额，本期利润为本期已实现收益加上本期公允价值变动收益。</w:t>
      </w:r>
      <w:r>
        <w:rPr>
          <w:rFonts w:asciiTheme="minorEastAsia" w:eastAsiaTheme="minorEastAsia" w:hAnsiTheme="minorEastAsia"/>
          <w:color w:val="000000" w:themeColor="text1"/>
        </w:rPr>
        <w:t xml:space="preserve"> </w:t>
      </w:r>
    </w:p>
    <w:p w:rsidR="00E76EE7" w:rsidRDefault="00E2226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上述基金业绩指标不包括持有人认购或交易基金的各项费用（例如，开放式基金的申购赎回费、红利再投资费、基金转换费等），计入费用后实际收益水平要低于所列数字。</w:t>
      </w:r>
    </w:p>
    <w:p w:rsidR="00E76EE7" w:rsidRDefault="00E76EE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76EE7" w:rsidRDefault="00E2226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E76EE7" w:rsidRDefault="00E22261">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8"/>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E76EE7">
        <w:tc>
          <w:tcPr>
            <w:tcW w:w="1395" w:type="dxa"/>
            <w:vAlign w:val="center"/>
          </w:tcPr>
          <w:p w:rsidR="00E76EE7" w:rsidRDefault="00E22261">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E76EE7" w:rsidRDefault="00E22261">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E76EE7" w:rsidRDefault="00E22261">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E76EE7" w:rsidRDefault="00E22261">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E76EE7" w:rsidRDefault="00E22261">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E76EE7" w:rsidRDefault="00E22261">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E76EE7" w:rsidRDefault="00E22261">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E76EE7">
        <w:tc>
          <w:tcPr>
            <w:tcW w:w="1395" w:type="dxa"/>
            <w:vAlign w:val="center"/>
          </w:tcPr>
          <w:p w:rsidR="00E76EE7" w:rsidRDefault="00E22261">
            <w:pPr>
              <w:jc w:val="left"/>
            </w:pPr>
            <w:r>
              <w:rPr>
                <w:rFonts w:asciiTheme="minorEastAsia" w:eastAsiaTheme="minorEastAsia" w:hAnsiTheme="minorEastAsia"/>
                <w:color w:val="000000" w:themeColor="text1"/>
                <w:kern w:val="0"/>
              </w:rPr>
              <w:t>过去三个月</w:t>
            </w:r>
          </w:p>
        </w:tc>
        <w:tc>
          <w:tcPr>
            <w:tcW w:w="1092" w:type="dxa"/>
            <w:vAlign w:val="center"/>
          </w:tcPr>
          <w:p w:rsidR="00E76EE7" w:rsidRDefault="00E22261">
            <w:pPr>
              <w:jc w:val="center"/>
            </w:pPr>
            <w:r>
              <w:rPr>
                <w:rFonts w:asciiTheme="minorEastAsia" w:eastAsiaTheme="minorEastAsia" w:hAnsiTheme="minorEastAsia"/>
                <w:color w:val="000000" w:themeColor="text1"/>
                <w:kern w:val="0"/>
              </w:rPr>
              <w:t>10.90%</w:t>
            </w:r>
          </w:p>
        </w:tc>
        <w:tc>
          <w:tcPr>
            <w:tcW w:w="1161" w:type="dxa"/>
            <w:vAlign w:val="center"/>
          </w:tcPr>
          <w:p w:rsidR="00E76EE7" w:rsidRDefault="00E22261">
            <w:pPr>
              <w:jc w:val="center"/>
            </w:pPr>
            <w:r>
              <w:rPr>
                <w:rFonts w:asciiTheme="minorEastAsia" w:eastAsiaTheme="minorEastAsia" w:hAnsiTheme="minorEastAsia"/>
                <w:color w:val="000000" w:themeColor="text1"/>
                <w:kern w:val="0"/>
              </w:rPr>
              <w:t>0.76%</w:t>
            </w:r>
          </w:p>
        </w:tc>
        <w:tc>
          <w:tcPr>
            <w:tcW w:w="1181" w:type="dxa"/>
            <w:vAlign w:val="center"/>
          </w:tcPr>
          <w:p w:rsidR="00E76EE7" w:rsidRDefault="00E22261">
            <w:pPr>
              <w:jc w:val="center"/>
            </w:pPr>
            <w:r>
              <w:rPr>
                <w:rFonts w:asciiTheme="minorEastAsia" w:eastAsiaTheme="minorEastAsia" w:hAnsiTheme="minorEastAsia"/>
                <w:color w:val="000000" w:themeColor="text1"/>
                <w:kern w:val="0"/>
              </w:rPr>
              <w:t>6.41%</w:t>
            </w:r>
          </w:p>
        </w:tc>
        <w:tc>
          <w:tcPr>
            <w:tcW w:w="1188" w:type="dxa"/>
            <w:vAlign w:val="center"/>
          </w:tcPr>
          <w:p w:rsidR="00E76EE7" w:rsidRDefault="00E22261">
            <w:pPr>
              <w:jc w:val="center"/>
            </w:pPr>
            <w:r>
              <w:rPr>
                <w:rFonts w:asciiTheme="minorEastAsia" w:eastAsiaTheme="minorEastAsia" w:hAnsiTheme="minorEastAsia"/>
                <w:color w:val="000000" w:themeColor="text1"/>
                <w:kern w:val="0"/>
              </w:rPr>
              <w:t>0.63%</w:t>
            </w:r>
          </w:p>
        </w:tc>
        <w:tc>
          <w:tcPr>
            <w:tcW w:w="1199" w:type="dxa"/>
            <w:vAlign w:val="center"/>
          </w:tcPr>
          <w:p w:rsidR="00E76EE7" w:rsidRDefault="00E22261">
            <w:pPr>
              <w:jc w:val="center"/>
            </w:pPr>
            <w:r>
              <w:rPr>
                <w:rFonts w:asciiTheme="minorEastAsia" w:eastAsiaTheme="minorEastAsia" w:hAnsiTheme="minorEastAsia"/>
                <w:color w:val="000000" w:themeColor="text1"/>
                <w:kern w:val="0"/>
              </w:rPr>
              <w:t>4.49%</w:t>
            </w:r>
          </w:p>
        </w:tc>
        <w:tc>
          <w:tcPr>
            <w:tcW w:w="1204" w:type="dxa"/>
            <w:vAlign w:val="center"/>
          </w:tcPr>
          <w:p w:rsidR="00E76EE7" w:rsidRDefault="00E22261">
            <w:pPr>
              <w:jc w:val="center"/>
            </w:pPr>
            <w:r>
              <w:rPr>
                <w:rFonts w:asciiTheme="minorEastAsia" w:eastAsiaTheme="minorEastAsia" w:hAnsiTheme="minorEastAsia"/>
                <w:color w:val="000000" w:themeColor="text1"/>
                <w:kern w:val="0"/>
              </w:rPr>
              <w:t>0.13%</w:t>
            </w:r>
          </w:p>
        </w:tc>
      </w:tr>
    </w:tbl>
    <w:p w:rsidR="00E76EE7" w:rsidRDefault="00E76EE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76EE7" w:rsidRDefault="00E2226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2"/>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E76EE7" w:rsidRDefault="00E22261">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上投摩根核心成长股票型证券投资基金</w:t>
      </w:r>
    </w:p>
    <w:p w:rsidR="00E76EE7" w:rsidRDefault="00E22261">
      <w:pPr>
        <w:pStyle w:val="a9"/>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E76EE7" w:rsidRDefault="00E22261">
      <w:pPr>
        <w:pStyle w:val="a9"/>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日</w:t>
      </w:r>
      <w:r>
        <w:rPr>
          <w:rFonts w:asciiTheme="minorEastAsia" w:eastAsiaTheme="minorEastAsia" w:hAnsiTheme="minorEastAsia" w:hint="eastAsia"/>
          <w:color w:val="000000" w:themeColor="text1"/>
        </w:rPr>
        <w:t>至</w:t>
      </w:r>
      <w:r>
        <w:rPr>
          <w:rFonts w:asciiTheme="minorEastAsia" w:eastAsiaTheme="minorEastAsia" w:hAnsiTheme="minorEastAsia" w:hint="eastAsia"/>
          <w:color w:val="000000" w:themeColor="text1"/>
        </w:rPr>
        <w:t>2019</w:t>
      </w:r>
      <w:r>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12</w:t>
      </w:r>
      <w:r>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31</w:t>
      </w:r>
      <w:r>
        <w:rPr>
          <w:rFonts w:asciiTheme="minorEastAsia" w:eastAsiaTheme="minorEastAsia" w:hAnsiTheme="minorEastAsia" w:hint="eastAsia"/>
          <w:color w:val="000000" w:themeColor="text1"/>
        </w:rPr>
        <w:t>日</w:t>
      </w:r>
      <w:r>
        <w:rPr>
          <w:rFonts w:asciiTheme="minorEastAsia" w:eastAsiaTheme="minorEastAsia" w:hAnsiTheme="minorEastAsia" w:hint="eastAsia"/>
          <w:color w:val="000000" w:themeColor="text1"/>
        </w:rPr>
        <w:t>)</w:t>
      </w:r>
    </w:p>
    <w:p w:rsidR="00E76EE7" w:rsidRDefault="00E22261">
      <w:pPr>
        <w:pStyle w:val="a9"/>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E76EE7" w:rsidRDefault="00E2226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日，图示时间段为</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31</w:t>
      </w:r>
      <w:r>
        <w:rPr>
          <w:rFonts w:asciiTheme="minorEastAsia" w:eastAsiaTheme="minorEastAsia" w:hAnsiTheme="minorEastAsia"/>
          <w:color w:val="000000" w:themeColor="text1"/>
        </w:rPr>
        <w:t>日。</w:t>
      </w:r>
    </w:p>
    <w:p w:rsidR="00E76EE7" w:rsidRDefault="00E2226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本基金建仓期自</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日，建仓期结束时资产配置比例符合本基金基金合同规定。</w:t>
      </w:r>
    </w:p>
    <w:p w:rsidR="00E76EE7" w:rsidRDefault="00E76EE7">
      <w:pPr>
        <w:tabs>
          <w:tab w:val="left" w:pos="1800"/>
        </w:tabs>
        <w:spacing w:line="360" w:lineRule="auto"/>
        <w:rPr>
          <w:rFonts w:asciiTheme="minorEastAsia" w:eastAsiaTheme="minorEastAsia" w:hAnsiTheme="minorEastAsia"/>
          <w:color w:val="000000" w:themeColor="text1"/>
          <w:sz w:val="24"/>
          <w:szCs w:val="24"/>
        </w:rPr>
      </w:pPr>
    </w:p>
    <w:p w:rsidR="00E76EE7" w:rsidRDefault="00E22261">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E76EE7" w:rsidRDefault="00E2226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或基金经理小组</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E76EE7">
        <w:trPr>
          <w:cantSplit/>
          <w:trHeight w:val="292"/>
        </w:trPr>
        <w:tc>
          <w:tcPr>
            <w:tcW w:w="851" w:type="dxa"/>
            <w:vMerge w:val="restart"/>
            <w:vAlign w:val="center"/>
          </w:tcPr>
          <w:p w:rsidR="00E76EE7" w:rsidRDefault="00E22261">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E76EE7" w:rsidRDefault="00E22261">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E76EE7" w:rsidRDefault="00E22261">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E76EE7" w:rsidRDefault="00E22261">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E76EE7" w:rsidRDefault="00E22261">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E76EE7">
        <w:trPr>
          <w:cantSplit/>
        </w:trPr>
        <w:tc>
          <w:tcPr>
            <w:tcW w:w="851" w:type="dxa"/>
            <w:vMerge/>
            <w:vAlign w:val="center"/>
          </w:tcPr>
          <w:p w:rsidR="00E76EE7" w:rsidRDefault="00E76EE7">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E76EE7" w:rsidRDefault="00E76EE7">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E76EE7" w:rsidRDefault="00E22261">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E76EE7" w:rsidRDefault="00E22261">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E76EE7" w:rsidRDefault="00E76EE7">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E76EE7" w:rsidRDefault="00E76EE7">
            <w:pPr>
              <w:widowControl/>
              <w:spacing w:line="360" w:lineRule="auto"/>
              <w:jc w:val="left"/>
              <w:rPr>
                <w:rFonts w:asciiTheme="minorEastAsia" w:eastAsiaTheme="minorEastAsia" w:hAnsiTheme="minorEastAsia"/>
                <w:color w:val="000000" w:themeColor="text1"/>
                <w:kern w:val="0"/>
              </w:rPr>
            </w:pPr>
          </w:p>
        </w:tc>
      </w:tr>
      <w:tr w:rsidR="00E76EE7">
        <w:tc>
          <w:tcPr>
            <w:tcW w:w="851" w:type="dxa"/>
            <w:vAlign w:val="center"/>
          </w:tcPr>
          <w:p w:rsidR="00E76EE7" w:rsidRDefault="00E22261">
            <w:pPr>
              <w:jc w:val="center"/>
            </w:pPr>
            <w:r>
              <w:rPr>
                <w:rFonts w:asciiTheme="minorEastAsia" w:eastAsiaTheme="minorEastAsia" w:hAnsiTheme="minorEastAsia"/>
                <w:color w:val="000000" w:themeColor="text1"/>
              </w:rPr>
              <w:t>李博</w:t>
            </w:r>
          </w:p>
        </w:tc>
        <w:tc>
          <w:tcPr>
            <w:tcW w:w="850" w:type="dxa"/>
            <w:vAlign w:val="center"/>
          </w:tcPr>
          <w:p w:rsidR="00E76EE7" w:rsidRDefault="00E22261">
            <w:pPr>
              <w:jc w:val="center"/>
            </w:pPr>
            <w:r>
              <w:rPr>
                <w:rFonts w:asciiTheme="minorEastAsia" w:eastAsiaTheme="minorEastAsia" w:hAnsiTheme="minorEastAsia"/>
                <w:color w:val="000000" w:themeColor="text1"/>
              </w:rPr>
              <w:t>本基金基金经理</w:t>
            </w:r>
          </w:p>
        </w:tc>
        <w:tc>
          <w:tcPr>
            <w:tcW w:w="1560" w:type="dxa"/>
            <w:vAlign w:val="center"/>
          </w:tcPr>
          <w:p w:rsidR="00E76EE7" w:rsidRDefault="00E22261">
            <w:pPr>
              <w:jc w:val="center"/>
            </w:pPr>
            <w:r>
              <w:rPr>
                <w:rFonts w:asciiTheme="minorEastAsia" w:eastAsiaTheme="minorEastAsia" w:hAnsiTheme="minorEastAsia"/>
                <w:color w:val="000000" w:themeColor="text1"/>
              </w:rPr>
              <w:t>2014-12-31</w:t>
            </w:r>
          </w:p>
        </w:tc>
        <w:tc>
          <w:tcPr>
            <w:tcW w:w="1559" w:type="dxa"/>
            <w:vAlign w:val="center"/>
          </w:tcPr>
          <w:p w:rsidR="00E76EE7" w:rsidRDefault="00E22261">
            <w:pPr>
              <w:jc w:val="center"/>
            </w:pPr>
            <w:r>
              <w:rPr>
                <w:rFonts w:asciiTheme="minorEastAsia" w:eastAsiaTheme="minorEastAsia" w:hAnsiTheme="minorEastAsia"/>
                <w:color w:val="000000" w:themeColor="text1"/>
              </w:rPr>
              <w:t>-</w:t>
            </w:r>
          </w:p>
        </w:tc>
        <w:tc>
          <w:tcPr>
            <w:tcW w:w="1417" w:type="dxa"/>
            <w:vAlign w:val="center"/>
          </w:tcPr>
          <w:p w:rsidR="00E76EE7" w:rsidRDefault="00E22261">
            <w:pPr>
              <w:jc w:val="center"/>
            </w:pP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年</w:t>
            </w:r>
          </w:p>
        </w:tc>
        <w:tc>
          <w:tcPr>
            <w:tcW w:w="2694" w:type="dxa"/>
            <w:vAlign w:val="center"/>
          </w:tcPr>
          <w:p w:rsidR="00E76EE7" w:rsidRDefault="00E22261">
            <w:r>
              <w:rPr>
                <w:rFonts w:asciiTheme="minorEastAsia" w:eastAsiaTheme="minorEastAsia" w:hAnsiTheme="minorEastAsia"/>
                <w:color w:val="000000" w:themeColor="text1"/>
              </w:rPr>
              <w:t>李博先生，上海交通大学硕士，自</w:t>
            </w:r>
            <w:r>
              <w:rPr>
                <w:rFonts w:asciiTheme="minorEastAsia" w:eastAsiaTheme="minorEastAsia" w:hAnsiTheme="minorEastAsia"/>
                <w:color w:val="000000" w:themeColor="text1"/>
              </w:rPr>
              <w:t>2009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月在中银国际证券有限公司担任研究员，负责研究方面的工作，自</w:t>
            </w:r>
            <w:r>
              <w:rPr>
                <w:rFonts w:asciiTheme="minorEastAsia" w:eastAsiaTheme="minorEastAsia" w:hAnsiTheme="minorEastAsia"/>
                <w:color w:val="000000" w:themeColor="text1"/>
              </w:rPr>
              <w:t>2010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月起加入上投摩根基金管理有限公司，先后担任行业专家、基金经理、资深基金经理，自</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月起担任上投摩根核心成长股票型证券投资基金基金经理，自</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月担任上投摩根科技前沿灵活配置混合型证券投资基金基金经理，自</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月起同时担任上投摩根阿尔法混合型证券投资基金基金经理，自</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月起同时担任上投摩根双息平衡混合型证券投资基金基金经理，自</w:t>
            </w:r>
            <w:r>
              <w:rPr>
                <w:rFonts w:asciiTheme="minorEastAsia" w:eastAsiaTheme="minorEastAsia" w:hAnsiTheme="minorEastAsia"/>
                <w:color w:val="000000" w:themeColor="text1"/>
              </w:rPr>
              <w:t>20</w:t>
            </w:r>
            <w:r>
              <w:rPr>
                <w:rFonts w:asciiTheme="minorEastAsia" w:eastAsiaTheme="minorEastAsia" w:hAnsiTheme="minorEastAsia"/>
                <w:color w:val="000000" w:themeColor="text1"/>
              </w:rPr>
              <w:t>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月起同时担任上投摩根核心精选股票型证券投资基金基金经理。</w:t>
            </w:r>
          </w:p>
        </w:tc>
      </w:tr>
    </w:tbl>
    <w:p w:rsidR="00E76EE7" w:rsidRDefault="00E2226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w:t>
      </w:r>
      <w:r>
        <w:rPr>
          <w:rFonts w:asciiTheme="minorEastAsia" w:eastAsiaTheme="minorEastAsia" w:hAnsiTheme="minorEastAsia"/>
          <w:color w:val="000000" w:themeColor="text1"/>
        </w:rPr>
        <w:t xml:space="preserve">1. </w:t>
      </w:r>
      <w:r>
        <w:rPr>
          <w:rFonts w:asciiTheme="minorEastAsia" w:eastAsiaTheme="minorEastAsia" w:hAnsiTheme="minorEastAsia"/>
          <w:color w:val="000000" w:themeColor="text1"/>
        </w:rPr>
        <w:t>任职日期和离任日期均指根据公司决定确定的聘任日期和解聘日期。</w:t>
      </w:r>
    </w:p>
    <w:p w:rsidR="00E76EE7" w:rsidRDefault="00E2226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2. </w:t>
      </w:r>
      <w:r>
        <w:rPr>
          <w:rFonts w:asciiTheme="minorEastAsia" w:eastAsiaTheme="minorEastAsia" w:hAnsiTheme="minorEastAsia"/>
          <w:color w:val="000000" w:themeColor="text1"/>
        </w:rPr>
        <w:t>证券从业的含义遵从行业协会《证券业从业人员资格管理办法》的相关规定。</w:t>
      </w:r>
    </w:p>
    <w:p w:rsidR="00E76EE7" w:rsidRDefault="00E76EE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76EE7" w:rsidRDefault="00E2226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E76EE7" w:rsidRDefault="00E2226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核心成长股票型证券投资基金基金合同》的规定。基金经理对个股和投资组合的比例遵循了投资决策委员会的授权限制，基金投资比例符合基金合同和法律法规的要求。</w:t>
      </w:r>
    </w:p>
    <w:p w:rsidR="00E76EE7" w:rsidRDefault="00E76EE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76EE7" w:rsidRDefault="00E2226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E76EE7" w:rsidRDefault="00E22261">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E76EE7" w:rsidRDefault="00E2226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w:t>
      </w:r>
      <w:r>
        <w:rPr>
          <w:rFonts w:asciiTheme="minorEastAsia" w:eastAsiaTheme="minorEastAsia" w:hAnsiTheme="minorEastAsia"/>
          <w:color w:val="000000" w:themeColor="text1"/>
        </w:rPr>
        <w:t>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E76EE7" w:rsidRDefault="00E2226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w:t>
      </w:r>
      <w:r>
        <w:rPr>
          <w:rFonts w:asciiTheme="minorEastAsia" w:eastAsiaTheme="minorEastAsia" w:hAnsiTheme="minorEastAsia"/>
          <w:color w:val="000000" w:themeColor="text1"/>
        </w:rPr>
        <w:t>立申报的价格和数量对交易结果进行公平分配。</w:t>
      </w:r>
    </w:p>
    <w:p w:rsidR="00E76EE7" w:rsidRDefault="00E2226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E76EE7" w:rsidRDefault="00E22261">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E76EE7" w:rsidRDefault="00E2226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E76EE7" w:rsidRDefault="00E2226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的情形：无。</w:t>
      </w:r>
    </w:p>
    <w:p w:rsidR="00E76EE7" w:rsidRDefault="00E76EE7">
      <w:pPr>
        <w:spacing w:line="360" w:lineRule="auto"/>
        <w:ind w:firstLineChars="200" w:firstLine="480"/>
        <w:rPr>
          <w:rFonts w:asciiTheme="minorEastAsia" w:eastAsiaTheme="minorEastAsia" w:hAnsiTheme="minorEastAsia"/>
          <w:color w:val="000000" w:themeColor="text1"/>
          <w:sz w:val="24"/>
          <w:szCs w:val="24"/>
        </w:rPr>
      </w:pPr>
    </w:p>
    <w:p w:rsidR="00E76EE7" w:rsidRDefault="00E2226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E76EE7" w:rsidRDefault="00E22261">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E76EE7" w:rsidRDefault="00E2226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四季度，市场出现较大幅度上涨，其中沪深</w:t>
      </w:r>
      <w:r>
        <w:rPr>
          <w:rFonts w:asciiTheme="minorEastAsia" w:eastAsiaTheme="minorEastAsia" w:hAnsiTheme="minorEastAsia"/>
          <w:color w:val="000000" w:themeColor="text1"/>
        </w:rPr>
        <w:t>300</w:t>
      </w:r>
      <w:r>
        <w:rPr>
          <w:rFonts w:asciiTheme="minorEastAsia" w:eastAsiaTheme="minorEastAsia" w:hAnsiTheme="minorEastAsia"/>
          <w:color w:val="000000" w:themeColor="text1"/>
        </w:rPr>
        <w:t>上涨</w:t>
      </w:r>
      <w:r>
        <w:rPr>
          <w:rFonts w:asciiTheme="minorEastAsia" w:eastAsiaTheme="minorEastAsia" w:hAnsiTheme="minorEastAsia"/>
          <w:color w:val="000000" w:themeColor="text1"/>
        </w:rPr>
        <w:t>7.4%</w:t>
      </w:r>
      <w:r>
        <w:rPr>
          <w:rFonts w:asciiTheme="minorEastAsia" w:eastAsiaTheme="minorEastAsia" w:hAnsiTheme="minorEastAsia"/>
          <w:color w:val="000000" w:themeColor="text1"/>
        </w:rPr>
        <w:t>，创业板上涨</w:t>
      </w:r>
      <w:r>
        <w:rPr>
          <w:rFonts w:asciiTheme="minorEastAsia" w:eastAsiaTheme="minorEastAsia" w:hAnsiTheme="minorEastAsia"/>
          <w:color w:val="000000" w:themeColor="text1"/>
        </w:rPr>
        <w:t>10.5%</w:t>
      </w:r>
      <w:r>
        <w:rPr>
          <w:rFonts w:asciiTheme="minorEastAsia" w:eastAsiaTheme="minorEastAsia" w:hAnsiTheme="minorEastAsia"/>
          <w:color w:val="000000" w:themeColor="text1"/>
        </w:rPr>
        <w:t>。板块方面，建材、家电和电子领涨，国防军工和商贸零售领跌。伴随着中美贸易摩擦缓解、国内利好政策刺激，国内经济复苏可期。本基金重点配置了估值和成长相匹配的个股，此外，四季度还减持了部分前期超额收益较多个股，增持了部分市场关注度不高的成长股。</w:t>
      </w:r>
    </w:p>
    <w:p w:rsidR="00E76EE7" w:rsidRDefault="00E2226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展望后市，我们判断市场机会将大于风险，</w:t>
      </w:r>
      <w:r>
        <w:rPr>
          <w:rFonts w:asciiTheme="minorEastAsia" w:eastAsiaTheme="minorEastAsia" w:hAnsiTheme="minorEastAsia"/>
          <w:color w:val="000000" w:themeColor="text1"/>
        </w:rPr>
        <w:t>A</w:t>
      </w:r>
      <w:r>
        <w:rPr>
          <w:rFonts w:asciiTheme="minorEastAsia" w:eastAsiaTheme="minorEastAsia" w:hAnsiTheme="minorEastAsia"/>
          <w:color w:val="000000" w:themeColor="text1"/>
        </w:rPr>
        <w:t>股有望呈现结构性的投资机会。我们将继续以精选个股作为首要方向。首先，重点关注成长股，尤其是近两年涨幅不大但业绩稳定增长的个</w:t>
      </w:r>
      <w:r>
        <w:rPr>
          <w:rFonts w:asciiTheme="minorEastAsia" w:eastAsiaTheme="minorEastAsia" w:hAnsiTheme="minorEastAsia"/>
          <w:color w:val="000000" w:themeColor="text1"/>
        </w:rPr>
        <w:t>股，这些个股伴随业绩兑现全年有望获得超额收益；其次，关注大消费领域，居民可支配收入仍处于稳步提升阶段，和居民消费相关的领域存在投资机会；最后，关注经济转型带来的投资机会。</w:t>
      </w:r>
    </w:p>
    <w:p w:rsidR="00E76EE7" w:rsidRDefault="00E22261">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E76EE7" w:rsidRDefault="00E2226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本报告期上投摩根核心成长股票份额净值增长率为</w:t>
      </w:r>
      <w:r>
        <w:rPr>
          <w:rFonts w:asciiTheme="minorEastAsia" w:eastAsiaTheme="minorEastAsia" w:hAnsiTheme="minorEastAsia"/>
          <w:color w:val="000000" w:themeColor="text1"/>
        </w:rPr>
        <w:t>:10.90%</w:t>
      </w:r>
      <w:r>
        <w:rPr>
          <w:rFonts w:asciiTheme="minorEastAsia" w:eastAsiaTheme="minorEastAsia" w:hAnsiTheme="minorEastAsia"/>
          <w:color w:val="000000" w:themeColor="text1"/>
        </w:rPr>
        <w:t>，同期业绩比较基准收益率为</w:t>
      </w:r>
      <w:r>
        <w:rPr>
          <w:rFonts w:asciiTheme="minorEastAsia" w:eastAsiaTheme="minorEastAsia" w:hAnsiTheme="minorEastAsia"/>
          <w:color w:val="000000" w:themeColor="text1"/>
        </w:rPr>
        <w:t>:6.41%</w:t>
      </w:r>
      <w:r>
        <w:rPr>
          <w:rFonts w:asciiTheme="minorEastAsia" w:eastAsiaTheme="minorEastAsia" w:hAnsiTheme="minorEastAsia"/>
          <w:color w:val="000000" w:themeColor="text1"/>
        </w:rPr>
        <w:t>。</w:t>
      </w:r>
    </w:p>
    <w:p w:rsidR="00E76EE7" w:rsidRDefault="00E76EE7">
      <w:pPr>
        <w:spacing w:line="360" w:lineRule="auto"/>
        <w:ind w:firstLineChars="200" w:firstLine="480"/>
        <w:rPr>
          <w:rFonts w:asciiTheme="minorEastAsia" w:eastAsiaTheme="minorEastAsia" w:hAnsiTheme="minorEastAsia"/>
          <w:color w:val="000000" w:themeColor="text1"/>
          <w:sz w:val="24"/>
          <w:szCs w:val="24"/>
        </w:rPr>
      </w:pPr>
    </w:p>
    <w:p w:rsidR="00E76EE7" w:rsidRDefault="00E22261">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w:t>
      </w:r>
      <w:r>
        <w:rPr>
          <w:rFonts w:asciiTheme="minorEastAsia" w:eastAsiaTheme="minorEastAsia" w:hAnsiTheme="minorEastAsia" w:hint="eastAsia"/>
          <w:b/>
          <w:color w:val="000000" w:themeColor="text1"/>
          <w:kern w:val="0"/>
          <w:sz w:val="24"/>
          <w:szCs w:val="24"/>
        </w:rPr>
        <w:t>报告期内基金持有人数或基金资产净值预警说明</w:t>
      </w:r>
    </w:p>
    <w:p w:rsidR="00E76EE7" w:rsidRDefault="00E2226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E76EE7" w:rsidRDefault="00E22261">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E76EE7" w:rsidRDefault="00E2226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8"/>
        <w:tblW w:w="8897" w:type="dxa"/>
        <w:jc w:val="center"/>
        <w:tblLayout w:type="fixed"/>
        <w:tblLook w:val="04A0" w:firstRow="1" w:lastRow="0" w:firstColumn="1" w:lastColumn="0" w:noHBand="0" w:noVBand="1"/>
      </w:tblPr>
      <w:tblGrid>
        <w:gridCol w:w="720"/>
        <w:gridCol w:w="3357"/>
        <w:gridCol w:w="2977"/>
        <w:gridCol w:w="1843"/>
      </w:tblGrid>
      <w:tr w:rsidR="00E76EE7">
        <w:trPr>
          <w:jc w:val="center"/>
        </w:trPr>
        <w:tc>
          <w:tcPr>
            <w:tcW w:w="720" w:type="dxa"/>
            <w:vAlign w:val="center"/>
          </w:tcPr>
          <w:p w:rsidR="00E76EE7" w:rsidRDefault="00E2226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E76EE7" w:rsidRDefault="00E2226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E76EE7" w:rsidRDefault="00E2226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w:t>
            </w:r>
            <w:r>
              <w:rPr>
                <w:rFonts w:asciiTheme="minorEastAsia" w:eastAsiaTheme="minorEastAsia" w:hAnsiTheme="minorEastAsia" w:hint="eastAsia"/>
                <w:color w:val="000000" w:themeColor="text1"/>
                <w:kern w:val="0"/>
              </w:rPr>
              <w:t>(</w:t>
            </w:r>
            <w:r>
              <w:rPr>
                <w:rFonts w:asciiTheme="minorEastAsia" w:eastAsiaTheme="minorEastAsia" w:hAnsiTheme="minorEastAsia" w:hint="eastAsia"/>
                <w:color w:val="000000" w:themeColor="text1"/>
                <w:kern w:val="0"/>
              </w:rPr>
              <w:t>元</w:t>
            </w:r>
            <w:r>
              <w:rPr>
                <w:rFonts w:asciiTheme="minorEastAsia" w:eastAsiaTheme="minorEastAsia" w:hAnsiTheme="minorEastAsia" w:hint="eastAsia"/>
                <w:color w:val="000000" w:themeColor="text1"/>
                <w:kern w:val="0"/>
              </w:rPr>
              <w:t>)</w:t>
            </w:r>
          </w:p>
        </w:tc>
        <w:tc>
          <w:tcPr>
            <w:tcW w:w="1843" w:type="dxa"/>
            <w:vAlign w:val="center"/>
          </w:tcPr>
          <w:p w:rsidR="00E76EE7" w:rsidRDefault="00E2226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hint="eastAsia"/>
                <w:color w:val="000000" w:themeColor="text1"/>
                <w:kern w:val="0"/>
              </w:rPr>
              <w:t>(</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E76EE7">
        <w:trPr>
          <w:jc w:val="center"/>
        </w:trPr>
        <w:tc>
          <w:tcPr>
            <w:tcW w:w="720" w:type="dxa"/>
            <w:vAlign w:val="center"/>
          </w:tcPr>
          <w:p w:rsidR="00E76EE7" w:rsidRDefault="00E2226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E76EE7" w:rsidRDefault="00E22261">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E76EE7" w:rsidRDefault="00E2226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2,784,040,070.18</w:t>
            </w:r>
          </w:p>
        </w:tc>
        <w:tc>
          <w:tcPr>
            <w:tcW w:w="1843" w:type="dxa"/>
            <w:vAlign w:val="center"/>
          </w:tcPr>
          <w:p w:rsidR="00E76EE7" w:rsidRDefault="00E2226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80.71</w:t>
            </w:r>
          </w:p>
        </w:tc>
      </w:tr>
      <w:tr w:rsidR="00E76EE7">
        <w:trPr>
          <w:jc w:val="center"/>
        </w:trPr>
        <w:tc>
          <w:tcPr>
            <w:tcW w:w="720" w:type="dxa"/>
            <w:vAlign w:val="center"/>
          </w:tcPr>
          <w:p w:rsidR="00E76EE7" w:rsidRDefault="00E76EE7">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E76EE7" w:rsidRDefault="00E22261">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E76EE7" w:rsidRDefault="00E2226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2,784,040,070.18</w:t>
            </w:r>
          </w:p>
        </w:tc>
        <w:tc>
          <w:tcPr>
            <w:tcW w:w="1843" w:type="dxa"/>
            <w:vAlign w:val="center"/>
          </w:tcPr>
          <w:p w:rsidR="00E76EE7" w:rsidRDefault="00E2226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80.71</w:t>
            </w:r>
          </w:p>
        </w:tc>
      </w:tr>
      <w:tr w:rsidR="00E76EE7">
        <w:trPr>
          <w:jc w:val="center"/>
        </w:trPr>
        <w:tc>
          <w:tcPr>
            <w:tcW w:w="720" w:type="dxa"/>
            <w:vAlign w:val="center"/>
          </w:tcPr>
          <w:p w:rsidR="00E76EE7" w:rsidRDefault="00E2226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E76EE7" w:rsidRDefault="00E22261">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E76EE7" w:rsidRDefault="00E2226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E76EE7" w:rsidRDefault="00E2226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E76EE7">
        <w:trPr>
          <w:jc w:val="center"/>
        </w:trPr>
        <w:tc>
          <w:tcPr>
            <w:tcW w:w="720" w:type="dxa"/>
            <w:vAlign w:val="center"/>
          </w:tcPr>
          <w:p w:rsidR="00E76EE7" w:rsidRDefault="00E76EE7">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E76EE7" w:rsidRDefault="00E22261">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E76EE7" w:rsidRDefault="00E2226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E76EE7" w:rsidRDefault="00E2226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E76EE7">
        <w:trPr>
          <w:jc w:val="center"/>
        </w:trPr>
        <w:tc>
          <w:tcPr>
            <w:tcW w:w="720" w:type="dxa"/>
            <w:vAlign w:val="center"/>
          </w:tcPr>
          <w:p w:rsidR="00E76EE7" w:rsidRDefault="00E76EE7">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E76EE7" w:rsidRDefault="00E22261">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E76EE7" w:rsidRDefault="00E2226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E76EE7" w:rsidRDefault="00E2226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E76EE7">
        <w:trPr>
          <w:jc w:val="center"/>
        </w:trPr>
        <w:tc>
          <w:tcPr>
            <w:tcW w:w="720" w:type="dxa"/>
          </w:tcPr>
          <w:p w:rsidR="00E76EE7" w:rsidRDefault="00E22261">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E76EE7" w:rsidRDefault="00E22261">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E76EE7" w:rsidRDefault="00E2226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E76EE7" w:rsidRDefault="00E2226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E76EE7">
        <w:trPr>
          <w:jc w:val="center"/>
        </w:trPr>
        <w:tc>
          <w:tcPr>
            <w:tcW w:w="720" w:type="dxa"/>
            <w:vAlign w:val="center"/>
          </w:tcPr>
          <w:p w:rsidR="00E76EE7" w:rsidRDefault="00E22261">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E76EE7" w:rsidRDefault="00E22261">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E76EE7" w:rsidRDefault="00E2226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E76EE7" w:rsidRDefault="00E2226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E76EE7">
        <w:trPr>
          <w:jc w:val="center"/>
        </w:trPr>
        <w:tc>
          <w:tcPr>
            <w:tcW w:w="720" w:type="dxa"/>
            <w:vAlign w:val="center"/>
          </w:tcPr>
          <w:p w:rsidR="00E76EE7" w:rsidRDefault="00E2226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E76EE7" w:rsidRDefault="00E22261">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E76EE7" w:rsidRDefault="00E2226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E76EE7" w:rsidRDefault="00E2226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E76EE7">
        <w:trPr>
          <w:jc w:val="center"/>
        </w:trPr>
        <w:tc>
          <w:tcPr>
            <w:tcW w:w="720" w:type="dxa"/>
            <w:vAlign w:val="center"/>
          </w:tcPr>
          <w:p w:rsidR="00E76EE7" w:rsidRDefault="00E76EE7">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E76EE7" w:rsidRDefault="00E22261">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E76EE7" w:rsidRDefault="00E2226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E76EE7" w:rsidRDefault="00E2226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E76EE7">
        <w:trPr>
          <w:jc w:val="center"/>
        </w:trPr>
        <w:tc>
          <w:tcPr>
            <w:tcW w:w="720" w:type="dxa"/>
            <w:vAlign w:val="center"/>
          </w:tcPr>
          <w:p w:rsidR="00E76EE7" w:rsidRDefault="00E2226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E76EE7" w:rsidRDefault="00E22261">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E76EE7" w:rsidRDefault="00E2226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621,695,444.54</w:t>
            </w:r>
          </w:p>
        </w:tc>
        <w:tc>
          <w:tcPr>
            <w:tcW w:w="1843" w:type="dxa"/>
            <w:vAlign w:val="center"/>
          </w:tcPr>
          <w:p w:rsidR="00E76EE7" w:rsidRDefault="00E2226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18.02</w:t>
            </w:r>
          </w:p>
        </w:tc>
      </w:tr>
      <w:tr w:rsidR="00E76EE7">
        <w:trPr>
          <w:jc w:val="center"/>
        </w:trPr>
        <w:tc>
          <w:tcPr>
            <w:tcW w:w="720" w:type="dxa"/>
            <w:vAlign w:val="center"/>
          </w:tcPr>
          <w:p w:rsidR="00E76EE7" w:rsidRDefault="00E2226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E76EE7" w:rsidRDefault="00E22261">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43,758,570.94</w:t>
            </w:r>
          </w:p>
        </w:tc>
        <w:tc>
          <w:tcPr>
            <w:tcW w:w="1843" w:type="dxa"/>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1.27</w:t>
            </w:r>
          </w:p>
        </w:tc>
      </w:tr>
      <w:tr w:rsidR="00E76EE7">
        <w:trPr>
          <w:jc w:val="center"/>
        </w:trPr>
        <w:tc>
          <w:tcPr>
            <w:tcW w:w="720" w:type="dxa"/>
            <w:vAlign w:val="center"/>
          </w:tcPr>
          <w:p w:rsidR="00E76EE7" w:rsidRDefault="00E2226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E76EE7" w:rsidRDefault="00E22261">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3,449,494,085.66</w:t>
            </w:r>
          </w:p>
        </w:tc>
        <w:tc>
          <w:tcPr>
            <w:tcW w:w="1843" w:type="dxa"/>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E76EE7" w:rsidRDefault="00E76EE7">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E76EE7" w:rsidRDefault="00E2226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E76EE7" w:rsidRDefault="00E22261">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E76EE7">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E76EE7" w:rsidRDefault="00E2226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76EE7" w:rsidRDefault="00E2226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E76EE7" w:rsidRDefault="00E2226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E76EE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76EE7" w:rsidRDefault="00E2226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E76EE7" w:rsidRDefault="00E22261">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68,883,548.37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2.03</w:t>
            </w:r>
          </w:p>
        </w:tc>
      </w:tr>
      <w:tr w:rsidR="00E76EE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76EE7" w:rsidRDefault="00E2226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41,547,067.00</w:t>
            </w:r>
          </w:p>
          <w:p w:rsidR="00E76EE7" w:rsidRDefault="00E76EE7">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1.23</w:t>
            </w:r>
          </w:p>
          <w:p w:rsidR="00E76EE7" w:rsidRDefault="00E76EE7">
            <w:pPr>
              <w:jc w:val="right"/>
              <w:rPr>
                <w:rFonts w:asciiTheme="minorEastAsia" w:eastAsiaTheme="minorEastAsia" w:hAnsiTheme="minorEastAsia" w:cs="宋体"/>
                <w:color w:val="000000" w:themeColor="text1"/>
                <w:kern w:val="0"/>
              </w:rPr>
            </w:pPr>
          </w:p>
        </w:tc>
      </w:tr>
      <w:tr w:rsidR="00E76EE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76EE7" w:rsidRDefault="00E2226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1,232,139,757.34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36.36</w:t>
            </w:r>
          </w:p>
        </w:tc>
      </w:tr>
      <w:tr w:rsidR="00E76EE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76EE7" w:rsidRDefault="00E2226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1,987,486.54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0.06</w:t>
            </w:r>
          </w:p>
        </w:tc>
      </w:tr>
      <w:tr w:rsidR="00E76EE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76EE7" w:rsidRDefault="00E2226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82,345,108.06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2.43</w:t>
            </w:r>
          </w:p>
        </w:tc>
      </w:tr>
      <w:tr w:rsidR="00E76EE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76EE7" w:rsidRDefault="00E2226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9,875,476.80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0.29</w:t>
            </w:r>
          </w:p>
        </w:tc>
      </w:tr>
      <w:tr w:rsidR="00E76EE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76EE7" w:rsidRDefault="00E2226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69,470,921.00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2.05</w:t>
            </w:r>
          </w:p>
        </w:tc>
      </w:tr>
      <w:tr w:rsidR="00E76EE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76EE7" w:rsidRDefault="00E2226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76EE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76EE7" w:rsidRDefault="00E2226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142,742,175.53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4.21</w:t>
            </w:r>
          </w:p>
        </w:tc>
      </w:tr>
      <w:tr w:rsidR="00E76EE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76EE7" w:rsidRDefault="00E2226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800,242,196.18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23.61</w:t>
            </w:r>
          </w:p>
        </w:tc>
      </w:tr>
      <w:tr w:rsidR="00E76EE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76EE7" w:rsidRDefault="00E2226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252,656,725.48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7.46</w:t>
            </w:r>
          </w:p>
        </w:tc>
      </w:tr>
      <w:tr w:rsidR="00E76EE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76EE7" w:rsidRDefault="00E2226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76EE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76EE7" w:rsidRDefault="00E2226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76EE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76EE7" w:rsidRDefault="00E2226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6,578.04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tc>
      </w:tr>
      <w:tr w:rsidR="00E76EE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76EE7" w:rsidRDefault="00E2226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76EE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76EE7" w:rsidRDefault="00E2226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76EE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76EE7" w:rsidRDefault="00E2226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76EE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76EE7" w:rsidRDefault="00E2226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82,143,029.84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2.42</w:t>
            </w:r>
          </w:p>
        </w:tc>
      </w:tr>
      <w:tr w:rsidR="00E76EE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76EE7" w:rsidRDefault="00E2226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E76EE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76EE7">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76EE7" w:rsidRDefault="00E2226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2,784,040,070.18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6EE7" w:rsidRDefault="00E2226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82.15</w:t>
            </w:r>
          </w:p>
        </w:tc>
      </w:tr>
    </w:tbl>
    <w:p w:rsidR="00E76EE7" w:rsidRDefault="00E2226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8"/>
        <w:tblW w:w="8528" w:type="dxa"/>
        <w:tblLayout w:type="fixed"/>
        <w:tblLook w:val="04A0" w:firstRow="1" w:lastRow="0" w:firstColumn="1" w:lastColumn="0" w:noHBand="0" w:noVBand="1"/>
      </w:tblPr>
      <w:tblGrid>
        <w:gridCol w:w="817"/>
        <w:gridCol w:w="1276"/>
        <w:gridCol w:w="1701"/>
        <w:gridCol w:w="1276"/>
        <w:gridCol w:w="1842"/>
        <w:gridCol w:w="1616"/>
      </w:tblGrid>
      <w:tr w:rsidR="00E76EE7">
        <w:tc>
          <w:tcPr>
            <w:tcW w:w="817" w:type="dxa"/>
            <w:vAlign w:val="center"/>
          </w:tcPr>
          <w:p w:rsidR="00E76EE7" w:rsidRDefault="00E22261">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E76EE7" w:rsidRDefault="00E22261">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E76EE7" w:rsidRDefault="00E22261">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E76EE7" w:rsidRDefault="00E22261">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股</w:t>
            </w:r>
            <w:r>
              <w:rPr>
                <w:rFonts w:asciiTheme="minorEastAsia" w:eastAsiaTheme="minorEastAsia" w:hAnsiTheme="minorEastAsia" w:cs="宋体" w:hint="eastAsia"/>
                <w:color w:val="000000" w:themeColor="text1"/>
                <w:kern w:val="0"/>
              </w:rPr>
              <w:t>)</w:t>
            </w:r>
          </w:p>
        </w:tc>
        <w:tc>
          <w:tcPr>
            <w:tcW w:w="1842" w:type="dxa"/>
            <w:vAlign w:val="center"/>
          </w:tcPr>
          <w:p w:rsidR="00E76EE7" w:rsidRDefault="00E22261">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E76EE7" w:rsidRDefault="00E22261">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E76EE7">
        <w:tc>
          <w:tcPr>
            <w:tcW w:w="817" w:type="dxa"/>
            <w:vAlign w:val="center"/>
          </w:tcPr>
          <w:p w:rsidR="00E76EE7" w:rsidRDefault="00E22261">
            <w:pPr>
              <w:jc w:val="center"/>
            </w:pPr>
            <w:r>
              <w:rPr>
                <w:rFonts w:asciiTheme="minorEastAsia" w:eastAsiaTheme="minorEastAsia" w:hAnsiTheme="minorEastAsia" w:cs="宋体"/>
                <w:color w:val="000000" w:themeColor="text1"/>
                <w:kern w:val="0"/>
              </w:rPr>
              <w:t>1</w:t>
            </w:r>
          </w:p>
        </w:tc>
        <w:tc>
          <w:tcPr>
            <w:tcW w:w="1276" w:type="dxa"/>
            <w:vAlign w:val="center"/>
          </w:tcPr>
          <w:p w:rsidR="00E76EE7" w:rsidRDefault="00E22261">
            <w:pPr>
              <w:jc w:val="center"/>
            </w:pPr>
            <w:r>
              <w:rPr>
                <w:rFonts w:asciiTheme="minorEastAsia" w:eastAsiaTheme="minorEastAsia" w:hAnsiTheme="minorEastAsia" w:cs="宋体"/>
                <w:color w:val="000000" w:themeColor="text1"/>
                <w:kern w:val="0"/>
              </w:rPr>
              <w:t>002236</w:t>
            </w:r>
          </w:p>
        </w:tc>
        <w:tc>
          <w:tcPr>
            <w:tcW w:w="1701" w:type="dxa"/>
            <w:vAlign w:val="center"/>
          </w:tcPr>
          <w:p w:rsidR="00E76EE7" w:rsidRDefault="00E22261">
            <w:pPr>
              <w:jc w:val="center"/>
            </w:pPr>
            <w:r>
              <w:rPr>
                <w:rFonts w:asciiTheme="minorEastAsia" w:eastAsiaTheme="minorEastAsia" w:hAnsiTheme="minorEastAsia" w:cs="宋体"/>
                <w:color w:val="000000" w:themeColor="text1"/>
                <w:kern w:val="0"/>
              </w:rPr>
              <w:t>大华股份</w:t>
            </w:r>
          </w:p>
        </w:tc>
        <w:tc>
          <w:tcPr>
            <w:tcW w:w="1276" w:type="dxa"/>
            <w:vAlign w:val="center"/>
          </w:tcPr>
          <w:p w:rsidR="00E76EE7" w:rsidRDefault="00E22261">
            <w:pPr>
              <w:jc w:val="right"/>
            </w:pPr>
            <w:r>
              <w:rPr>
                <w:rFonts w:asciiTheme="minorEastAsia" w:eastAsiaTheme="minorEastAsia" w:hAnsiTheme="minorEastAsia" w:cs="宋体"/>
                <w:color w:val="000000" w:themeColor="text1"/>
                <w:kern w:val="0"/>
              </w:rPr>
              <w:t>16,308,633</w:t>
            </w:r>
          </w:p>
        </w:tc>
        <w:tc>
          <w:tcPr>
            <w:tcW w:w="1842" w:type="dxa"/>
            <w:vAlign w:val="center"/>
          </w:tcPr>
          <w:p w:rsidR="00E76EE7" w:rsidRDefault="00E22261">
            <w:pPr>
              <w:jc w:val="right"/>
            </w:pPr>
            <w:r>
              <w:rPr>
                <w:rFonts w:asciiTheme="minorEastAsia" w:eastAsiaTheme="minorEastAsia" w:hAnsiTheme="minorEastAsia" w:cs="宋体"/>
                <w:color w:val="000000" w:themeColor="text1"/>
                <w:kern w:val="0"/>
              </w:rPr>
              <w:t>324,215,624.04</w:t>
            </w:r>
          </w:p>
        </w:tc>
        <w:tc>
          <w:tcPr>
            <w:tcW w:w="1616" w:type="dxa"/>
            <w:vAlign w:val="center"/>
          </w:tcPr>
          <w:p w:rsidR="00E76EE7" w:rsidRDefault="00E22261">
            <w:pPr>
              <w:jc w:val="right"/>
            </w:pPr>
            <w:r>
              <w:rPr>
                <w:rFonts w:asciiTheme="minorEastAsia" w:eastAsiaTheme="minorEastAsia" w:hAnsiTheme="minorEastAsia" w:cs="宋体"/>
                <w:color w:val="000000" w:themeColor="text1"/>
                <w:kern w:val="0"/>
              </w:rPr>
              <w:t>9.57</w:t>
            </w:r>
          </w:p>
        </w:tc>
      </w:tr>
      <w:tr w:rsidR="00E76EE7">
        <w:tc>
          <w:tcPr>
            <w:tcW w:w="817" w:type="dxa"/>
            <w:vAlign w:val="center"/>
          </w:tcPr>
          <w:p w:rsidR="00E76EE7" w:rsidRDefault="00E22261">
            <w:pPr>
              <w:jc w:val="center"/>
            </w:pPr>
            <w:r>
              <w:rPr>
                <w:rFonts w:asciiTheme="minorEastAsia" w:eastAsiaTheme="minorEastAsia" w:hAnsiTheme="minorEastAsia" w:cs="宋体"/>
                <w:color w:val="000000" w:themeColor="text1"/>
                <w:kern w:val="0"/>
              </w:rPr>
              <w:t>2</w:t>
            </w:r>
          </w:p>
        </w:tc>
        <w:tc>
          <w:tcPr>
            <w:tcW w:w="1276" w:type="dxa"/>
            <w:vAlign w:val="center"/>
          </w:tcPr>
          <w:p w:rsidR="00E76EE7" w:rsidRDefault="00E22261">
            <w:pPr>
              <w:jc w:val="center"/>
            </w:pPr>
            <w:r>
              <w:rPr>
                <w:rFonts w:asciiTheme="minorEastAsia" w:eastAsiaTheme="minorEastAsia" w:hAnsiTheme="minorEastAsia" w:cs="宋体"/>
                <w:color w:val="000000" w:themeColor="text1"/>
                <w:kern w:val="0"/>
              </w:rPr>
              <w:t>300014</w:t>
            </w:r>
          </w:p>
        </w:tc>
        <w:tc>
          <w:tcPr>
            <w:tcW w:w="1701" w:type="dxa"/>
            <w:vAlign w:val="center"/>
          </w:tcPr>
          <w:p w:rsidR="00E76EE7" w:rsidRDefault="00E22261">
            <w:pPr>
              <w:jc w:val="center"/>
            </w:pPr>
            <w:r>
              <w:rPr>
                <w:rFonts w:asciiTheme="minorEastAsia" w:eastAsiaTheme="minorEastAsia" w:hAnsiTheme="minorEastAsia" w:cs="宋体"/>
                <w:color w:val="000000" w:themeColor="text1"/>
                <w:kern w:val="0"/>
              </w:rPr>
              <w:t>亿纬锂能</w:t>
            </w:r>
          </w:p>
        </w:tc>
        <w:tc>
          <w:tcPr>
            <w:tcW w:w="1276" w:type="dxa"/>
            <w:vAlign w:val="center"/>
          </w:tcPr>
          <w:p w:rsidR="00E76EE7" w:rsidRDefault="00E22261">
            <w:pPr>
              <w:jc w:val="right"/>
            </w:pPr>
            <w:r>
              <w:rPr>
                <w:rFonts w:asciiTheme="minorEastAsia" w:eastAsiaTheme="minorEastAsia" w:hAnsiTheme="minorEastAsia" w:cs="宋体"/>
                <w:color w:val="000000" w:themeColor="text1"/>
                <w:kern w:val="0"/>
              </w:rPr>
              <w:t>2,945,585</w:t>
            </w:r>
          </w:p>
        </w:tc>
        <w:tc>
          <w:tcPr>
            <w:tcW w:w="1842" w:type="dxa"/>
            <w:vAlign w:val="center"/>
          </w:tcPr>
          <w:p w:rsidR="00E76EE7" w:rsidRDefault="00E22261">
            <w:pPr>
              <w:jc w:val="right"/>
            </w:pPr>
            <w:r>
              <w:rPr>
                <w:rFonts w:asciiTheme="minorEastAsia" w:eastAsiaTheme="minorEastAsia" w:hAnsiTheme="minorEastAsia" w:cs="宋体"/>
                <w:color w:val="000000" w:themeColor="text1"/>
                <w:kern w:val="0"/>
              </w:rPr>
              <w:t>147,750,543.60</w:t>
            </w:r>
          </w:p>
        </w:tc>
        <w:tc>
          <w:tcPr>
            <w:tcW w:w="1616" w:type="dxa"/>
            <w:vAlign w:val="center"/>
          </w:tcPr>
          <w:p w:rsidR="00E76EE7" w:rsidRDefault="00E22261">
            <w:pPr>
              <w:jc w:val="right"/>
            </w:pPr>
            <w:r>
              <w:rPr>
                <w:rFonts w:asciiTheme="minorEastAsia" w:eastAsiaTheme="minorEastAsia" w:hAnsiTheme="minorEastAsia" w:cs="宋体"/>
                <w:color w:val="000000" w:themeColor="text1"/>
                <w:kern w:val="0"/>
              </w:rPr>
              <w:t>4.36</w:t>
            </w:r>
          </w:p>
        </w:tc>
      </w:tr>
      <w:tr w:rsidR="00E76EE7">
        <w:tc>
          <w:tcPr>
            <w:tcW w:w="817" w:type="dxa"/>
            <w:vAlign w:val="center"/>
          </w:tcPr>
          <w:p w:rsidR="00E76EE7" w:rsidRDefault="00E22261">
            <w:pPr>
              <w:jc w:val="center"/>
            </w:pPr>
            <w:r>
              <w:rPr>
                <w:rFonts w:asciiTheme="minorEastAsia" w:eastAsiaTheme="minorEastAsia" w:hAnsiTheme="minorEastAsia" w:cs="宋体"/>
                <w:color w:val="000000" w:themeColor="text1"/>
                <w:kern w:val="0"/>
              </w:rPr>
              <w:t>3</w:t>
            </w:r>
          </w:p>
        </w:tc>
        <w:tc>
          <w:tcPr>
            <w:tcW w:w="1276" w:type="dxa"/>
            <w:vAlign w:val="center"/>
          </w:tcPr>
          <w:p w:rsidR="00E76EE7" w:rsidRDefault="00E22261">
            <w:pPr>
              <w:jc w:val="center"/>
            </w:pPr>
            <w:r>
              <w:rPr>
                <w:rFonts w:asciiTheme="minorEastAsia" w:eastAsiaTheme="minorEastAsia" w:hAnsiTheme="minorEastAsia" w:cs="宋体"/>
                <w:color w:val="000000" w:themeColor="text1"/>
                <w:kern w:val="0"/>
              </w:rPr>
              <w:t>600030</w:t>
            </w:r>
          </w:p>
        </w:tc>
        <w:tc>
          <w:tcPr>
            <w:tcW w:w="1701" w:type="dxa"/>
            <w:vAlign w:val="center"/>
          </w:tcPr>
          <w:p w:rsidR="00E76EE7" w:rsidRDefault="00E22261">
            <w:pPr>
              <w:jc w:val="center"/>
            </w:pPr>
            <w:r>
              <w:rPr>
                <w:rFonts w:asciiTheme="minorEastAsia" w:eastAsiaTheme="minorEastAsia" w:hAnsiTheme="minorEastAsia" w:cs="宋体"/>
                <w:color w:val="000000" w:themeColor="text1"/>
                <w:kern w:val="0"/>
              </w:rPr>
              <w:t>中信证券</w:t>
            </w:r>
          </w:p>
        </w:tc>
        <w:tc>
          <w:tcPr>
            <w:tcW w:w="1276" w:type="dxa"/>
            <w:vAlign w:val="center"/>
          </w:tcPr>
          <w:p w:rsidR="00E76EE7" w:rsidRDefault="00E22261">
            <w:pPr>
              <w:jc w:val="right"/>
            </w:pPr>
            <w:r>
              <w:rPr>
                <w:rFonts w:asciiTheme="minorEastAsia" w:eastAsiaTheme="minorEastAsia" w:hAnsiTheme="minorEastAsia" w:cs="宋体"/>
                <w:color w:val="000000" w:themeColor="text1"/>
                <w:kern w:val="0"/>
              </w:rPr>
              <w:t>5,010,424</w:t>
            </w:r>
          </w:p>
        </w:tc>
        <w:tc>
          <w:tcPr>
            <w:tcW w:w="1842" w:type="dxa"/>
            <w:vAlign w:val="center"/>
          </w:tcPr>
          <w:p w:rsidR="00E76EE7" w:rsidRDefault="00E22261">
            <w:pPr>
              <w:jc w:val="right"/>
            </w:pPr>
            <w:r>
              <w:rPr>
                <w:rFonts w:asciiTheme="minorEastAsia" w:eastAsiaTheme="minorEastAsia" w:hAnsiTheme="minorEastAsia" w:cs="宋体"/>
                <w:color w:val="000000" w:themeColor="text1"/>
                <w:kern w:val="0"/>
              </w:rPr>
              <w:t>126,763,727.20</w:t>
            </w:r>
          </w:p>
        </w:tc>
        <w:tc>
          <w:tcPr>
            <w:tcW w:w="1616" w:type="dxa"/>
            <w:vAlign w:val="center"/>
          </w:tcPr>
          <w:p w:rsidR="00E76EE7" w:rsidRDefault="00E22261">
            <w:pPr>
              <w:jc w:val="right"/>
            </w:pPr>
            <w:r>
              <w:rPr>
                <w:rFonts w:asciiTheme="minorEastAsia" w:eastAsiaTheme="minorEastAsia" w:hAnsiTheme="minorEastAsia" w:cs="宋体"/>
                <w:color w:val="000000" w:themeColor="text1"/>
                <w:kern w:val="0"/>
              </w:rPr>
              <w:t>3.74</w:t>
            </w:r>
          </w:p>
        </w:tc>
      </w:tr>
      <w:tr w:rsidR="00E76EE7">
        <w:tc>
          <w:tcPr>
            <w:tcW w:w="817" w:type="dxa"/>
            <w:vAlign w:val="center"/>
          </w:tcPr>
          <w:p w:rsidR="00E76EE7" w:rsidRDefault="00E22261">
            <w:pPr>
              <w:jc w:val="center"/>
            </w:pPr>
            <w:r>
              <w:rPr>
                <w:rFonts w:asciiTheme="minorEastAsia" w:eastAsiaTheme="minorEastAsia" w:hAnsiTheme="minorEastAsia" w:cs="宋体"/>
                <w:color w:val="000000" w:themeColor="text1"/>
                <w:kern w:val="0"/>
              </w:rPr>
              <w:t>4</w:t>
            </w:r>
          </w:p>
        </w:tc>
        <w:tc>
          <w:tcPr>
            <w:tcW w:w="1276" w:type="dxa"/>
            <w:vAlign w:val="center"/>
          </w:tcPr>
          <w:p w:rsidR="00E76EE7" w:rsidRDefault="00E22261">
            <w:pPr>
              <w:jc w:val="center"/>
            </w:pPr>
            <w:r>
              <w:rPr>
                <w:rFonts w:asciiTheme="minorEastAsia" w:eastAsiaTheme="minorEastAsia" w:hAnsiTheme="minorEastAsia" w:cs="宋体"/>
                <w:color w:val="000000" w:themeColor="text1"/>
                <w:kern w:val="0"/>
              </w:rPr>
              <w:t>601318</w:t>
            </w:r>
          </w:p>
        </w:tc>
        <w:tc>
          <w:tcPr>
            <w:tcW w:w="1701" w:type="dxa"/>
            <w:vAlign w:val="center"/>
          </w:tcPr>
          <w:p w:rsidR="00E76EE7" w:rsidRDefault="00E22261">
            <w:pPr>
              <w:jc w:val="center"/>
            </w:pPr>
            <w:r>
              <w:rPr>
                <w:rFonts w:asciiTheme="minorEastAsia" w:eastAsiaTheme="minorEastAsia" w:hAnsiTheme="minorEastAsia" w:cs="宋体"/>
                <w:color w:val="000000" w:themeColor="text1"/>
                <w:kern w:val="0"/>
              </w:rPr>
              <w:t>中国平安</w:t>
            </w:r>
          </w:p>
        </w:tc>
        <w:tc>
          <w:tcPr>
            <w:tcW w:w="1276" w:type="dxa"/>
            <w:vAlign w:val="center"/>
          </w:tcPr>
          <w:p w:rsidR="00E76EE7" w:rsidRDefault="00E22261">
            <w:pPr>
              <w:jc w:val="right"/>
            </w:pPr>
            <w:r>
              <w:rPr>
                <w:rFonts w:asciiTheme="minorEastAsia" w:eastAsiaTheme="minorEastAsia" w:hAnsiTheme="minorEastAsia" w:cs="宋体"/>
                <w:color w:val="000000" w:themeColor="text1"/>
                <w:kern w:val="0"/>
              </w:rPr>
              <w:t>1,321,188</w:t>
            </w:r>
          </w:p>
        </w:tc>
        <w:tc>
          <w:tcPr>
            <w:tcW w:w="1842" w:type="dxa"/>
            <w:vAlign w:val="center"/>
          </w:tcPr>
          <w:p w:rsidR="00E76EE7" w:rsidRDefault="00E22261">
            <w:pPr>
              <w:jc w:val="right"/>
            </w:pPr>
            <w:r>
              <w:rPr>
                <w:rFonts w:asciiTheme="minorEastAsia" w:eastAsiaTheme="minorEastAsia" w:hAnsiTheme="minorEastAsia" w:cs="宋体"/>
                <w:color w:val="000000" w:themeColor="text1"/>
                <w:kern w:val="0"/>
              </w:rPr>
              <w:t>112,908,726.48</w:t>
            </w:r>
          </w:p>
        </w:tc>
        <w:tc>
          <w:tcPr>
            <w:tcW w:w="1616" w:type="dxa"/>
            <w:vAlign w:val="center"/>
          </w:tcPr>
          <w:p w:rsidR="00E76EE7" w:rsidRDefault="00E22261">
            <w:pPr>
              <w:jc w:val="right"/>
            </w:pPr>
            <w:r>
              <w:rPr>
                <w:rFonts w:asciiTheme="minorEastAsia" w:eastAsiaTheme="minorEastAsia" w:hAnsiTheme="minorEastAsia" w:cs="宋体"/>
                <w:color w:val="000000" w:themeColor="text1"/>
                <w:kern w:val="0"/>
              </w:rPr>
              <w:t>3.33</w:t>
            </w:r>
          </w:p>
        </w:tc>
      </w:tr>
      <w:tr w:rsidR="00E76EE7">
        <w:tc>
          <w:tcPr>
            <w:tcW w:w="817" w:type="dxa"/>
            <w:vAlign w:val="center"/>
          </w:tcPr>
          <w:p w:rsidR="00E76EE7" w:rsidRDefault="00E22261">
            <w:pPr>
              <w:jc w:val="center"/>
            </w:pPr>
            <w:r>
              <w:rPr>
                <w:rFonts w:asciiTheme="minorEastAsia" w:eastAsiaTheme="minorEastAsia" w:hAnsiTheme="minorEastAsia" w:cs="宋体"/>
                <w:color w:val="000000" w:themeColor="text1"/>
                <w:kern w:val="0"/>
              </w:rPr>
              <w:t>5</w:t>
            </w:r>
          </w:p>
        </w:tc>
        <w:tc>
          <w:tcPr>
            <w:tcW w:w="1276" w:type="dxa"/>
            <w:vAlign w:val="center"/>
          </w:tcPr>
          <w:p w:rsidR="00E76EE7" w:rsidRDefault="00E22261">
            <w:pPr>
              <w:jc w:val="center"/>
            </w:pPr>
            <w:r>
              <w:rPr>
                <w:rFonts w:asciiTheme="minorEastAsia" w:eastAsiaTheme="minorEastAsia" w:hAnsiTheme="minorEastAsia" w:cs="宋体"/>
                <w:color w:val="000000" w:themeColor="text1"/>
                <w:kern w:val="0"/>
              </w:rPr>
              <w:t>600036</w:t>
            </w:r>
          </w:p>
        </w:tc>
        <w:tc>
          <w:tcPr>
            <w:tcW w:w="1701" w:type="dxa"/>
            <w:vAlign w:val="center"/>
          </w:tcPr>
          <w:p w:rsidR="00E76EE7" w:rsidRDefault="00E22261">
            <w:pPr>
              <w:jc w:val="center"/>
            </w:pPr>
            <w:r>
              <w:rPr>
                <w:rFonts w:asciiTheme="minorEastAsia" w:eastAsiaTheme="minorEastAsia" w:hAnsiTheme="minorEastAsia" w:cs="宋体"/>
                <w:color w:val="000000" w:themeColor="text1"/>
                <w:kern w:val="0"/>
              </w:rPr>
              <w:t>招商银行</w:t>
            </w:r>
          </w:p>
        </w:tc>
        <w:tc>
          <w:tcPr>
            <w:tcW w:w="1276" w:type="dxa"/>
            <w:vAlign w:val="center"/>
          </w:tcPr>
          <w:p w:rsidR="00E76EE7" w:rsidRDefault="00E22261">
            <w:pPr>
              <w:jc w:val="right"/>
            </w:pPr>
            <w:r>
              <w:rPr>
                <w:rFonts w:asciiTheme="minorEastAsia" w:eastAsiaTheme="minorEastAsia" w:hAnsiTheme="minorEastAsia" w:cs="宋体"/>
                <w:color w:val="000000" w:themeColor="text1"/>
                <w:kern w:val="0"/>
              </w:rPr>
              <w:t>2,931,323</w:t>
            </w:r>
          </w:p>
        </w:tc>
        <w:tc>
          <w:tcPr>
            <w:tcW w:w="1842" w:type="dxa"/>
            <w:vAlign w:val="center"/>
          </w:tcPr>
          <w:p w:rsidR="00E76EE7" w:rsidRDefault="00E22261">
            <w:pPr>
              <w:jc w:val="right"/>
            </w:pPr>
            <w:r>
              <w:rPr>
                <w:rFonts w:asciiTheme="minorEastAsia" w:eastAsiaTheme="minorEastAsia" w:hAnsiTheme="minorEastAsia" w:cs="宋体"/>
                <w:color w:val="000000" w:themeColor="text1"/>
                <w:kern w:val="0"/>
              </w:rPr>
              <w:t>110,159,118.34</w:t>
            </w:r>
          </w:p>
        </w:tc>
        <w:tc>
          <w:tcPr>
            <w:tcW w:w="1616" w:type="dxa"/>
            <w:vAlign w:val="center"/>
          </w:tcPr>
          <w:p w:rsidR="00E76EE7" w:rsidRDefault="00E22261">
            <w:pPr>
              <w:jc w:val="right"/>
            </w:pPr>
            <w:r>
              <w:rPr>
                <w:rFonts w:asciiTheme="minorEastAsia" w:eastAsiaTheme="minorEastAsia" w:hAnsiTheme="minorEastAsia" w:cs="宋体"/>
                <w:color w:val="000000" w:themeColor="text1"/>
                <w:kern w:val="0"/>
              </w:rPr>
              <w:t>3.25</w:t>
            </w:r>
          </w:p>
        </w:tc>
      </w:tr>
      <w:tr w:rsidR="00E76EE7">
        <w:tc>
          <w:tcPr>
            <w:tcW w:w="817" w:type="dxa"/>
            <w:vAlign w:val="center"/>
          </w:tcPr>
          <w:p w:rsidR="00E76EE7" w:rsidRDefault="00E22261">
            <w:pPr>
              <w:jc w:val="center"/>
            </w:pPr>
            <w:r>
              <w:rPr>
                <w:rFonts w:asciiTheme="minorEastAsia" w:eastAsiaTheme="minorEastAsia" w:hAnsiTheme="minorEastAsia" w:cs="宋体"/>
                <w:color w:val="000000" w:themeColor="text1"/>
                <w:kern w:val="0"/>
              </w:rPr>
              <w:t>6</w:t>
            </w:r>
          </w:p>
        </w:tc>
        <w:tc>
          <w:tcPr>
            <w:tcW w:w="1276" w:type="dxa"/>
            <w:vAlign w:val="center"/>
          </w:tcPr>
          <w:p w:rsidR="00E76EE7" w:rsidRDefault="00E22261">
            <w:pPr>
              <w:jc w:val="center"/>
            </w:pPr>
            <w:r>
              <w:rPr>
                <w:rFonts w:asciiTheme="minorEastAsia" w:eastAsiaTheme="minorEastAsia" w:hAnsiTheme="minorEastAsia" w:cs="宋体"/>
                <w:color w:val="000000" w:themeColor="text1"/>
                <w:kern w:val="0"/>
              </w:rPr>
              <w:t>600383</w:t>
            </w:r>
          </w:p>
        </w:tc>
        <w:tc>
          <w:tcPr>
            <w:tcW w:w="1701" w:type="dxa"/>
            <w:vAlign w:val="center"/>
          </w:tcPr>
          <w:p w:rsidR="00E76EE7" w:rsidRDefault="00E22261">
            <w:pPr>
              <w:jc w:val="center"/>
            </w:pPr>
            <w:r>
              <w:rPr>
                <w:rFonts w:asciiTheme="minorEastAsia" w:eastAsiaTheme="minorEastAsia" w:hAnsiTheme="minorEastAsia" w:cs="宋体"/>
                <w:color w:val="000000" w:themeColor="text1"/>
                <w:kern w:val="0"/>
              </w:rPr>
              <w:t>金地集团</w:t>
            </w:r>
          </w:p>
        </w:tc>
        <w:tc>
          <w:tcPr>
            <w:tcW w:w="1276" w:type="dxa"/>
            <w:vAlign w:val="center"/>
          </w:tcPr>
          <w:p w:rsidR="00E76EE7" w:rsidRDefault="00E22261">
            <w:pPr>
              <w:jc w:val="right"/>
            </w:pPr>
            <w:r>
              <w:rPr>
                <w:rFonts w:asciiTheme="minorEastAsia" w:eastAsiaTheme="minorEastAsia" w:hAnsiTheme="minorEastAsia" w:cs="宋体"/>
                <w:color w:val="000000" w:themeColor="text1"/>
                <w:kern w:val="0"/>
              </w:rPr>
              <w:t>7,373,073</w:t>
            </w:r>
          </w:p>
        </w:tc>
        <w:tc>
          <w:tcPr>
            <w:tcW w:w="1842" w:type="dxa"/>
            <w:vAlign w:val="center"/>
          </w:tcPr>
          <w:p w:rsidR="00E76EE7" w:rsidRDefault="00E22261">
            <w:pPr>
              <w:jc w:val="right"/>
            </w:pPr>
            <w:r>
              <w:rPr>
                <w:rFonts w:asciiTheme="minorEastAsia" w:eastAsiaTheme="minorEastAsia" w:hAnsiTheme="minorEastAsia" w:cs="宋体"/>
                <w:color w:val="000000" w:themeColor="text1"/>
                <w:kern w:val="0"/>
              </w:rPr>
              <w:t>106,909,558.50</w:t>
            </w:r>
          </w:p>
        </w:tc>
        <w:tc>
          <w:tcPr>
            <w:tcW w:w="1616" w:type="dxa"/>
            <w:vAlign w:val="center"/>
          </w:tcPr>
          <w:p w:rsidR="00E76EE7" w:rsidRDefault="00E22261">
            <w:pPr>
              <w:jc w:val="right"/>
            </w:pPr>
            <w:r>
              <w:rPr>
                <w:rFonts w:asciiTheme="minorEastAsia" w:eastAsiaTheme="minorEastAsia" w:hAnsiTheme="minorEastAsia" w:cs="宋体"/>
                <w:color w:val="000000" w:themeColor="text1"/>
                <w:kern w:val="0"/>
              </w:rPr>
              <w:t>3.15</w:t>
            </w:r>
          </w:p>
        </w:tc>
      </w:tr>
      <w:tr w:rsidR="00E76EE7">
        <w:tc>
          <w:tcPr>
            <w:tcW w:w="817" w:type="dxa"/>
            <w:vAlign w:val="center"/>
          </w:tcPr>
          <w:p w:rsidR="00E76EE7" w:rsidRDefault="00E22261">
            <w:pPr>
              <w:jc w:val="center"/>
            </w:pPr>
            <w:r>
              <w:rPr>
                <w:rFonts w:asciiTheme="minorEastAsia" w:eastAsiaTheme="minorEastAsia" w:hAnsiTheme="minorEastAsia" w:cs="宋体"/>
                <w:color w:val="000000" w:themeColor="text1"/>
                <w:kern w:val="0"/>
              </w:rPr>
              <w:t>7</w:t>
            </w:r>
          </w:p>
        </w:tc>
        <w:tc>
          <w:tcPr>
            <w:tcW w:w="1276" w:type="dxa"/>
            <w:vAlign w:val="center"/>
          </w:tcPr>
          <w:p w:rsidR="00E76EE7" w:rsidRDefault="00E22261">
            <w:pPr>
              <w:jc w:val="center"/>
            </w:pPr>
            <w:r>
              <w:rPr>
                <w:rFonts w:asciiTheme="minorEastAsia" w:eastAsiaTheme="minorEastAsia" w:hAnsiTheme="minorEastAsia" w:cs="宋体"/>
                <w:color w:val="000000" w:themeColor="text1"/>
                <w:kern w:val="0"/>
              </w:rPr>
              <w:t>600837</w:t>
            </w:r>
          </w:p>
        </w:tc>
        <w:tc>
          <w:tcPr>
            <w:tcW w:w="1701" w:type="dxa"/>
            <w:vAlign w:val="center"/>
          </w:tcPr>
          <w:p w:rsidR="00E76EE7" w:rsidRDefault="00E22261">
            <w:pPr>
              <w:jc w:val="center"/>
            </w:pPr>
            <w:r>
              <w:rPr>
                <w:rFonts w:asciiTheme="minorEastAsia" w:eastAsiaTheme="minorEastAsia" w:hAnsiTheme="minorEastAsia" w:cs="宋体"/>
                <w:color w:val="000000" w:themeColor="text1"/>
                <w:kern w:val="0"/>
              </w:rPr>
              <w:t>海通证券</w:t>
            </w:r>
          </w:p>
        </w:tc>
        <w:tc>
          <w:tcPr>
            <w:tcW w:w="1276" w:type="dxa"/>
            <w:vAlign w:val="center"/>
          </w:tcPr>
          <w:p w:rsidR="00E76EE7" w:rsidRDefault="00E22261">
            <w:pPr>
              <w:jc w:val="right"/>
            </w:pPr>
            <w:r>
              <w:rPr>
                <w:rFonts w:asciiTheme="minorEastAsia" w:eastAsiaTheme="minorEastAsia" w:hAnsiTheme="minorEastAsia" w:cs="宋体"/>
                <w:color w:val="000000" w:themeColor="text1"/>
                <w:kern w:val="0"/>
              </w:rPr>
              <w:t>6,906,223</w:t>
            </w:r>
          </w:p>
        </w:tc>
        <w:tc>
          <w:tcPr>
            <w:tcW w:w="1842" w:type="dxa"/>
            <w:vAlign w:val="center"/>
          </w:tcPr>
          <w:p w:rsidR="00E76EE7" w:rsidRDefault="00E22261">
            <w:pPr>
              <w:jc w:val="right"/>
            </w:pPr>
            <w:r>
              <w:rPr>
                <w:rFonts w:asciiTheme="minorEastAsia" w:eastAsiaTheme="minorEastAsia" w:hAnsiTheme="minorEastAsia" w:cs="宋体"/>
                <w:color w:val="000000" w:themeColor="text1"/>
                <w:kern w:val="0"/>
              </w:rPr>
              <w:t>106,770,207.58</w:t>
            </w:r>
          </w:p>
        </w:tc>
        <w:tc>
          <w:tcPr>
            <w:tcW w:w="1616" w:type="dxa"/>
            <w:vAlign w:val="center"/>
          </w:tcPr>
          <w:p w:rsidR="00E76EE7" w:rsidRDefault="00E22261">
            <w:pPr>
              <w:jc w:val="right"/>
            </w:pPr>
            <w:r>
              <w:rPr>
                <w:rFonts w:asciiTheme="minorEastAsia" w:eastAsiaTheme="minorEastAsia" w:hAnsiTheme="minorEastAsia" w:cs="宋体"/>
                <w:color w:val="000000" w:themeColor="text1"/>
                <w:kern w:val="0"/>
              </w:rPr>
              <w:t>3.15</w:t>
            </w:r>
          </w:p>
        </w:tc>
      </w:tr>
      <w:tr w:rsidR="00E76EE7">
        <w:tc>
          <w:tcPr>
            <w:tcW w:w="817" w:type="dxa"/>
            <w:vAlign w:val="center"/>
          </w:tcPr>
          <w:p w:rsidR="00E76EE7" w:rsidRDefault="00E22261">
            <w:pPr>
              <w:jc w:val="center"/>
            </w:pPr>
            <w:r>
              <w:rPr>
                <w:rFonts w:asciiTheme="minorEastAsia" w:eastAsiaTheme="minorEastAsia" w:hAnsiTheme="minorEastAsia" w:cs="宋体"/>
                <w:color w:val="000000" w:themeColor="text1"/>
                <w:kern w:val="0"/>
              </w:rPr>
              <w:t>8</w:t>
            </w:r>
          </w:p>
        </w:tc>
        <w:tc>
          <w:tcPr>
            <w:tcW w:w="1276" w:type="dxa"/>
            <w:vAlign w:val="center"/>
          </w:tcPr>
          <w:p w:rsidR="00E76EE7" w:rsidRDefault="00E22261">
            <w:pPr>
              <w:jc w:val="center"/>
            </w:pPr>
            <w:r>
              <w:rPr>
                <w:rFonts w:asciiTheme="minorEastAsia" w:eastAsiaTheme="minorEastAsia" w:hAnsiTheme="minorEastAsia" w:cs="宋体"/>
                <w:color w:val="000000" w:themeColor="text1"/>
                <w:kern w:val="0"/>
              </w:rPr>
              <w:t>600031</w:t>
            </w:r>
          </w:p>
        </w:tc>
        <w:tc>
          <w:tcPr>
            <w:tcW w:w="1701" w:type="dxa"/>
            <w:vAlign w:val="center"/>
          </w:tcPr>
          <w:p w:rsidR="00E76EE7" w:rsidRDefault="00E22261">
            <w:pPr>
              <w:jc w:val="center"/>
            </w:pPr>
            <w:r>
              <w:rPr>
                <w:rFonts w:asciiTheme="minorEastAsia" w:eastAsiaTheme="minorEastAsia" w:hAnsiTheme="minorEastAsia" w:cs="宋体"/>
                <w:color w:val="000000" w:themeColor="text1"/>
                <w:kern w:val="0"/>
              </w:rPr>
              <w:t>三一重工</w:t>
            </w:r>
          </w:p>
        </w:tc>
        <w:tc>
          <w:tcPr>
            <w:tcW w:w="1276" w:type="dxa"/>
            <w:vAlign w:val="center"/>
          </w:tcPr>
          <w:p w:rsidR="00E76EE7" w:rsidRDefault="00E22261">
            <w:pPr>
              <w:jc w:val="right"/>
            </w:pPr>
            <w:r>
              <w:rPr>
                <w:rFonts w:asciiTheme="minorEastAsia" w:eastAsiaTheme="minorEastAsia" w:hAnsiTheme="minorEastAsia" w:cs="宋体"/>
                <w:color w:val="000000" w:themeColor="text1"/>
                <w:kern w:val="0"/>
              </w:rPr>
              <w:t>6,090,454</w:t>
            </w:r>
          </w:p>
        </w:tc>
        <w:tc>
          <w:tcPr>
            <w:tcW w:w="1842" w:type="dxa"/>
            <w:vAlign w:val="center"/>
          </w:tcPr>
          <w:p w:rsidR="00E76EE7" w:rsidRDefault="00E22261">
            <w:pPr>
              <w:jc w:val="right"/>
            </w:pPr>
            <w:r>
              <w:rPr>
                <w:rFonts w:asciiTheme="minorEastAsia" w:eastAsiaTheme="minorEastAsia" w:hAnsiTheme="minorEastAsia" w:cs="宋体"/>
                <w:color w:val="000000" w:themeColor="text1"/>
                <w:kern w:val="0"/>
              </w:rPr>
              <w:t>103,842,240.70</w:t>
            </w:r>
          </w:p>
        </w:tc>
        <w:tc>
          <w:tcPr>
            <w:tcW w:w="1616" w:type="dxa"/>
            <w:vAlign w:val="center"/>
          </w:tcPr>
          <w:p w:rsidR="00E76EE7" w:rsidRDefault="00E22261">
            <w:pPr>
              <w:jc w:val="right"/>
            </w:pPr>
            <w:r>
              <w:rPr>
                <w:rFonts w:asciiTheme="minorEastAsia" w:eastAsiaTheme="minorEastAsia" w:hAnsiTheme="minorEastAsia" w:cs="宋体"/>
                <w:color w:val="000000" w:themeColor="text1"/>
                <w:kern w:val="0"/>
              </w:rPr>
              <w:t>3.06</w:t>
            </w:r>
          </w:p>
        </w:tc>
      </w:tr>
      <w:tr w:rsidR="00E76EE7">
        <w:tc>
          <w:tcPr>
            <w:tcW w:w="817" w:type="dxa"/>
            <w:vAlign w:val="center"/>
          </w:tcPr>
          <w:p w:rsidR="00E76EE7" w:rsidRDefault="00E22261">
            <w:pPr>
              <w:jc w:val="center"/>
            </w:pPr>
            <w:r>
              <w:rPr>
                <w:rFonts w:asciiTheme="minorEastAsia" w:eastAsiaTheme="minorEastAsia" w:hAnsiTheme="minorEastAsia" w:cs="宋体"/>
                <w:color w:val="000000" w:themeColor="text1"/>
                <w:kern w:val="0"/>
              </w:rPr>
              <w:t>9</w:t>
            </w:r>
          </w:p>
        </w:tc>
        <w:tc>
          <w:tcPr>
            <w:tcW w:w="1276" w:type="dxa"/>
            <w:vAlign w:val="center"/>
          </w:tcPr>
          <w:p w:rsidR="00E76EE7" w:rsidRDefault="00E22261">
            <w:pPr>
              <w:jc w:val="center"/>
            </w:pPr>
            <w:r>
              <w:rPr>
                <w:rFonts w:asciiTheme="minorEastAsia" w:eastAsiaTheme="minorEastAsia" w:hAnsiTheme="minorEastAsia" w:cs="宋体"/>
                <w:color w:val="000000" w:themeColor="text1"/>
                <w:kern w:val="0"/>
              </w:rPr>
              <w:t>601012</w:t>
            </w:r>
          </w:p>
        </w:tc>
        <w:tc>
          <w:tcPr>
            <w:tcW w:w="1701" w:type="dxa"/>
            <w:vAlign w:val="center"/>
          </w:tcPr>
          <w:p w:rsidR="00E76EE7" w:rsidRDefault="00E22261">
            <w:pPr>
              <w:jc w:val="center"/>
            </w:pPr>
            <w:r>
              <w:rPr>
                <w:rFonts w:asciiTheme="minorEastAsia" w:eastAsiaTheme="minorEastAsia" w:hAnsiTheme="minorEastAsia" w:cs="宋体"/>
                <w:color w:val="000000" w:themeColor="text1"/>
                <w:kern w:val="0"/>
              </w:rPr>
              <w:t>隆基股份</w:t>
            </w:r>
          </w:p>
        </w:tc>
        <w:tc>
          <w:tcPr>
            <w:tcW w:w="1276" w:type="dxa"/>
            <w:vAlign w:val="center"/>
          </w:tcPr>
          <w:p w:rsidR="00E76EE7" w:rsidRDefault="00E22261">
            <w:pPr>
              <w:jc w:val="right"/>
            </w:pPr>
            <w:r>
              <w:rPr>
                <w:rFonts w:asciiTheme="minorEastAsia" w:eastAsiaTheme="minorEastAsia" w:hAnsiTheme="minorEastAsia" w:cs="宋体"/>
                <w:color w:val="000000" w:themeColor="text1"/>
                <w:kern w:val="0"/>
              </w:rPr>
              <w:t>3,980,833</w:t>
            </w:r>
          </w:p>
        </w:tc>
        <w:tc>
          <w:tcPr>
            <w:tcW w:w="1842" w:type="dxa"/>
            <w:vAlign w:val="center"/>
          </w:tcPr>
          <w:p w:rsidR="00E76EE7" w:rsidRDefault="00E22261">
            <w:pPr>
              <w:jc w:val="right"/>
            </w:pPr>
            <w:r>
              <w:rPr>
                <w:rFonts w:asciiTheme="minorEastAsia" w:eastAsiaTheme="minorEastAsia" w:hAnsiTheme="minorEastAsia" w:cs="宋体"/>
                <w:color w:val="000000" w:themeColor="text1"/>
                <w:kern w:val="0"/>
              </w:rPr>
              <w:t>98,844,083.39</w:t>
            </w:r>
          </w:p>
        </w:tc>
        <w:tc>
          <w:tcPr>
            <w:tcW w:w="1616" w:type="dxa"/>
            <w:vAlign w:val="center"/>
          </w:tcPr>
          <w:p w:rsidR="00E76EE7" w:rsidRDefault="00E22261">
            <w:pPr>
              <w:jc w:val="right"/>
            </w:pPr>
            <w:r>
              <w:rPr>
                <w:rFonts w:asciiTheme="minorEastAsia" w:eastAsiaTheme="minorEastAsia" w:hAnsiTheme="minorEastAsia" w:cs="宋体"/>
                <w:color w:val="000000" w:themeColor="text1"/>
                <w:kern w:val="0"/>
              </w:rPr>
              <w:t>2.92</w:t>
            </w:r>
          </w:p>
        </w:tc>
      </w:tr>
      <w:tr w:rsidR="00E76EE7">
        <w:tc>
          <w:tcPr>
            <w:tcW w:w="817" w:type="dxa"/>
            <w:vAlign w:val="center"/>
          </w:tcPr>
          <w:p w:rsidR="00E76EE7" w:rsidRDefault="00E22261">
            <w:pPr>
              <w:jc w:val="center"/>
            </w:pPr>
            <w:r>
              <w:rPr>
                <w:rFonts w:asciiTheme="minorEastAsia" w:eastAsiaTheme="minorEastAsia" w:hAnsiTheme="minorEastAsia" w:cs="宋体"/>
                <w:color w:val="000000" w:themeColor="text1"/>
                <w:kern w:val="0"/>
              </w:rPr>
              <w:t>10</w:t>
            </w:r>
          </w:p>
        </w:tc>
        <w:tc>
          <w:tcPr>
            <w:tcW w:w="1276" w:type="dxa"/>
            <w:vAlign w:val="center"/>
          </w:tcPr>
          <w:p w:rsidR="00E76EE7" w:rsidRDefault="00E22261">
            <w:pPr>
              <w:jc w:val="center"/>
            </w:pPr>
            <w:r>
              <w:rPr>
                <w:rFonts w:asciiTheme="minorEastAsia" w:eastAsiaTheme="minorEastAsia" w:hAnsiTheme="minorEastAsia" w:cs="宋体"/>
                <w:color w:val="000000" w:themeColor="text1"/>
                <w:kern w:val="0"/>
              </w:rPr>
              <w:t>002798</w:t>
            </w:r>
          </w:p>
        </w:tc>
        <w:tc>
          <w:tcPr>
            <w:tcW w:w="1701" w:type="dxa"/>
            <w:vAlign w:val="center"/>
          </w:tcPr>
          <w:p w:rsidR="00E76EE7" w:rsidRDefault="00E22261">
            <w:pPr>
              <w:jc w:val="center"/>
            </w:pPr>
            <w:r>
              <w:rPr>
                <w:rFonts w:asciiTheme="minorEastAsia" w:eastAsiaTheme="minorEastAsia" w:hAnsiTheme="minorEastAsia" w:cs="宋体"/>
                <w:color w:val="000000" w:themeColor="text1"/>
                <w:kern w:val="0"/>
              </w:rPr>
              <w:t>帝欧家居</w:t>
            </w:r>
          </w:p>
        </w:tc>
        <w:tc>
          <w:tcPr>
            <w:tcW w:w="1276" w:type="dxa"/>
            <w:vAlign w:val="center"/>
          </w:tcPr>
          <w:p w:rsidR="00E76EE7" w:rsidRDefault="00E22261">
            <w:pPr>
              <w:jc w:val="right"/>
            </w:pPr>
            <w:r>
              <w:rPr>
                <w:rFonts w:asciiTheme="minorEastAsia" w:eastAsiaTheme="minorEastAsia" w:hAnsiTheme="minorEastAsia" w:cs="宋体"/>
                <w:color w:val="000000" w:themeColor="text1"/>
                <w:kern w:val="0"/>
              </w:rPr>
              <w:t>3,634,990</w:t>
            </w:r>
          </w:p>
        </w:tc>
        <w:tc>
          <w:tcPr>
            <w:tcW w:w="1842" w:type="dxa"/>
            <w:vAlign w:val="center"/>
          </w:tcPr>
          <w:p w:rsidR="00E76EE7" w:rsidRDefault="00E22261">
            <w:pPr>
              <w:jc w:val="right"/>
            </w:pPr>
            <w:r>
              <w:rPr>
                <w:rFonts w:asciiTheme="minorEastAsia" w:eastAsiaTheme="minorEastAsia" w:hAnsiTheme="minorEastAsia" w:cs="宋体"/>
                <w:color w:val="000000" w:themeColor="text1"/>
                <w:kern w:val="0"/>
              </w:rPr>
              <w:t>91,056,499.50</w:t>
            </w:r>
          </w:p>
        </w:tc>
        <w:tc>
          <w:tcPr>
            <w:tcW w:w="1616" w:type="dxa"/>
            <w:vAlign w:val="center"/>
          </w:tcPr>
          <w:p w:rsidR="00E76EE7" w:rsidRDefault="00E22261">
            <w:pPr>
              <w:jc w:val="right"/>
            </w:pPr>
            <w:r>
              <w:rPr>
                <w:rFonts w:asciiTheme="minorEastAsia" w:eastAsiaTheme="minorEastAsia" w:hAnsiTheme="minorEastAsia" w:cs="宋体"/>
                <w:color w:val="000000" w:themeColor="text1"/>
                <w:kern w:val="0"/>
              </w:rPr>
              <w:t>2.69</w:t>
            </w:r>
          </w:p>
        </w:tc>
      </w:tr>
    </w:tbl>
    <w:p w:rsidR="00E76EE7" w:rsidRDefault="00E76EE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E76EE7" w:rsidRDefault="00E2226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E76EE7" w:rsidRDefault="00E2226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E76EE7" w:rsidRDefault="00E76EE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76EE7" w:rsidRDefault="00E2226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E76EE7" w:rsidRDefault="00E2226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E76EE7" w:rsidRDefault="00E76EE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E76EE7" w:rsidRDefault="00E2226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E76EE7" w:rsidRDefault="00E2226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E76EE7" w:rsidRDefault="00E76EE7">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E76EE7" w:rsidRDefault="00E2226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5.7 </w:t>
      </w:r>
      <w:r>
        <w:rPr>
          <w:rFonts w:asciiTheme="minorEastAsia" w:eastAsiaTheme="minorEastAsia" w:hAnsiTheme="minorEastAsia" w:hint="eastAsia"/>
          <w:b/>
          <w:bCs/>
          <w:color w:val="000000" w:themeColor="text1"/>
          <w:kern w:val="0"/>
          <w:sz w:val="24"/>
          <w:szCs w:val="24"/>
        </w:rPr>
        <w:t>报告期末按公允价值占基金资产净值比例大小排序的前五名贵金属投资明细</w:t>
      </w:r>
    </w:p>
    <w:p w:rsidR="00E76EE7" w:rsidRDefault="00E22261">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E76EE7" w:rsidRDefault="00E76EE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76EE7" w:rsidRDefault="00E2226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E76EE7" w:rsidRDefault="00E2226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E76EE7" w:rsidRDefault="00E76EE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E76EE7" w:rsidRDefault="00E2226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5.9 </w:t>
      </w:r>
      <w:r>
        <w:rPr>
          <w:rFonts w:asciiTheme="minorEastAsia" w:eastAsiaTheme="minorEastAsia" w:hAnsiTheme="minorEastAsia" w:hint="eastAsia"/>
          <w:b/>
          <w:bCs/>
          <w:color w:val="000000" w:themeColor="text1"/>
          <w:kern w:val="0"/>
          <w:sz w:val="24"/>
          <w:szCs w:val="24"/>
        </w:rPr>
        <w:t>报告期末本基金投资的股指期货交易情况说明</w:t>
      </w:r>
    </w:p>
    <w:p w:rsidR="00E76EE7" w:rsidRDefault="00E2226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E76EE7" w:rsidRDefault="00E76EE7">
      <w:pPr>
        <w:adjustRightInd w:val="0"/>
        <w:snapToGrid w:val="0"/>
        <w:spacing w:line="360" w:lineRule="exact"/>
        <w:rPr>
          <w:rFonts w:asciiTheme="minorEastAsia" w:eastAsiaTheme="minorEastAsia" w:hAnsiTheme="minorEastAsia"/>
          <w:color w:val="000000" w:themeColor="text1"/>
          <w:sz w:val="24"/>
          <w:szCs w:val="24"/>
        </w:rPr>
      </w:pPr>
    </w:p>
    <w:p w:rsidR="00E76EE7" w:rsidRDefault="00E2226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w:t>
      </w:r>
      <w:r>
        <w:rPr>
          <w:rFonts w:asciiTheme="minorEastAsia" w:eastAsiaTheme="minorEastAsia" w:hAnsiTheme="minorEastAsia" w:hint="eastAsia"/>
          <w:b/>
          <w:bCs/>
          <w:color w:val="000000" w:themeColor="text1"/>
          <w:kern w:val="0"/>
          <w:sz w:val="24"/>
          <w:szCs w:val="24"/>
        </w:rPr>
        <w:t>报告期末本基金投资的国债期货交易情况说明</w:t>
      </w:r>
    </w:p>
    <w:p w:rsidR="00E76EE7" w:rsidRDefault="00E22261">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E76EE7" w:rsidRDefault="00E2226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E76EE7" w:rsidRDefault="00E22261">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E76EE7" w:rsidRDefault="00E22261">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E76EE7" w:rsidRDefault="00E2226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8"/>
        <w:tblW w:w="8513" w:type="dxa"/>
        <w:tblInd w:w="15" w:type="dxa"/>
        <w:tblLayout w:type="fixed"/>
        <w:tblLook w:val="04A0" w:firstRow="1" w:lastRow="0" w:firstColumn="1" w:lastColumn="0" w:noHBand="0" w:noVBand="1"/>
      </w:tblPr>
      <w:tblGrid>
        <w:gridCol w:w="1235"/>
        <w:gridCol w:w="2470"/>
        <w:gridCol w:w="4808"/>
      </w:tblGrid>
      <w:tr w:rsidR="00E76EE7">
        <w:tc>
          <w:tcPr>
            <w:tcW w:w="1235" w:type="dxa"/>
            <w:vAlign w:val="center"/>
          </w:tcPr>
          <w:p w:rsidR="00E76EE7" w:rsidRDefault="00E22261">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E76EE7" w:rsidRDefault="00E22261">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E76EE7" w:rsidRDefault="00E22261">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hint="eastAsia"/>
                <w:color w:val="000000" w:themeColor="text1"/>
                <w:kern w:val="0"/>
              </w:rPr>
              <w:t>)</w:t>
            </w:r>
          </w:p>
        </w:tc>
      </w:tr>
      <w:tr w:rsidR="00E76EE7">
        <w:tc>
          <w:tcPr>
            <w:tcW w:w="1235" w:type="dxa"/>
            <w:vAlign w:val="center"/>
          </w:tcPr>
          <w:p w:rsidR="00E76EE7" w:rsidRDefault="00E2226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E76EE7" w:rsidRDefault="00E22261">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E76EE7" w:rsidRDefault="00E2226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874,644.01</w:t>
            </w:r>
          </w:p>
        </w:tc>
      </w:tr>
      <w:tr w:rsidR="00E76EE7">
        <w:tc>
          <w:tcPr>
            <w:tcW w:w="1235" w:type="dxa"/>
            <w:vAlign w:val="center"/>
          </w:tcPr>
          <w:p w:rsidR="00E76EE7" w:rsidRDefault="00E2226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E76EE7" w:rsidRDefault="00E22261">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E76EE7" w:rsidRDefault="00E2226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40,408,254.88</w:t>
            </w:r>
          </w:p>
        </w:tc>
      </w:tr>
      <w:tr w:rsidR="00E76EE7">
        <w:tc>
          <w:tcPr>
            <w:tcW w:w="1235" w:type="dxa"/>
            <w:vAlign w:val="center"/>
          </w:tcPr>
          <w:p w:rsidR="00E76EE7" w:rsidRDefault="00E2226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E76EE7" w:rsidRDefault="00E22261">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E76EE7" w:rsidRDefault="00E2226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E76EE7">
        <w:tc>
          <w:tcPr>
            <w:tcW w:w="1235" w:type="dxa"/>
            <w:vAlign w:val="center"/>
          </w:tcPr>
          <w:p w:rsidR="00E76EE7" w:rsidRDefault="00E2226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E76EE7" w:rsidRDefault="00E22261">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E76EE7" w:rsidRDefault="00E2226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137,875.04</w:t>
            </w:r>
          </w:p>
        </w:tc>
      </w:tr>
      <w:tr w:rsidR="00E76EE7">
        <w:tc>
          <w:tcPr>
            <w:tcW w:w="1235" w:type="dxa"/>
            <w:vAlign w:val="center"/>
          </w:tcPr>
          <w:p w:rsidR="00E76EE7" w:rsidRDefault="00E2226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E76EE7" w:rsidRDefault="00E22261">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E76EE7" w:rsidRDefault="00E2226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2,337,797.01</w:t>
            </w:r>
          </w:p>
        </w:tc>
      </w:tr>
      <w:tr w:rsidR="00E76EE7">
        <w:tc>
          <w:tcPr>
            <w:tcW w:w="1235" w:type="dxa"/>
            <w:vAlign w:val="center"/>
          </w:tcPr>
          <w:p w:rsidR="00E76EE7" w:rsidRDefault="00E2226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E76EE7" w:rsidRDefault="00E22261">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E76EE7" w:rsidRDefault="00E2226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E76EE7">
        <w:tc>
          <w:tcPr>
            <w:tcW w:w="1235" w:type="dxa"/>
            <w:vAlign w:val="center"/>
          </w:tcPr>
          <w:p w:rsidR="00E76EE7" w:rsidRDefault="00E2226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E76EE7" w:rsidRDefault="00E22261">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E76EE7" w:rsidRDefault="00E2226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E76EE7">
        <w:tc>
          <w:tcPr>
            <w:tcW w:w="1235" w:type="dxa"/>
            <w:vAlign w:val="center"/>
          </w:tcPr>
          <w:p w:rsidR="00E76EE7" w:rsidRDefault="00E2226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E76EE7" w:rsidRDefault="00E22261">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E76EE7" w:rsidRDefault="00E2226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E76EE7">
        <w:tc>
          <w:tcPr>
            <w:tcW w:w="1235" w:type="dxa"/>
            <w:vAlign w:val="center"/>
          </w:tcPr>
          <w:p w:rsidR="00E76EE7" w:rsidRDefault="00E2226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E76EE7" w:rsidRDefault="00E22261">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E76EE7" w:rsidRDefault="00E2226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43,758,570.94</w:t>
            </w:r>
          </w:p>
        </w:tc>
      </w:tr>
    </w:tbl>
    <w:p w:rsidR="00E76EE7" w:rsidRDefault="00E76EE7">
      <w:pPr>
        <w:autoSpaceDE w:val="0"/>
        <w:autoSpaceDN w:val="0"/>
        <w:adjustRightInd w:val="0"/>
        <w:spacing w:line="360" w:lineRule="auto"/>
        <w:rPr>
          <w:rFonts w:asciiTheme="minorEastAsia" w:eastAsiaTheme="minorEastAsia" w:hAnsiTheme="minorEastAsia"/>
          <w:color w:val="000000" w:themeColor="text1"/>
          <w:sz w:val="24"/>
          <w:szCs w:val="24"/>
        </w:rPr>
      </w:pPr>
    </w:p>
    <w:p w:rsidR="00E76EE7" w:rsidRDefault="00E2226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w:t>
      </w:r>
      <w:r>
        <w:rPr>
          <w:rFonts w:asciiTheme="minorEastAsia" w:eastAsiaTheme="minorEastAsia" w:hAnsiTheme="minorEastAsia" w:hint="eastAsia"/>
          <w:b/>
          <w:bCs/>
          <w:color w:val="000000" w:themeColor="text1"/>
          <w:kern w:val="0"/>
          <w:sz w:val="24"/>
          <w:szCs w:val="24"/>
        </w:rPr>
        <w:t>报告期末持有的处于转股期的可转换债券明细</w:t>
      </w:r>
    </w:p>
    <w:p w:rsidR="00E76EE7" w:rsidRDefault="00E2226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E76EE7" w:rsidRDefault="00E76EE7">
      <w:pPr>
        <w:autoSpaceDE w:val="0"/>
        <w:autoSpaceDN w:val="0"/>
        <w:adjustRightInd w:val="0"/>
        <w:spacing w:line="360" w:lineRule="auto"/>
        <w:rPr>
          <w:rFonts w:asciiTheme="minorEastAsia" w:eastAsiaTheme="minorEastAsia" w:hAnsiTheme="minorEastAsia"/>
          <w:color w:val="000000" w:themeColor="text1"/>
          <w:sz w:val="24"/>
          <w:szCs w:val="24"/>
        </w:rPr>
      </w:pPr>
    </w:p>
    <w:p w:rsidR="00E76EE7" w:rsidRDefault="00E2226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报告期末前十名股票中存在流通受限情况的说明</w:t>
      </w:r>
    </w:p>
    <w:p w:rsidR="00E76EE7" w:rsidRDefault="00E2226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E76EE7" w:rsidRDefault="00E76EE7">
      <w:pPr>
        <w:autoSpaceDE w:val="0"/>
        <w:autoSpaceDN w:val="0"/>
        <w:adjustRightInd w:val="0"/>
        <w:spacing w:line="360" w:lineRule="auto"/>
        <w:rPr>
          <w:rFonts w:asciiTheme="minorEastAsia" w:eastAsiaTheme="minorEastAsia" w:hAnsiTheme="minorEastAsia"/>
          <w:color w:val="000000" w:themeColor="text1"/>
          <w:sz w:val="24"/>
          <w:szCs w:val="24"/>
        </w:rPr>
      </w:pPr>
    </w:p>
    <w:p w:rsidR="00E76EE7" w:rsidRDefault="00E2226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w:t>
      </w:r>
      <w:r>
        <w:rPr>
          <w:rFonts w:asciiTheme="minorEastAsia" w:eastAsiaTheme="minorEastAsia" w:hAnsiTheme="minorEastAsia" w:hint="eastAsia"/>
          <w:b/>
          <w:bCs/>
          <w:color w:val="000000" w:themeColor="text1"/>
          <w:kern w:val="0"/>
          <w:sz w:val="24"/>
          <w:szCs w:val="24"/>
        </w:rPr>
        <w:t>投资组合报告附注的其他文字描述部分</w:t>
      </w:r>
    </w:p>
    <w:p w:rsidR="00E76EE7" w:rsidRDefault="00E2226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因四舍五入原因，投资组合报告中分项之和与合计可能存在尾差。</w:t>
      </w:r>
    </w:p>
    <w:p w:rsidR="00E76EE7" w:rsidRDefault="00E22261">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E76EE7" w:rsidRDefault="00E2226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E76EE7">
        <w:tc>
          <w:tcPr>
            <w:tcW w:w="4609" w:type="dxa"/>
            <w:tcBorders>
              <w:top w:val="single" w:sz="8" w:space="0" w:color="000000"/>
              <w:left w:val="single" w:sz="8" w:space="0" w:color="000000"/>
              <w:bottom w:val="single" w:sz="8" w:space="0" w:color="000000"/>
              <w:right w:val="single" w:sz="8" w:space="0" w:color="000000"/>
            </w:tcBorders>
            <w:vAlign w:val="center"/>
          </w:tcPr>
          <w:p w:rsidR="00E76EE7" w:rsidRDefault="00E22261">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E76EE7" w:rsidRDefault="00E22261">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2,187,733,503.78</w:t>
            </w:r>
          </w:p>
        </w:tc>
      </w:tr>
      <w:tr w:rsidR="00E76EE7">
        <w:tc>
          <w:tcPr>
            <w:tcW w:w="4609" w:type="dxa"/>
            <w:tcBorders>
              <w:top w:val="single" w:sz="8" w:space="0" w:color="000000"/>
              <w:left w:val="single" w:sz="8" w:space="0" w:color="000000"/>
              <w:bottom w:val="single" w:sz="8" w:space="0" w:color="000000"/>
              <w:right w:val="single" w:sz="8" w:space="0" w:color="000000"/>
            </w:tcBorders>
            <w:vAlign w:val="center"/>
          </w:tcPr>
          <w:p w:rsidR="00E76EE7" w:rsidRDefault="00E22261">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E76EE7" w:rsidRDefault="00E22261">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61,390,929.88</w:t>
            </w:r>
          </w:p>
        </w:tc>
      </w:tr>
      <w:tr w:rsidR="00E76EE7">
        <w:tc>
          <w:tcPr>
            <w:tcW w:w="4609" w:type="dxa"/>
            <w:tcBorders>
              <w:top w:val="single" w:sz="8" w:space="0" w:color="000000"/>
              <w:left w:val="single" w:sz="8" w:space="0" w:color="000000"/>
              <w:bottom w:val="single" w:sz="8" w:space="0" w:color="000000"/>
              <w:right w:val="single" w:sz="8" w:space="0" w:color="000000"/>
            </w:tcBorders>
            <w:vAlign w:val="center"/>
          </w:tcPr>
          <w:p w:rsidR="00E76EE7" w:rsidRDefault="00E22261">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E76EE7" w:rsidRDefault="00E22261">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333,893,498.52</w:t>
            </w:r>
          </w:p>
        </w:tc>
      </w:tr>
      <w:tr w:rsidR="00E76EE7">
        <w:tc>
          <w:tcPr>
            <w:tcW w:w="4609" w:type="dxa"/>
            <w:tcBorders>
              <w:top w:val="single" w:sz="8" w:space="0" w:color="000000"/>
              <w:left w:val="single" w:sz="8" w:space="0" w:color="000000"/>
              <w:bottom w:val="single" w:sz="8" w:space="0" w:color="000000"/>
              <w:right w:val="single" w:sz="8" w:space="0" w:color="000000"/>
            </w:tcBorders>
            <w:vAlign w:val="center"/>
          </w:tcPr>
          <w:p w:rsidR="00E76EE7" w:rsidRDefault="00E22261">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E76EE7" w:rsidRDefault="00E22261">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E76EE7">
        <w:tc>
          <w:tcPr>
            <w:tcW w:w="4609" w:type="dxa"/>
            <w:tcBorders>
              <w:top w:val="single" w:sz="8" w:space="0" w:color="000000"/>
              <w:left w:val="single" w:sz="8" w:space="0" w:color="000000"/>
              <w:bottom w:val="single" w:sz="8" w:space="0" w:color="000000"/>
              <w:right w:val="single" w:sz="8" w:space="0" w:color="000000"/>
            </w:tcBorders>
            <w:vAlign w:val="center"/>
          </w:tcPr>
          <w:p w:rsidR="00E76EE7" w:rsidRDefault="00E22261">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E76EE7" w:rsidRDefault="00E22261">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1,915,230,935.14</w:t>
            </w:r>
          </w:p>
        </w:tc>
      </w:tr>
    </w:tbl>
    <w:p w:rsidR="00E76EE7" w:rsidRDefault="00E22261">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E76EE7" w:rsidRDefault="00E22261">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E76EE7" w:rsidRDefault="00E2226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E76EE7" w:rsidRDefault="00E76EE7">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E76EE7" w:rsidRDefault="00E22261">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E76EE7" w:rsidRDefault="00E2226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E76EE7" w:rsidRDefault="00E2226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 </w:t>
      </w:r>
      <w:r>
        <w:rPr>
          <w:rFonts w:asciiTheme="minorEastAsia" w:eastAsiaTheme="minorEastAsia" w:hAnsiTheme="minorEastAsia" w:hint="eastAsia"/>
          <w:color w:val="000000" w:themeColor="text1"/>
        </w:rPr>
        <w:t>中国证监会批准上投摩根核心成长股票型证券投资基金设立的文件；</w:t>
      </w:r>
    </w:p>
    <w:p w:rsidR="00E76EE7" w:rsidRDefault="00E2226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2. </w:t>
      </w:r>
      <w:r>
        <w:rPr>
          <w:rFonts w:asciiTheme="minorEastAsia" w:eastAsiaTheme="minorEastAsia" w:hAnsiTheme="minorEastAsia" w:hint="eastAsia"/>
          <w:color w:val="000000" w:themeColor="text1"/>
        </w:rPr>
        <w:t>《上投摩根核心成长股票型证券投资基金基金合同》；</w:t>
      </w:r>
    </w:p>
    <w:p w:rsidR="00E76EE7" w:rsidRDefault="00E2226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3. </w:t>
      </w:r>
      <w:r>
        <w:rPr>
          <w:rFonts w:asciiTheme="minorEastAsia" w:eastAsiaTheme="minorEastAsia" w:hAnsiTheme="minorEastAsia" w:hint="eastAsia"/>
          <w:color w:val="000000" w:themeColor="text1"/>
        </w:rPr>
        <w:t>《上投摩根核心成长股票型证券投资基金基金托管协议》；</w:t>
      </w:r>
    </w:p>
    <w:p w:rsidR="00E76EE7" w:rsidRDefault="00E2226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4. </w:t>
      </w:r>
      <w:r>
        <w:rPr>
          <w:rFonts w:asciiTheme="minorEastAsia" w:eastAsiaTheme="minorEastAsia" w:hAnsiTheme="minorEastAsia" w:hint="eastAsia"/>
          <w:color w:val="000000" w:themeColor="text1"/>
        </w:rPr>
        <w:t>《上投摩根基金管理有限公司开放式基金业务规则》；</w:t>
      </w:r>
    </w:p>
    <w:p w:rsidR="00E76EE7" w:rsidRDefault="00E2226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5. </w:t>
      </w:r>
      <w:r>
        <w:rPr>
          <w:rFonts w:asciiTheme="minorEastAsia" w:eastAsiaTheme="minorEastAsia" w:hAnsiTheme="minorEastAsia" w:hint="eastAsia"/>
          <w:color w:val="000000" w:themeColor="text1"/>
        </w:rPr>
        <w:t>基金管理人业务资格批件、营业执照；</w:t>
      </w:r>
    </w:p>
    <w:p w:rsidR="00E76EE7" w:rsidRDefault="00E2226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6. </w:t>
      </w:r>
      <w:r>
        <w:rPr>
          <w:rFonts w:asciiTheme="minorEastAsia" w:eastAsiaTheme="minorEastAsia" w:hAnsiTheme="minorEastAsia" w:hint="eastAsia"/>
          <w:color w:val="000000" w:themeColor="text1"/>
        </w:rPr>
        <w:t>基金托管人业务资格批件和营业执照。</w:t>
      </w:r>
    </w:p>
    <w:p w:rsidR="00E76EE7" w:rsidRDefault="00E76EE7">
      <w:pPr>
        <w:spacing w:line="360" w:lineRule="auto"/>
        <w:ind w:firstLineChars="200" w:firstLine="480"/>
        <w:rPr>
          <w:rFonts w:asciiTheme="minorEastAsia" w:eastAsiaTheme="minorEastAsia" w:hAnsiTheme="minorEastAsia"/>
          <w:color w:val="000000" w:themeColor="text1"/>
          <w:sz w:val="24"/>
          <w:szCs w:val="24"/>
        </w:rPr>
      </w:pPr>
    </w:p>
    <w:p w:rsidR="00E76EE7" w:rsidRDefault="00E2226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E76EE7" w:rsidRDefault="00E2226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基金管理人或基金托管人住所。</w:t>
      </w:r>
    </w:p>
    <w:p w:rsidR="00E76EE7" w:rsidRDefault="00E76EE7">
      <w:pPr>
        <w:spacing w:line="360" w:lineRule="auto"/>
        <w:ind w:firstLineChars="200" w:firstLine="480"/>
        <w:rPr>
          <w:rFonts w:asciiTheme="minorEastAsia" w:eastAsiaTheme="minorEastAsia" w:hAnsiTheme="minorEastAsia"/>
          <w:color w:val="000000" w:themeColor="text1"/>
          <w:sz w:val="24"/>
          <w:szCs w:val="24"/>
        </w:rPr>
      </w:pPr>
    </w:p>
    <w:p w:rsidR="00E76EE7" w:rsidRDefault="00E2226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E76EE7" w:rsidRDefault="00E2226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E76EE7" w:rsidRDefault="00E76EE7">
      <w:pPr>
        <w:spacing w:line="360" w:lineRule="auto"/>
        <w:ind w:left="840"/>
        <w:jc w:val="right"/>
        <w:rPr>
          <w:rFonts w:asciiTheme="minorEastAsia" w:eastAsiaTheme="minorEastAsia" w:hAnsiTheme="minorEastAsia"/>
          <w:color w:val="000000" w:themeColor="text1"/>
          <w:sz w:val="24"/>
          <w:szCs w:val="24"/>
        </w:rPr>
      </w:pPr>
    </w:p>
    <w:p w:rsidR="00E76EE7" w:rsidRDefault="00E76EE7">
      <w:pPr>
        <w:spacing w:line="360" w:lineRule="auto"/>
        <w:ind w:left="840"/>
        <w:jc w:val="right"/>
        <w:rPr>
          <w:rFonts w:asciiTheme="minorEastAsia" w:eastAsiaTheme="minorEastAsia" w:hAnsiTheme="minorEastAsia"/>
          <w:color w:val="000000" w:themeColor="text1"/>
          <w:sz w:val="24"/>
          <w:szCs w:val="24"/>
        </w:rPr>
      </w:pPr>
    </w:p>
    <w:p w:rsidR="00E76EE7" w:rsidRDefault="00E76EE7">
      <w:pPr>
        <w:spacing w:line="360" w:lineRule="auto"/>
        <w:ind w:left="840"/>
        <w:jc w:val="right"/>
        <w:rPr>
          <w:rFonts w:asciiTheme="minorEastAsia" w:eastAsiaTheme="minorEastAsia" w:hAnsiTheme="minorEastAsia"/>
          <w:color w:val="000000" w:themeColor="text1"/>
          <w:sz w:val="24"/>
          <w:szCs w:val="24"/>
        </w:rPr>
      </w:pPr>
    </w:p>
    <w:p w:rsidR="00E76EE7" w:rsidRDefault="00E76EE7">
      <w:pPr>
        <w:spacing w:line="360" w:lineRule="auto"/>
        <w:ind w:left="840"/>
        <w:jc w:val="right"/>
        <w:rPr>
          <w:rFonts w:asciiTheme="minorEastAsia" w:eastAsiaTheme="minorEastAsia" w:hAnsiTheme="minorEastAsia"/>
          <w:color w:val="000000" w:themeColor="text1"/>
          <w:sz w:val="24"/>
          <w:szCs w:val="24"/>
        </w:rPr>
      </w:pPr>
    </w:p>
    <w:p w:rsidR="00E76EE7" w:rsidRDefault="00E76EE7">
      <w:pPr>
        <w:spacing w:line="360" w:lineRule="auto"/>
        <w:ind w:left="840"/>
        <w:jc w:val="right"/>
        <w:rPr>
          <w:rFonts w:asciiTheme="minorEastAsia" w:eastAsiaTheme="minorEastAsia" w:hAnsiTheme="minorEastAsia"/>
          <w:color w:val="000000" w:themeColor="text1"/>
          <w:sz w:val="24"/>
          <w:szCs w:val="24"/>
        </w:rPr>
      </w:pPr>
    </w:p>
    <w:p w:rsidR="00E76EE7" w:rsidRDefault="00E76EE7">
      <w:pPr>
        <w:spacing w:line="360" w:lineRule="auto"/>
        <w:ind w:left="840"/>
        <w:jc w:val="right"/>
        <w:rPr>
          <w:rFonts w:asciiTheme="minorEastAsia" w:eastAsiaTheme="minorEastAsia" w:hAnsiTheme="minorEastAsia"/>
          <w:color w:val="000000" w:themeColor="text1"/>
          <w:sz w:val="24"/>
          <w:szCs w:val="24"/>
        </w:rPr>
      </w:pPr>
    </w:p>
    <w:p w:rsidR="00E76EE7" w:rsidRDefault="00E76EE7">
      <w:pPr>
        <w:spacing w:line="360" w:lineRule="auto"/>
        <w:ind w:left="840"/>
        <w:jc w:val="right"/>
        <w:rPr>
          <w:rFonts w:asciiTheme="minorEastAsia" w:eastAsiaTheme="minorEastAsia" w:hAnsiTheme="minorEastAsia"/>
          <w:color w:val="000000" w:themeColor="text1"/>
          <w:sz w:val="24"/>
          <w:szCs w:val="24"/>
        </w:rPr>
      </w:pPr>
    </w:p>
    <w:p w:rsidR="00E76EE7" w:rsidRDefault="00E76EE7">
      <w:pPr>
        <w:spacing w:line="360" w:lineRule="auto"/>
        <w:ind w:left="840"/>
        <w:jc w:val="right"/>
        <w:rPr>
          <w:rFonts w:asciiTheme="minorEastAsia" w:eastAsiaTheme="minorEastAsia" w:hAnsiTheme="minorEastAsia"/>
          <w:color w:val="000000" w:themeColor="text1"/>
          <w:sz w:val="24"/>
          <w:szCs w:val="24"/>
        </w:rPr>
      </w:pPr>
    </w:p>
    <w:p w:rsidR="00E76EE7" w:rsidRDefault="00E22261">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E76EE7" w:rsidRDefault="00E22261">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二〇二〇年一月二十日</w:t>
      </w:r>
    </w:p>
    <w:p w:rsidR="00E76EE7" w:rsidRDefault="00E76EE7">
      <w:pPr>
        <w:spacing w:line="360" w:lineRule="auto"/>
        <w:ind w:left="840"/>
        <w:jc w:val="right"/>
        <w:rPr>
          <w:rFonts w:asciiTheme="minorEastAsia" w:eastAsiaTheme="minorEastAsia" w:hAnsiTheme="minorEastAsia"/>
          <w:b/>
          <w:bCs/>
          <w:color w:val="000000" w:themeColor="text1"/>
          <w:sz w:val="24"/>
          <w:szCs w:val="24"/>
        </w:rPr>
      </w:pPr>
    </w:p>
    <w:p w:rsidR="00E76EE7" w:rsidRDefault="00E76EE7">
      <w:pPr>
        <w:rPr>
          <w:rFonts w:asciiTheme="minorEastAsia" w:eastAsiaTheme="minorEastAsia" w:hAnsiTheme="minorEastAsia"/>
          <w:color w:val="000000" w:themeColor="text1"/>
          <w:sz w:val="24"/>
          <w:szCs w:val="24"/>
        </w:rPr>
      </w:pPr>
    </w:p>
    <w:sectPr w:rsidR="00E76EE7">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22261">
      <w:r>
        <w:separator/>
      </w:r>
    </w:p>
  </w:endnote>
  <w:endnote w:type="continuationSeparator" w:id="0">
    <w:p w:rsidR="00000000" w:rsidRDefault="00E2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E7" w:rsidRDefault="00E22261">
    <w:pPr>
      <w:pStyle w:val="ac"/>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Pr="00E22261">
      <w:rPr>
        <w:noProof/>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E7" w:rsidRDefault="00E22261">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3</w:t>
    </w:r>
    <w:r>
      <w:rPr>
        <w:rStyle w:val="af3"/>
      </w:rPr>
      <w:fldChar w:fldCharType="end"/>
    </w:r>
  </w:p>
  <w:p w:rsidR="00E76EE7" w:rsidRDefault="00E76EE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22261">
      <w:r>
        <w:separator/>
      </w:r>
    </w:p>
  </w:footnote>
  <w:footnote w:type="continuationSeparator" w:id="0">
    <w:p w:rsidR="00000000" w:rsidRDefault="00E22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E7" w:rsidRDefault="00E22261">
    <w:pPr>
      <w:pStyle w:val="ad"/>
      <w:pBdr>
        <w:bottom w:val="single" w:sz="6" w:space="0" w:color="auto"/>
      </w:pBdr>
      <w:jc w:val="right"/>
    </w:pPr>
    <w:r>
      <w:rPr>
        <w:rFonts w:hint="eastAsia"/>
      </w:rPr>
      <w:t>上投摩根核心成长股票型证券投资基金</w:t>
    </w:r>
    <w:r>
      <w:rPr>
        <w:rFonts w:hint="eastAsia"/>
      </w:rPr>
      <w:t>2019</w:t>
    </w:r>
    <w:r>
      <w:rPr>
        <w:rFonts w:hint="eastAsia"/>
      </w:rPr>
      <w:t>年第</w:t>
    </w:r>
    <w:r>
      <w:rPr>
        <w:rFonts w:hint="eastAsia"/>
      </w:rPr>
      <w:t>4</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22261"/>
    <w:rsid w:val="00E44E18"/>
    <w:rsid w:val="00E54301"/>
    <w:rsid w:val="00E55ABD"/>
    <w:rsid w:val="00E60817"/>
    <w:rsid w:val="00E71F78"/>
    <w:rsid w:val="00E76EE7"/>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44D0B-337F-4FC4-8CAF-0C18B9D1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a6">
    <w:name w:val="Document Map"/>
    <w:basedOn w:val="a"/>
    <w:link w:val="Char1"/>
    <w:uiPriority w:val="99"/>
    <w:semiHidden/>
    <w:pPr>
      <w:shd w:val="clear" w:color="auto" w:fill="000080"/>
    </w:pPr>
  </w:style>
  <w:style w:type="paragraph" w:styleId="a7">
    <w:name w:val="Body Text"/>
    <w:basedOn w:val="a"/>
    <w:link w:val="Char2"/>
    <w:uiPriority w:val="99"/>
    <w:qFormat/>
    <w:pPr>
      <w:spacing w:after="120"/>
    </w:pPr>
  </w:style>
  <w:style w:type="paragraph" w:styleId="a8">
    <w:name w:val="Body Text Indent"/>
    <w:basedOn w:val="a"/>
    <w:link w:val="Char3"/>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Plain Text"/>
    <w:basedOn w:val="a"/>
    <w:link w:val="Char4"/>
    <w:uiPriority w:val="99"/>
    <w:rPr>
      <w:rFonts w:ascii="宋体" w:hAnsi="Courier New" w:cs="宋体"/>
    </w:rPr>
  </w:style>
  <w:style w:type="paragraph" w:styleId="aa">
    <w:name w:val="Date"/>
    <w:basedOn w:val="a"/>
    <w:next w:val="a"/>
    <w:link w:val="Char5"/>
    <w:qFormat/>
    <w:rPr>
      <w:sz w:val="24"/>
      <w:szCs w:val="24"/>
    </w:rPr>
  </w:style>
  <w:style w:type="paragraph" w:styleId="20">
    <w:name w:val="Body Text Indent 2"/>
    <w:basedOn w:val="a"/>
    <w:link w:val="2Char0"/>
    <w:uiPriority w:val="99"/>
    <w:qFormat/>
    <w:pPr>
      <w:spacing w:line="560" w:lineRule="exact"/>
      <w:ind w:firstLineChars="200" w:firstLine="480"/>
    </w:pPr>
    <w:rPr>
      <w:rFonts w:ascii="宋体" w:hAnsi="宋体" w:cs="宋体"/>
      <w:color w:val="FF0000"/>
      <w:sz w:val="24"/>
      <w:szCs w:val="24"/>
    </w:rPr>
  </w:style>
  <w:style w:type="paragraph" w:styleId="ab">
    <w:name w:val="Balloon Text"/>
    <w:basedOn w:val="a"/>
    <w:link w:val="Char6"/>
    <w:uiPriority w:val="99"/>
    <w:semiHidden/>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pPr>
      <w:pBdr>
        <w:bottom w:val="single" w:sz="6" w:space="1" w:color="auto"/>
      </w:pBdr>
      <w:tabs>
        <w:tab w:val="center" w:pos="4153"/>
        <w:tab w:val="right" w:pos="8306"/>
      </w:tabs>
      <w:snapToGrid w:val="0"/>
      <w:jc w:val="center"/>
    </w:pPr>
    <w:rPr>
      <w:sz w:val="18"/>
      <w:szCs w:val="18"/>
    </w:rPr>
  </w:style>
  <w:style w:type="paragraph" w:styleId="ae">
    <w:name w:val="List"/>
    <w:basedOn w:val="a7"/>
    <w:uiPriority w:val="99"/>
    <w:pPr>
      <w:spacing w:after="220" w:line="220" w:lineRule="atLeast"/>
      <w:ind w:left="1440" w:hanging="360"/>
    </w:pPr>
  </w:style>
  <w:style w:type="paragraph" w:styleId="af">
    <w:name w:val="footnote text"/>
    <w:basedOn w:val="a"/>
    <w:link w:val="Char9"/>
    <w:pPr>
      <w:snapToGrid w:val="0"/>
      <w:jc w:val="left"/>
    </w:pPr>
    <w:rPr>
      <w:sz w:val="18"/>
      <w:szCs w:val="18"/>
    </w:rPr>
  </w:style>
  <w:style w:type="paragraph" w:styleId="30">
    <w:name w:val="Body Text Indent 3"/>
    <w:basedOn w:val="a"/>
    <w:link w:val="3Char0"/>
    <w:uiPriority w:val="99"/>
    <w:pPr>
      <w:spacing w:line="560" w:lineRule="exact"/>
      <w:ind w:firstLineChars="200" w:firstLine="420"/>
    </w:pPr>
    <w:rPr>
      <w:rFonts w:ascii="Arial" w:hAnsi="Arial" w:cs="Arial"/>
      <w:color w:val="FF0000"/>
    </w:rPr>
  </w:style>
  <w:style w:type="paragraph" w:styleId="af0">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qFormat/>
    <w:pPr>
      <w:jc w:val="right"/>
    </w:pPr>
    <w:rPr>
      <w:color w:val="008000"/>
    </w:rPr>
  </w:style>
  <w:style w:type="paragraph" w:styleId="af1">
    <w:name w:val="Title"/>
    <w:basedOn w:val="a"/>
    <w:next w:val="a"/>
    <w:link w:val="Chara"/>
    <w:uiPriority w:val="99"/>
    <w:qFormat/>
    <w:pPr>
      <w:spacing w:before="240" w:after="60"/>
      <w:jc w:val="center"/>
      <w:outlineLvl w:val="0"/>
    </w:pPr>
    <w:rPr>
      <w:rFonts w:ascii="Cambria" w:hAnsi="Cambria" w:cs="Cambria"/>
      <w:b/>
      <w:bCs/>
      <w:sz w:val="32"/>
      <w:szCs w:val="32"/>
    </w:rPr>
  </w:style>
  <w:style w:type="character" w:styleId="af2">
    <w:name w:val="Strong"/>
    <w:basedOn w:val="a1"/>
    <w:uiPriority w:val="22"/>
    <w:qFormat/>
    <w:rPr>
      <w:b/>
      <w:bCs/>
    </w:rPr>
  </w:style>
  <w:style w:type="character" w:styleId="af3">
    <w:name w:val="page number"/>
    <w:basedOn w:val="a1"/>
    <w:uiPriority w:val="99"/>
  </w:style>
  <w:style w:type="character" w:styleId="af4">
    <w:name w:val="FollowedHyperlink"/>
    <w:basedOn w:val="a1"/>
    <w:uiPriority w:val="99"/>
    <w:qFormat/>
    <w:rPr>
      <w:color w:val="800080"/>
      <w:u w:val="single"/>
    </w:rPr>
  </w:style>
  <w:style w:type="character" w:styleId="af5">
    <w:name w:val="Hyperlink"/>
    <w:basedOn w:val="a1"/>
    <w:uiPriority w:val="99"/>
    <w:rPr>
      <w:color w:val="0000FF"/>
      <w:u w:val="single"/>
    </w:rPr>
  </w:style>
  <w:style w:type="character" w:styleId="af6">
    <w:name w:val="annotation reference"/>
    <w:basedOn w:val="a1"/>
    <w:uiPriority w:val="99"/>
    <w:semiHidden/>
    <w:qFormat/>
    <w:rPr>
      <w:sz w:val="21"/>
      <w:szCs w:val="21"/>
    </w:rPr>
  </w:style>
  <w:style w:type="character" w:styleId="af7">
    <w:name w:val="footnote reference"/>
    <w:basedOn w:val="a1"/>
    <w:rPr>
      <w:vertAlign w:val="superscript"/>
    </w:rPr>
  </w:style>
  <w:style w:type="table" w:styleId="af8">
    <w:name w:val="Table Grid"/>
    <w:basedOn w:val="a2"/>
    <w:uiPriority w:val="9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Pr>
      <w:rFonts w:ascii="Times New Roman" w:eastAsia="宋体" w:hAnsi="Times New Roman" w:cs="Times New Roman"/>
      <w:b/>
      <w:bCs/>
      <w:kern w:val="44"/>
      <w:sz w:val="44"/>
      <w:szCs w:val="44"/>
    </w:rPr>
  </w:style>
  <w:style w:type="character" w:customStyle="1" w:styleId="2Char">
    <w:name w:val="标题 2 Char"/>
    <w:basedOn w:val="a1"/>
    <w:link w:val="2"/>
    <w:uiPriority w:val="99"/>
    <w:rPr>
      <w:rFonts w:ascii="Arial" w:eastAsia="宋体" w:hAnsi="Arial" w:cs="Arial"/>
      <w:b/>
      <w:bCs/>
      <w:sz w:val="24"/>
      <w:szCs w:val="24"/>
    </w:rPr>
  </w:style>
  <w:style w:type="character" w:customStyle="1" w:styleId="3Char">
    <w:name w:val="标题 3 Char"/>
    <w:basedOn w:val="a1"/>
    <w:link w:val="3"/>
    <w:uiPriority w:val="99"/>
    <w:rPr>
      <w:rFonts w:ascii="Times New Roman" w:eastAsia="宋体" w:hAnsi="Times New Roman" w:cs="Times New Roman"/>
      <w:b/>
      <w:bCs/>
      <w:sz w:val="32"/>
      <w:szCs w:val="32"/>
    </w:rPr>
  </w:style>
  <w:style w:type="character" w:customStyle="1" w:styleId="Char3">
    <w:name w:val="正文文本缩进 Char"/>
    <w:basedOn w:val="a1"/>
    <w:link w:val="a8"/>
    <w:uiPriority w:val="99"/>
    <w:rPr>
      <w:rFonts w:ascii="Arial Unicode MS" w:eastAsia="Arial Unicode MS" w:hAnsi="Arial Unicode MS" w:cs="Arial Unicode MS"/>
      <w:kern w:val="0"/>
      <w:sz w:val="24"/>
      <w:szCs w:val="24"/>
    </w:rPr>
  </w:style>
  <w:style w:type="character" w:customStyle="1" w:styleId="Char4">
    <w:name w:val="纯文本 Char"/>
    <w:basedOn w:val="a1"/>
    <w:link w:val="a9"/>
    <w:uiPriority w:val="99"/>
    <w:rPr>
      <w:rFonts w:ascii="宋体" w:eastAsia="宋体" w:hAnsi="Courier New" w:cs="宋体"/>
      <w:szCs w:val="21"/>
    </w:rPr>
  </w:style>
  <w:style w:type="character" w:customStyle="1" w:styleId="2Char0">
    <w:name w:val="正文文本缩进 2 Char"/>
    <w:basedOn w:val="a1"/>
    <w:link w:val="20"/>
    <w:uiPriority w:val="99"/>
    <w:rPr>
      <w:rFonts w:ascii="宋体" w:eastAsia="宋体" w:hAnsi="宋体" w:cs="宋体"/>
      <w:color w:val="FF0000"/>
      <w:sz w:val="24"/>
      <w:szCs w:val="24"/>
    </w:rPr>
  </w:style>
  <w:style w:type="character" w:customStyle="1" w:styleId="Char7">
    <w:name w:val="页脚 Char"/>
    <w:basedOn w:val="a1"/>
    <w:link w:val="ac"/>
    <w:uiPriority w:val="99"/>
    <w:rPr>
      <w:rFonts w:ascii="Times New Roman" w:eastAsia="宋体" w:hAnsi="Times New Roman" w:cs="Times New Roman"/>
      <w:sz w:val="18"/>
      <w:szCs w:val="18"/>
    </w:rPr>
  </w:style>
  <w:style w:type="character" w:customStyle="1" w:styleId="3Char0">
    <w:name w:val="正文文本缩进 3 Char"/>
    <w:basedOn w:val="a1"/>
    <w:link w:val="30"/>
    <w:uiPriority w:val="99"/>
    <w:rPr>
      <w:rFonts w:ascii="Arial" w:eastAsia="宋体" w:hAnsi="Arial" w:cs="Arial"/>
      <w:color w:val="FF0000"/>
      <w:szCs w:val="21"/>
    </w:rPr>
  </w:style>
  <w:style w:type="character" w:customStyle="1" w:styleId="Char8">
    <w:name w:val="页眉 Char"/>
    <w:basedOn w:val="a1"/>
    <w:link w:val="ad"/>
    <w:uiPriority w:val="99"/>
    <w:rPr>
      <w:rFonts w:ascii="Times New Roman" w:eastAsia="宋体" w:hAnsi="Times New Roman" w:cs="Times New Roman"/>
      <w:sz w:val="18"/>
      <w:szCs w:val="18"/>
    </w:rPr>
  </w:style>
  <w:style w:type="character" w:customStyle="1" w:styleId="Char2">
    <w:name w:val="正文文本 Char"/>
    <w:basedOn w:val="a1"/>
    <w:link w:val="a7"/>
    <w:uiPriority w:val="99"/>
    <w:qFormat/>
    <w:rPr>
      <w:rFonts w:ascii="Times New Roman" w:eastAsia="宋体" w:hAnsi="Times New Roman" w:cs="Times New Roman"/>
      <w:szCs w:val="21"/>
    </w:rPr>
  </w:style>
  <w:style w:type="character" w:customStyle="1" w:styleId="Char5">
    <w:name w:val="日期 Char"/>
    <w:basedOn w:val="a1"/>
    <w:link w:val="aa"/>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Char6">
    <w:name w:val="批注框文本 Char"/>
    <w:basedOn w:val="a1"/>
    <w:link w:val="ab"/>
    <w:uiPriority w:val="99"/>
    <w:semiHidden/>
    <w:qFormat/>
    <w:rPr>
      <w:rFonts w:ascii="Times New Roman" w:eastAsia="宋体" w:hAnsi="Times New Roman" w:cs="Times New Roman"/>
      <w:sz w:val="18"/>
      <w:szCs w:val="18"/>
    </w:rPr>
  </w:style>
  <w:style w:type="character" w:customStyle="1" w:styleId="Char0">
    <w:name w:val="批注文字 Char"/>
    <w:basedOn w:val="a1"/>
    <w:link w:val="a5"/>
    <w:uiPriority w:val="99"/>
    <w:semiHidden/>
    <w:qFormat/>
    <w:rPr>
      <w:rFonts w:ascii="Times New Roman" w:eastAsia="宋体" w:hAnsi="Times New Roman" w:cs="Times New Roman"/>
      <w:szCs w:val="21"/>
    </w:rPr>
  </w:style>
  <w:style w:type="character" w:customStyle="1" w:styleId="Char">
    <w:name w:val="批注主题 Char"/>
    <w:basedOn w:val="Char0"/>
    <w:link w:val="a4"/>
    <w:uiPriority w:val="99"/>
    <w:semiHidden/>
    <w:qFormat/>
    <w:rPr>
      <w:rFonts w:ascii="Times New Roman" w:eastAsia="宋体" w:hAnsi="Times New Roman" w:cs="Times New Roman"/>
      <w:b/>
      <w:bCs/>
      <w:szCs w:val="21"/>
    </w:rPr>
  </w:style>
  <w:style w:type="paragraph" w:customStyle="1" w:styleId="Charb">
    <w:name w:val="Char"/>
    <w:basedOn w:val="a"/>
    <w:uiPriority w:val="99"/>
    <w:qFormat/>
  </w:style>
  <w:style w:type="character" w:customStyle="1" w:styleId="Char1">
    <w:name w:val="文档结构图 Char"/>
    <w:basedOn w:val="a1"/>
    <w:link w:val="a6"/>
    <w:uiPriority w:val="99"/>
    <w:semiHidden/>
    <w:rPr>
      <w:rFonts w:ascii="Times New Roman" w:eastAsia="宋体" w:hAnsi="Times New Roman" w:cs="Times New Roman"/>
      <w:szCs w:val="21"/>
      <w:shd w:val="clear" w:color="auto" w:fill="000080"/>
    </w:rPr>
  </w:style>
  <w:style w:type="paragraph" w:customStyle="1" w:styleId="af9">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Char9">
    <w:name w:val="脚注文本 Char"/>
    <w:basedOn w:val="a1"/>
    <w:link w:val="af"/>
    <w:rPr>
      <w:rFonts w:ascii="Times New Roman" w:eastAsia="宋体" w:hAnsi="Times New Roman" w:cs="Times New Roman"/>
      <w:sz w:val="18"/>
      <w:szCs w:val="18"/>
    </w:rPr>
  </w:style>
  <w:style w:type="paragraph" w:customStyle="1" w:styleId="Char10">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Chara">
    <w:name w:val="标题 Char"/>
    <w:basedOn w:val="a1"/>
    <w:link w:val="af1"/>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1">
    <w:name w:val="无间隔1"/>
    <w:link w:val="Charc"/>
    <w:uiPriority w:val="1"/>
    <w:qFormat/>
    <w:rPr>
      <w:rFonts w:ascii="Calibri" w:eastAsia="宋体" w:hAnsi="Calibri" w:cs="Calibri"/>
      <w:sz w:val="22"/>
      <w:szCs w:val="22"/>
    </w:rPr>
  </w:style>
  <w:style w:type="character" w:customStyle="1" w:styleId="Charc">
    <w:name w:val="无间隔 Char"/>
    <w:basedOn w:val="a1"/>
    <w:link w:val="11"/>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2">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6A43D4-64A2-4636-A030-4FC9A1C0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921</Words>
  <Characters>5252</Characters>
  <Application>Microsoft Office Word</Application>
  <DocSecurity>0</DocSecurity>
  <Lines>43</Lines>
  <Paragraphs>12</Paragraphs>
  <ScaleCrop>false</ScaleCrop>
  <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WenYu Qiu</cp:lastModifiedBy>
  <cp:revision>265</cp:revision>
  <dcterms:created xsi:type="dcterms:W3CDTF">2012-10-16T06:07:00Z</dcterms:created>
  <dcterms:modified xsi:type="dcterms:W3CDTF">2020-01-16T10:54:00Z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