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上投摩根核心成长股票型证券投资基金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r w:rsidR="00952F5E">
        <w:rPr>
          <w:rFonts w:eastAsiaTheme="minorEastAsia" w:hint="eastAsia"/>
          <w:b/>
          <w:sz w:val="36"/>
          <w:szCs w:val="36"/>
        </w:rPr>
        <w:t>摘要</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374540537"/>
      <w:bookmarkStart w:id="2" w:name="_Toc22549824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37454053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3779EB" w:rsidRDefault="00815304">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3779EB" w:rsidRDefault="00815304">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3779EB" w:rsidRDefault="00815304">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52F5E" w:rsidRDefault="00815304">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3779EB" w:rsidRDefault="00952F5E">
      <w:pPr>
        <w:spacing w:line="360" w:lineRule="auto"/>
        <w:ind w:firstLineChars="200" w:firstLine="420"/>
        <w:rPr>
          <w:rFonts w:eastAsiaTheme="minorEastAsia"/>
          <w:szCs w:val="21"/>
        </w:rPr>
      </w:pPr>
      <w:r>
        <w:rPr>
          <w:rFonts w:hAnsi="宋体" w:hint="eastAsia"/>
          <w:color w:val="000000"/>
          <w:kern w:val="0"/>
          <w:szCs w:val="21"/>
        </w:rPr>
        <w:t>本半年度报告摘要摘自半年度报告正文，投资者欲了解详细内容，应阅读半年度报告正文。</w:t>
      </w:r>
      <w:r w:rsidR="00815304">
        <w:rPr>
          <w:rFonts w:eastAsiaTheme="minorEastAsia"/>
          <w:color w:val="000000"/>
          <w:szCs w:val="21"/>
        </w:rPr>
        <w:t xml:space="preserve"> </w:t>
      </w:r>
    </w:p>
    <w:p w:rsidR="003779EB" w:rsidRDefault="00815304">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rsidP="00C15E25">
      <w:pPr>
        <w:spacing w:line="288" w:lineRule="auto"/>
        <w:rPr>
          <w:rFonts w:eastAsiaTheme="minorEastAsia"/>
          <w:b/>
          <w:color w:val="000000"/>
          <w:kern w:val="0"/>
          <w:szCs w:val="21"/>
        </w:rPr>
      </w:pPr>
      <w:r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374540539"/>
      <w:bookmarkStart w:id="5" w:name="_Toc225498244"/>
      <w:r w:rsidRPr="00C56F63">
        <w:rPr>
          <w:rFonts w:eastAsiaTheme="minorEastAsia"/>
          <w:b/>
          <w:bCs/>
          <w:sz w:val="21"/>
          <w:szCs w:val="21"/>
          <w:lang w:val="en-US"/>
        </w:rPr>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上投摩根核心成长股票</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000457</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000457</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2014</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10</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2,559,101,310.78</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7" w:name="_Toc390421230"/>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本基金将充分利用管理人的投资研究平台，通过系统和深入的基本面研究，选择公司治理良好且具有较高增长潜力的公司进行投资，力争实现基金资产的长期稳定增值。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本基金采用</w:t>
            </w:r>
            <w:r w:rsidRPr="00C56F63">
              <w:rPr>
                <w:rFonts w:eastAsiaTheme="minorEastAsia"/>
                <w:szCs w:val="21"/>
              </w:rPr>
              <w:t>“</w:t>
            </w:r>
            <w:r w:rsidRPr="00C56F63">
              <w:rPr>
                <w:rFonts w:eastAsiaTheme="minorEastAsia"/>
                <w:szCs w:val="21"/>
              </w:rPr>
              <w:t>自下而上</w:t>
            </w:r>
            <w:r w:rsidRPr="00C56F63">
              <w:rPr>
                <w:rFonts w:eastAsiaTheme="minorEastAsia"/>
                <w:szCs w:val="21"/>
              </w:rPr>
              <w:t>”</w:t>
            </w:r>
            <w:r w:rsidRPr="00C56F63">
              <w:rPr>
                <w:rFonts w:eastAsiaTheme="minorEastAsia"/>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×85%+</w:t>
            </w:r>
            <w:r w:rsidRPr="00C56F63">
              <w:rPr>
                <w:rFonts w:eastAsiaTheme="minorEastAsia"/>
                <w:szCs w:val="21"/>
              </w:rPr>
              <w:t>中债总指数收益率</w:t>
            </w:r>
            <w:r w:rsidRPr="00C56F63">
              <w:rPr>
                <w:rFonts w:eastAsiaTheme="minorEastAsia"/>
                <w:szCs w:val="21"/>
              </w:rPr>
              <w:t>×15%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3779EB" w:rsidRDefault="00815304">
            <w:pPr>
              <w:rPr>
                <w:rFonts w:eastAsiaTheme="minorEastAsia"/>
                <w:szCs w:val="21"/>
              </w:rPr>
            </w:pPr>
            <w:r>
              <w:rPr>
                <w:rFonts w:eastAsiaTheme="minorEastAsia"/>
                <w:szCs w:val="21"/>
              </w:rPr>
              <w:t>本基金属于股票型基金产品，预期风险和收益水平高于混合型基金、债券型基金和货币市场基金</w:t>
            </w:r>
            <w:r>
              <w:rPr>
                <w:rFonts w:eastAsiaTheme="minorEastAsia"/>
                <w:szCs w:val="21"/>
              </w:rPr>
              <w:t xml:space="preserve"> </w:t>
            </w:r>
            <w:r>
              <w:rPr>
                <w:rFonts w:eastAsiaTheme="minorEastAsia"/>
                <w:szCs w:val="21"/>
              </w:rPr>
              <w:t>，属于较高风险收益水平的基金产品。</w:t>
            </w:r>
          </w:p>
          <w:p w:rsidR="006B65E1" w:rsidRPr="00C56F63" w:rsidRDefault="00945F2E">
            <w:pPr>
              <w:rPr>
                <w:rFonts w:eastAsiaTheme="minorEastAsia"/>
                <w:szCs w:val="21"/>
              </w:rPr>
            </w:pPr>
            <w:r w:rsidRPr="00C56F63">
              <w:rPr>
                <w:rFonts w:eastAsiaTheme="minorEastAsia"/>
                <w:szCs w:val="21"/>
              </w:rPr>
              <w:t>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8" w:name="_Toc225498247"/>
      <w:bookmarkStart w:id="9" w:name="_Toc390421231"/>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8"/>
      <w:bookmarkEnd w:id="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王永民</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010-66594896</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fcid@bankofchina.com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95566</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010-66594942</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 w:name="_Toc390421232"/>
      <w:bookmarkStart w:id="11" w:name="_Toc225498248"/>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0"/>
      <w:bookmarkEnd w:id="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 w:name="_Toc225498250"/>
      <w:bookmarkStart w:id="13" w:name="_Toc374540545"/>
      <w:bookmarkStart w:id="14" w:name="_Toc194312019"/>
      <w:bookmarkStart w:id="15"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2"/>
      <w:bookmarkEnd w:id="13"/>
    </w:p>
    <w:p w:rsidR="006B65E1" w:rsidRPr="00C56F63" w:rsidRDefault="00945F2E">
      <w:pPr>
        <w:pStyle w:val="2"/>
        <w:spacing w:before="0" w:after="0"/>
        <w:rPr>
          <w:rFonts w:ascii="Times New Roman" w:eastAsiaTheme="minorEastAsia" w:hAnsi="Times New Roman"/>
          <w:kern w:val="0"/>
          <w:sz w:val="21"/>
          <w:szCs w:val="21"/>
        </w:rPr>
      </w:pPr>
      <w:bookmarkStart w:id="16" w:name="_Toc286996129"/>
      <w:bookmarkStart w:id="17" w:name="_Toc390421235"/>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16"/>
      <w:bookmarkEnd w:id="1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-413,419,405.40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1,050,080,633.40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0.3671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29.35%</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-0.0052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3,959,477,602.44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1.547</w:t>
            </w:r>
          </w:p>
        </w:tc>
      </w:tr>
    </w:tbl>
    <w:bookmarkEnd w:id="14"/>
    <w:bookmarkEnd w:id="15"/>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18" w:name="_Toc390421236"/>
      <w:bookmarkStart w:id="19" w:name="_Toc225498252"/>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18"/>
      <w:bookmarkEnd w:id="19"/>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3779EB">
        <w:tc>
          <w:tcPr>
            <w:tcW w:w="1620" w:type="dxa"/>
            <w:vAlign w:val="center"/>
          </w:tcPr>
          <w:p w:rsidR="003779EB" w:rsidRDefault="00815304">
            <w:pPr>
              <w:jc w:val="left"/>
            </w:pPr>
            <w:r>
              <w:rPr>
                <w:rFonts w:eastAsiaTheme="minorEastAsia"/>
                <w:color w:val="000000"/>
                <w:szCs w:val="21"/>
              </w:rPr>
              <w:t>过去一个月</w:t>
            </w:r>
          </w:p>
        </w:tc>
        <w:tc>
          <w:tcPr>
            <w:tcW w:w="1350" w:type="dxa"/>
            <w:vAlign w:val="center"/>
          </w:tcPr>
          <w:p w:rsidR="003779EB" w:rsidRDefault="00815304">
            <w:pPr>
              <w:jc w:val="center"/>
            </w:pPr>
            <w:r>
              <w:rPr>
                <w:rFonts w:eastAsiaTheme="minorEastAsia"/>
                <w:color w:val="000000"/>
                <w:szCs w:val="21"/>
              </w:rPr>
              <w:t>5.67%</w:t>
            </w:r>
          </w:p>
        </w:tc>
        <w:tc>
          <w:tcPr>
            <w:tcW w:w="1350" w:type="dxa"/>
            <w:vAlign w:val="center"/>
          </w:tcPr>
          <w:p w:rsidR="003779EB" w:rsidRDefault="00815304">
            <w:pPr>
              <w:jc w:val="center"/>
            </w:pPr>
            <w:r>
              <w:rPr>
                <w:rFonts w:eastAsiaTheme="minorEastAsia"/>
                <w:color w:val="000000"/>
                <w:szCs w:val="21"/>
              </w:rPr>
              <w:t>1.30%</w:t>
            </w:r>
          </w:p>
        </w:tc>
        <w:tc>
          <w:tcPr>
            <w:tcW w:w="1350" w:type="dxa"/>
            <w:vAlign w:val="center"/>
          </w:tcPr>
          <w:p w:rsidR="003779EB" w:rsidRDefault="00815304">
            <w:pPr>
              <w:jc w:val="center"/>
            </w:pPr>
            <w:r>
              <w:rPr>
                <w:rFonts w:eastAsiaTheme="minorEastAsia"/>
                <w:color w:val="000000"/>
                <w:szCs w:val="21"/>
              </w:rPr>
              <w:t>4.66%</w:t>
            </w:r>
          </w:p>
        </w:tc>
        <w:tc>
          <w:tcPr>
            <w:tcW w:w="1350" w:type="dxa"/>
            <w:vAlign w:val="center"/>
          </w:tcPr>
          <w:p w:rsidR="003779EB" w:rsidRDefault="00815304">
            <w:pPr>
              <w:jc w:val="center"/>
            </w:pPr>
            <w:r>
              <w:rPr>
                <w:rFonts w:eastAsiaTheme="minorEastAsia"/>
                <w:color w:val="000000"/>
                <w:szCs w:val="21"/>
              </w:rPr>
              <w:t>0.98%</w:t>
            </w:r>
          </w:p>
        </w:tc>
        <w:tc>
          <w:tcPr>
            <w:tcW w:w="1350" w:type="dxa"/>
            <w:vAlign w:val="center"/>
          </w:tcPr>
          <w:p w:rsidR="003779EB" w:rsidRDefault="00815304">
            <w:pPr>
              <w:jc w:val="center"/>
            </w:pPr>
            <w:r>
              <w:rPr>
                <w:rFonts w:eastAsiaTheme="minorEastAsia"/>
                <w:color w:val="000000"/>
                <w:szCs w:val="21"/>
              </w:rPr>
              <w:t>1.01%</w:t>
            </w:r>
          </w:p>
        </w:tc>
        <w:tc>
          <w:tcPr>
            <w:tcW w:w="1350" w:type="dxa"/>
            <w:vAlign w:val="center"/>
          </w:tcPr>
          <w:p w:rsidR="003779EB" w:rsidRDefault="00815304">
            <w:pPr>
              <w:jc w:val="center"/>
            </w:pPr>
            <w:r>
              <w:rPr>
                <w:rFonts w:eastAsiaTheme="minorEastAsia"/>
                <w:color w:val="000000"/>
                <w:szCs w:val="21"/>
              </w:rPr>
              <w:t>0.32%</w:t>
            </w:r>
          </w:p>
        </w:tc>
      </w:tr>
      <w:tr w:rsidR="003779EB">
        <w:tc>
          <w:tcPr>
            <w:tcW w:w="1620" w:type="dxa"/>
            <w:vAlign w:val="center"/>
          </w:tcPr>
          <w:p w:rsidR="003779EB" w:rsidRDefault="00815304">
            <w:pPr>
              <w:jc w:val="left"/>
            </w:pPr>
            <w:r>
              <w:rPr>
                <w:rFonts w:eastAsiaTheme="minorEastAsia"/>
                <w:color w:val="000000"/>
                <w:szCs w:val="21"/>
              </w:rPr>
              <w:t>过去三个月</w:t>
            </w:r>
          </w:p>
        </w:tc>
        <w:tc>
          <w:tcPr>
            <w:tcW w:w="1350" w:type="dxa"/>
            <w:vAlign w:val="center"/>
          </w:tcPr>
          <w:p w:rsidR="003779EB" w:rsidRDefault="00815304">
            <w:pPr>
              <w:jc w:val="center"/>
            </w:pPr>
            <w:r>
              <w:rPr>
                <w:rFonts w:eastAsiaTheme="minorEastAsia"/>
                <w:color w:val="000000"/>
                <w:szCs w:val="21"/>
              </w:rPr>
              <w:t>-1.28%</w:t>
            </w:r>
          </w:p>
        </w:tc>
        <w:tc>
          <w:tcPr>
            <w:tcW w:w="1350" w:type="dxa"/>
            <w:vAlign w:val="center"/>
          </w:tcPr>
          <w:p w:rsidR="003779EB" w:rsidRDefault="00815304">
            <w:pPr>
              <w:jc w:val="center"/>
            </w:pPr>
            <w:r>
              <w:rPr>
                <w:rFonts w:eastAsiaTheme="minorEastAsia"/>
                <w:color w:val="000000"/>
                <w:szCs w:val="21"/>
              </w:rPr>
              <w:t>1.53%</w:t>
            </w:r>
          </w:p>
        </w:tc>
        <w:tc>
          <w:tcPr>
            <w:tcW w:w="1350" w:type="dxa"/>
            <w:vAlign w:val="center"/>
          </w:tcPr>
          <w:p w:rsidR="003779EB" w:rsidRDefault="00815304">
            <w:pPr>
              <w:jc w:val="center"/>
            </w:pPr>
            <w:r>
              <w:rPr>
                <w:rFonts w:eastAsiaTheme="minorEastAsia"/>
                <w:color w:val="000000"/>
                <w:szCs w:val="21"/>
              </w:rPr>
              <w:t>-1.11%</w:t>
            </w:r>
          </w:p>
        </w:tc>
        <w:tc>
          <w:tcPr>
            <w:tcW w:w="1350" w:type="dxa"/>
            <w:vAlign w:val="center"/>
          </w:tcPr>
          <w:p w:rsidR="003779EB" w:rsidRDefault="00815304">
            <w:pPr>
              <w:jc w:val="center"/>
            </w:pPr>
            <w:r>
              <w:rPr>
                <w:rFonts w:eastAsiaTheme="minorEastAsia"/>
                <w:color w:val="000000"/>
                <w:szCs w:val="21"/>
              </w:rPr>
              <w:t>1.30%</w:t>
            </w:r>
          </w:p>
        </w:tc>
        <w:tc>
          <w:tcPr>
            <w:tcW w:w="1350" w:type="dxa"/>
            <w:vAlign w:val="center"/>
          </w:tcPr>
          <w:p w:rsidR="003779EB" w:rsidRDefault="00815304">
            <w:pPr>
              <w:jc w:val="center"/>
            </w:pPr>
            <w:r>
              <w:rPr>
                <w:rFonts w:eastAsiaTheme="minorEastAsia"/>
                <w:color w:val="000000"/>
                <w:szCs w:val="21"/>
              </w:rPr>
              <w:t>-0.17%</w:t>
            </w:r>
          </w:p>
        </w:tc>
        <w:tc>
          <w:tcPr>
            <w:tcW w:w="1350" w:type="dxa"/>
            <w:vAlign w:val="center"/>
          </w:tcPr>
          <w:p w:rsidR="003779EB" w:rsidRDefault="00815304">
            <w:pPr>
              <w:jc w:val="center"/>
            </w:pPr>
            <w:r>
              <w:rPr>
                <w:rFonts w:eastAsiaTheme="minorEastAsia"/>
                <w:color w:val="000000"/>
                <w:szCs w:val="21"/>
              </w:rPr>
              <w:t>0.23%</w:t>
            </w:r>
          </w:p>
        </w:tc>
      </w:tr>
      <w:tr w:rsidR="003779EB">
        <w:tc>
          <w:tcPr>
            <w:tcW w:w="1620" w:type="dxa"/>
            <w:vAlign w:val="center"/>
          </w:tcPr>
          <w:p w:rsidR="003779EB" w:rsidRDefault="00815304">
            <w:pPr>
              <w:jc w:val="left"/>
            </w:pPr>
            <w:r>
              <w:rPr>
                <w:rFonts w:eastAsiaTheme="minorEastAsia"/>
                <w:color w:val="000000"/>
                <w:szCs w:val="21"/>
              </w:rPr>
              <w:t>过去六个月</w:t>
            </w:r>
          </w:p>
        </w:tc>
        <w:tc>
          <w:tcPr>
            <w:tcW w:w="1350" w:type="dxa"/>
            <w:vAlign w:val="center"/>
          </w:tcPr>
          <w:p w:rsidR="003779EB" w:rsidRDefault="00815304">
            <w:pPr>
              <w:jc w:val="center"/>
            </w:pPr>
            <w:r>
              <w:rPr>
                <w:rFonts w:eastAsiaTheme="minorEastAsia"/>
                <w:color w:val="000000"/>
                <w:szCs w:val="21"/>
              </w:rPr>
              <w:t>29.35%</w:t>
            </w:r>
          </w:p>
        </w:tc>
        <w:tc>
          <w:tcPr>
            <w:tcW w:w="1350" w:type="dxa"/>
            <w:vAlign w:val="center"/>
          </w:tcPr>
          <w:p w:rsidR="003779EB" w:rsidRDefault="00815304">
            <w:pPr>
              <w:jc w:val="center"/>
            </w:pPr>
            <w:r>
              <w:rPr>
                <w:rFonts w:eastAsiaTheme="minorEastAsia"/>
                <w:color w:val="000000"/>
                <w:szCs w:val="21"/>
              </w:rPr>
              <w:t>1.50%</w:t>
            </w:r>
          </w:p>
        </w:tc>
        <w:tc>
          <w:tcPr>
            <w:tcW w:w="1350" w:type="dxa"/>
            <w:vAlign w:val="center"/>
          </w:tcPr>
          <w:p w:rsidR="003779EB" w:rsidRDefault="00815304">
            <w:pPr>
              <w:jc w:val="center"/>
            </w:pPr>
            <w:r>
              <w:rPr>
                <w:rFonts w:eastAsiaTheme="minorEastAsia"/>
                <w:color w:val="000000"/>
                <w:szCs w:val="21"/>
              </w:rPr>
              <w:t>22.95%</w:t>
            </w:r>
          </w:p>
        </w:tc>
        <w:tc>
          <w:tcPr>
            <w:tcW w:w="1350" w:type="dxa"/>
            <w:vAlign w:val="center"/>
          </w:tcPr>
          <w:p w:rsidR="003779EB" w:rsidRDefault="00815304">
            <w:pPr>
              <w:jc w:val="center"/>
            </w:pPr>
            <w:r>
              <w:rPr>
                <w:rFonts w:eastAsiaTheme="minorEastAsia"/>
                <w:color w:val="000000"/>
                <w:szCs w:val="21"/>
              </w:rPr>
              <w:t>1.31%</w:t>
            </w:r>
          </w:p>
        </w:tc>
        <w:tc>
          <w:tcPr>
            <w:tcW w:w="1350" w:type="dxa"/>
            <w:vAlign w:val="center"/>
          </w:tcPr>
          <w:p w:rsidR="003779EB" w:rsidRDefault="00815304">
            <w:pPr>
              <w:jc w:val="center"/>
            </w:pPr>
            <w:r>
              <w:rPr>
                <w:rFonts w:eastAsiaTheme="minorEastAsia"/>
                <w:color w:val="000000"/>
                <w:szCs w:val="21"/>
              </w:rPr>
              <w:t>6.40%</w:t>
            </w:r>
          </w:p>
        </w:tc>
        <w:tc>
          <w:tcPr>
            <w:tcW w:w="1350" w:type="dxa"/>
            <w:vAlign w:val="center"/>
          </w:tcPr>
          <w:p w:rsidR="003779EB" w:rsidRDefault="00815304">
            <w:pPr>
              <w:jc w:val="center"/>
            </w:pPr>
            <w:r>
              <w:rPr>
                <w:rFonts w:eastAsiaTheme="minorEastAsia"/>
                <w:color w:val="000000"/>
                <w:szCs w:val="21"/>
              </w:rPr>
              <w:t>0.19%</w:t>
            </w:r>
          </w:p>
        </w:tc>
      </w:tr>
      <w:tr w:rsidR="003779EB">
        <w:tc>
          <w:tcPr>
            <w:tcW w:w="1620" w:type="dxa"/>
            <w:vAlign w:val="center"/>
          </w:tcPr>
          <w:p w:rsidR="003779EB" w:rsidRDefault="00815304">
            <w:pPr>
              <w:jc w:val="left"/>
            </w:pPr>
            <w:r>
              <w:rPr>
                <w:rFonts w:eastAsiaTheme="minorEastAsia"/>
                <w:color w:val="000000"/>
                <w:szCs w:val="21"/>
              </w:rPr>
              <w:t>过去一年</w:t>
            </w:r>
          </w:p>
        </w:tc>
        <w:tc>
          <w:tcPr>
            <w:tcW w:w="1350" w:type="dxa"/>
            <w:vAlign w:val="center"/>
          </w:tcPr>
          <w:p w:rsidR="003779EB" w:rsidRDefault="00815304">
            <w:pPr>
              <w:jc w:val="center"/>
            </w:pPr>
            <w:r>
              <w:rPr>
                <w:rFonts w:eastAsiaTheme="minorEastAsia"/>
                <w:color w:val="000000"/>
                <w:szCs w:val="21"/>
              </w:rPr>
              <w:t>-10.78%</w:t>
            </w:r>
          </w:p>
        </w:tc>
        <w:tc>
          <w:tcPr>
            <w:tcW w:w="1350" w:type="dxa"/>
            <w:vAlign w:val="center"/>
          </w:tcPr>
          <w:p w:rsidR="003779EB" w:rsidRDefault="00815304">
            <w:pPr>
              <w:jc w:val="center"/>
            </w:pPr>
            <w:r>
              <w:rPr>
                <w:rFonts w:eastAsiaTheme="minorEastAsia"/>
                <w:color w:val="000000"/>
                <w:szCs w:val="21"/>
              </w:rPr>
              <w:t>1.71%</w:t>
            </w:r>
          </w:p>
        </w:tc>
        <w:tc>
          <w:tcPr>
            <w:tcW w:w="1350" w:type="dxa"/>
            <w:vAlign w:val="center"/>
          </w:tcPr>
          <w:p w:rsidR="003779EB" w:rsidRDefault="00815304">
            <w:pPr>
              <w:jc w:val="center"/>
            </w:pPr>
            <w:r>
              <w:rPr>
                <w:rFonts w:eastAsiaTheme="minorEastAsia"/>
                <w:color w:val="000000"/>
                <w:szCs w:val="21"/>
              </w:rPr>
              <w:t>8.02%</w:t>
            </w:r>
          </w:p>
        </w:tc>
        <w:tc>
          <w:tcPr>
            <w:tcW w:w="1350" w:type="dxa"/>
            <w:vAlign w:val="center"/>
          </w:tcPr>
          <w:p w:rsidR="003779EB" w:rsidRDefault="00815304">
            <w:pPr>
              <w:jc w:val="center"/>
            </w:pPr>
            <w:r>
              <w:rPr>
                <w:rFonts w:eastAsiaTheme="minorEastAsia"/>
                <w:color w:val="000000"/>
                <w:szCs w:val="21"/>
              </w:rPr>
              <w:t>1.30%</w:t>
            </w:r>
          </w:p>
        </w:tc>
        <w:tc>
          <w:tcPr>
            <w:tcW w:w="1350" w:type="dxa"/>
            <w:vAlign w:val="center"/>
          </w:tcPr>
          <w:p w:rsidR="003779EB" w:rsidRDefault="00815304">
            <w:pPr>
              <w:jc w:val="center"/>
            </w:pPr>
            <w:r>
              <w:rPr>
                <w:rFonts w:eastAsiaTheme="minorEastAsia"/>
                <w:color w:val="000000"/>
                <w:szCs w:val="21"/>
              </w:rPr>
              <w:t>-18.80%</w:t>
            </w:r>
          </w:p>
        </w:tc>
        <w:tc>
          <w:tcPr>
            <w:tcW w:w="1350" w:type="dxa"/>
            <w:vAlign w:val="center"/>
          </w:tcPr>
          <w:p w:rsidR="003779EB" w:rsidRDefault="00815304">
            <w:pPr>
              <w:jc w:val="center"/>
            </w:pPr>
            <w:r>
              <w:rPr>
                <w:rFonts w:eastAsiaTheme="minorEastAsia"/>
                <w:color w:val="000000"/>
                <w:szCs w:val="21"/>
              </w:rPr>
              <w:t>0.41%</w:t>
            </w:r>
          </w:p>
        </w:tc>
      </w:tr>
      <w:tr w:rsidR="003779EB">
        <w:tc>
          <w:tcPr>
            <w:tcW w:w="1620" w:type="dxa"/>
            <w:vAlign w:val="center"/>
          </w:tcPr>
          <w:p w:rsidR="003779EB" w:rsidRDefault="00815304">
            <w:pPr>
              <w:jc w:val="left"/>
            </w:pPr>
            <w:r>
              <w:rPr>
                <w:rFonts w:eastAsiaTheme="minorEastAsia"/>
                <w:color w:val="000000"/>
                <w:szCs w:val="21"/>
              </w:rPr>
              <w:t>过去三年</w:t>
            </w:r>
          </w:p>
        </w:tc>
        <w:tc>
          <w:tcPr>
            <w:tcW w:w="1350" w:type="dxa"/>
            <w:vAlign w:val="center"/>
          </w:tcPr>
          <w:p w:rsidR="003779EB" w:rsidRDefault="00815304">
            <w:pPr>
              <w:jc w:val="center"/>
            </w:pPr>
            <w:r>
              <w:rPr>
                <w:rFonts w:eastAsiaTheme="minorEastAsia"/>
                <w:color w:val="000000"/>
                <w:szCs w:val="21"/>
              </w:rPr>
              <w:t>10.62%</w:t>
            </w:r>
          </w:p>
        </w:tc>
        <w:tc>
          <w:tcPr>
            <w:tcW w:w="1350" w:type="dxa"/>
            <w:vAlign w:val="center"/>
          </w:tcPr>
          <w:p w:rsidR="003779EB" w:rsidRDefault="00815304">
            <w:pPr>
              <w:jc w:val="center"/>
            </w:pPr>
            <w:r>
              <w:rPr>
                <w:rFonts w:eastAsiaTheme="minorEastAsia"/>
                <w:color w:val="000000"/>
                <w:szCs w:val="21"/>
              </w:rPr>
              <w:t>1.33%</w:t>
            </w:r>
          </w:p>
        </w:tc>
        <w:tc>
          <w:tcPr>
            <w:tcW w:w="1350" w:type="dxa"/>
            <w:vAlign w:val="center"/>
          </w:tcPr>
          <w:p w:rsidR="003779EB" w:rsidRDefault="00815304">
            <w:pPr>
              <w:jc w:val="center"/>
            </w:pPr>
            <w:r>
              <w:rPr>
                <w:rFonts w:eastAsiaTheme="minorEastAsia"/>
                <w:color w:val="000000"/>
                <w:szCs w:val="21"/>
              </w:rPr>
              <w:t>18.08%</w:t>
            </w:r>
          </w:p>
        </w:tc>
        <w:tc>
          <w:tcPr>
            <w:tcW w:w="1350" w:type="dxa"/>
            <w:vAlign w:val="center"/>
          </w:tcPr>
          <w:p w:rsidR="003779EB" w:rsidRDefault="00815304">
            <w:pPr>
              <w:jc w:val="center"/>
            </w:pPr>
            <w:r>
              <w:rPr>
                <w:rFonts w:eastAsiaTheme="minorEastAsia"/>
                <w:color w:val="000000"/>
                <w:szCs w:val="21"/>
              </w:rPr>
              <w:t>0.94%</w:t>
            </w:r>
          </w:p>
        </w:tc>
        <w:tc>
          <w:tcPr>
            <w:tcW w:w="1350" w:type="dxa"/>
            <w:vAlign w:val="center"/>
          </w:tcPr>
          <w:p w:rsidR="003779EB" w:rsidRDefault="00815304">
            <w:pPr>
              <w:jc w:val="center"/>
            </w:pPr>
            <w:r>
              <w:rPr>
                <w:rFonts w:eastAsiaTheme="minorEastAsia"/>
                <w:color w:val="000000"/>
                <w:szCs w:val="21"/>
              </w:rPr>
              <w:t>-7.46%</w:t>
            </w:r>
          </w:p>
        </w:tc>
        <w:tc>
          <w:tcPr>
            <w:tcW w:w="1350" w:type="dxa"/>
            <w:vAlign w:val="center"/>
          </w:tcPr>
          <w:p w:rsidR="003779EB" w:rsidRDefault="00815304">
            <w:pPr>
              <w:jc w:val="center"/>
            </w:pPr>
            <w:r>
              <w:rPr>
                <w:rFonts w:eastAsiaTheme="minorEastAsia"/>
                <w:color w:val="000000"/>
                <w:szCs w:val="21"/>
              </w:rPr>
              <w:t>0.39%</w:t>
            </w:r>
          </w:p>
        </w:tc>
      </w:tr>
      <w:tr w:rsidR="003779EB">
        <w:tc>
          <w:tcPr>
            <w:tcW w:w="1620" w:type="dxa"/>
            <w:vAlign w:val="center"/>
          </w:tcPr>
          <w:p w:rsidR="003779EB" w:rsidRDefault="00815304">
            <w:pPr>
              <w:jc w:val="left"/>
            </w:pPr>
            <w:r>
              <w:rPr>
                <w:rFonts w:eastAsiaTheme="minorEastAsia"/>
                <w:color w:val="000000"/>
                <w:szCs w:val="21"/>
              </w:rPr>
              <w:t>自基金合同生效起至今</w:t>
            </w:r>
          </w:p>
        </w:tc>
        <w:tc>
          <w:tcPr>
            <w:tcW w:w="1350" w:type="dxa"/>
            <w:vAlign w:val="center"/>
          </w:tcPr>
          <w:p w:rsidR="003779EB" w:rsidRDefault="00815304">
            <w:pPr>
              <w:jc w:val="center"/>
            </w:pPr>
            <w:r>
              <w:rPr>
                <w:rFonts w:eastAsiaTheme="minorEastAsia"/>
                <w:color w:val="000000"/>
                <w:szCs w:val="21"/>
              </w:rPr>
              <w:t>80.32%</w:t>
            </w:r>
          </w:p>
        </w:tc>
        <w:tc>
          <w:tcPr>
            <w:tcW w:w="1350" w:type="dxa"/>
            <w:vAlign w:val="center"/>
          </w:tcPr>
          <w:p w:rsidR="003779EB" w:rsidRDefault="00815304">
            <w:pPr>
              <w:jc w:val="center"/>
            </w:pPr>
            <w:r>
              <w:rPr>
                <w:rFonts w:eastAsiaTheme="minorEastAsia"/>
                <w:color w:val="000000"/>
                <w:szCs w:val="21"/>
              </w:rPr>
              <w:t>1.76%</w:t>
            </w:r>
          </w:p>
        </w:tc>
        <w:tc>
          <w:tcPr>
            <w:tcW w:w="1350" w:type="dxa"/>
            <w:vAlign w:val="center"/>
          </w:tcPr>
          <w:p w:rsidR="003779EB" w:rsidRDefault="00815304">
            <w:pPr>
              <w:jc w:val="center"/>
            </w:pPr>
            <w:r>
              <w:rPr>
                <w:rFonts w:eastAsiaTheme="minorEastAsia"/>
                <w:color w:val="000000"/>
                <w:szCs w:val="21"/>
              </w:rPr>
              <w:t>63.55%</w:t>
            </w:r>
          </w:p>
        </w:tc>
        <w:tc>
          <w:tcPr>
            <w:tcW w:w="1350" w:type="dxa"/>
            <w:vAlign w:val="center"/>
          </w:tcPr>
          <w:p w:rsidR="003779EB" w:rsidRDefault="00815304">
            <w:pPr>
              <w:jc w:val="center"/>
            </w:pPr>
            <w:r>
              <w:rPr>
                <w:rFonts w:eastAsiaTheme="minorEastAsia"/>
                <w:color w:val="000000"/>
                <w:szCs w:val="21"/>
              </w:rPr>
              <w:t>1.31%</w:t>
            </w:r>
          </w:p>
        </w:tc>
        <w:tc>
          <w:tcPr>
            <w:tcW w:w="1350" w:type="dxa"/>
            <w:vAlign w:val="center"/>
          </w:tcPr>
          <w:p w:rsidR="003779EB" w:rsidRDefault="00815304">
            <w:pPr>
              <w:jc w:val="center"/>
            </w:pPr>
            <w:r>
              <w:rPr>
                <w:rFonts w:eastAsiaTheme="minorEastAsia"/>
                <w:color w:val="000000"/>
                <w:szCs w:val="21"/>
              </w:rPr>
              <w:t>16.77%</w:t>
            </w:r>
          </w:p>
        </w:tc>
        <w:tc>
          <w:tcPr>
            <w:tcW w:w="1350" w:type="dxa"/>
            <w:vAlign w:val="center"/>
          </w:tcPr>
          <w:p w:rsidR="003779EB" w:rsidRDefault="00815304">
            <w:pPr>
              <w:jc w:val="center"/>
            </w:pPr>
            <w:r>
              <w:rPr>
                <w:rFonts w:eastAsiaTheme="minorEastAsia"/>
                <w:color w:val="000000"/>
                <w:szCs w:val="21"/>
              </w:rPr>
              <w:t>0.45%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×85%+</w:t>
      </w:r>
      <w:r w:rsidRPr="00C56F63">
        <w:rPr>
          <w:rFonts w:eastAsiaTheme="minorEastAsia"/>
          <w:kern w:val="0"/>
          <w:szCs w:val="21"/>
        </w:rPr>
        <w:t>中债总指数收益率</w:t>
      </w:r>
      <w:r w:rsidRPr="00C56F63">
        <w:rPr>
          <w:rFonts w:eastAsiaTheme="minorEastAsia"/>
          <w:kern w:val="0"/>
          <w:szCs w:val="21"/>
        </w:rPr>
        <w:t>×15%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上投摩根核心成长股票型证券投资基金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2014</w:t>
      </w:r>
      <w:r w:rsidRPr="00C56F63">
        <w:rPr>
          <w:rFonts w:ascii="Times New Roman" w:eastAsiaTheme="minorEastAsia" w:hAnsi="Times New Roman"/>
        </w:rPr>
        <w:t>年</w:t>
      </w:r>
      <w:r w:rsidRPr="00C56F63">
        <w:rPr>
          <w:rFonts w:ascii="Times New Roman" w:eastAsiaTheme="minorEastAsia" w:hAnsi="Times New Roman"/>
        </w:rPr>
        <w:t>2</w:t>
      </w:r>
      <w:r w:rsidRPr="00C56F63">
        <w:rPr>
          <w:rFonts w:ascii="Times New Roman" w:eastAsiaTheme="minorEastAsia" w:hAnsi="Times New Roman"/>
        </w:rPr>
        <w:t>月</w:t>
      </w:r>
      <w:r w:rsidRPr="00C56F63">
        <w:rPr>
          <w:rFonts w:ascii="Times New Roman" w:eastAsiaTheme="minorEastAsia" w:hAnsi="Times New Roman"/>
        </w:rPr>
        <w:t>10</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03683998" wp14:editId="507634A4">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10</w:t>
      </w:r>
      <w:r>
        <w:rPr>
          <w:rFonts w:eastAsiaTheme="minorEastAsia"/>
          <w:kern w:val="0"/>
          <w:szCs w:val="21"/>
        </w:rPr>
        <w:t>日，图示时间段为</w:t>
      </w:r>
      <w:r>
        <w:rPr>
          <w:rFonts w:eastAsiaTheme="minorEastAsia"/>
          <w:kern w:val="0"/>
          <w:szCs w:val="21"/>
        </w:rPr>
        <w:t>2014</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10</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2014</w:t>
      </w:r>
      <w:r w:rsidRPr="00C56F63">
        <w:rPr>
          <w:rFonts w:eastAsiaTheme="minorEastAsia"/>
          <w:kern w:val="0"/>
          <w:szCs w:val="21"/>
        </w:rPr>
        <w:t>年</w:t>
      </w:r>
      <w:r w:rsidRPr="00C56F63">
        <w:rPr>
          <w:rFonts w:eastAsiaTheme="minorEastAsia"/>
          <w:kern w:val="0"/>
          <w:szCs w:val="21"/>
        </w:rPr>
        <w:t>2</w:t>
      </w:r>
      <w:r w:rsidRPr="00C56F63">
        <w:rPr>
          <w:rFonts w:eastAsiaTheme="minorEastAsia"/>
          <w:kern w:val="0"/>
          <w:szCs w:val="21"/>
        </w:rPr>
        <w:t>月</w:t>
      </w:r>
      <w:r w:rsidRPr="00C56F63">
        <w:rPr>
          <w:rFonts w:eastAsiaTheme="minorEastAsia"/>
          <w:kern w:val="0"/>
          <w:szCs w:val="21"/>
        </w:rPr>
        <w:t>10</w:t>
      </w:r>
      <w:r w:rsidRPr="00C56F63">
        <w:rPr>
          <w:rFonts w:eastAsiaTheme="minorEastAsia"/>
          <w:kern w:val="0"/>
          <w:szCs w:val="21"/>
        </w:rPr>
        <w:t>日至</w:t>
      </w:r>
      <w:r w:rsidRPr="00C56F63">
        <w:rPr>
          <w:rFonts w:eastAsiaTheme="minorEastAsia"/>
          <w:kern w:val="0"/>
          <w:szCs w:val="21"/>
        </w:rPr>
        <w:t>2014</w:t>
      </w:r>
      <w:r w:rsidRPr="00C56F63">
        <w:rPr>
          <w:rFonts w:eastAsiaTheme="minorEastAsia"/>
          <w:kern w:val="0"/>
          <w:szCs w:val="21"/>
        </w:rPr>
        <w:t>年</w:t>
      </w:r>
      <w:r w:rsidRPr="00C56F63">
        <w:rPr>
          <w:rFonts w:eastAsiaTheme="minorEastAsia"/>
          <w:kern w:val="0"/>
          <w:szCs w:val="21"/>
        </w:rPr>
        <w:t>8</w:t>
      </w:r>
      <w:r w:rsidRPr="00C56F63">
        <w:rPr>
          <w:rFonts w:eastAsiaTheme="minorEastAsia"/>
          <w:kern w:val="0"/>
          <w:szCs w:val="21"/>
        </w:rPr>
        <w:t>月</w:t>
      </w:r>
      <w:r w:rsidRPr="00C56F63">
        <w:rPr>
          <w:rFonts w:eastAsiaTheme="minorEastAsia"/>
          <w:kern w:val="0"/>
          <w:szCs w:val="21"/>
        </w:rPr>
        <w:t>8</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0" w:name="_Toc374540548"/>
      <w:bookmarkStart w:id="21" w:name="_Toc225498254"/>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0"/>
      <w:bookmarkEnd w:id="21"/>
    </w:p>
    <w:p w:rsidR="006B65E1" w:rsidRPr="00C56F63" w:rsidRDefault="00945F2E">
      <w:pPr>
        <w:pStyle w:val="2"/>
        <w:spacing w:before="0" w:after="0"/>
        <w:rPr>
          <w:rFonts w:ascii="Times New Roman" w:eastAsiaTheme="minorEastAsia" w:hAnsi="Times New Roman"/>
          <w:kern w:val="0"/>
          <w:sz w:val="21"/>
          <w:szCs w:val="21"/>
        </w:rPr>
      </w:pPr>
      <w:bookmarkStart w:id="22" w:name="_Toc390421238"/>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2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3779EB">
        <w:tc>
          <w:tcPr>
            <w:tcW w:w="1090" w:type="dxa"/>
            <w:vAlign w:val="center"/>
          </w:tcPr>
          <w:p w:rsidR="003779EB" w:rsidRDefault="00815304">
            <w:pPr>
              <w:jc w:val="center"/>
            </w:pPr>
            <w:r>
              <w:rPr>
                <w:rFonts w:eastAsiaTheme="minorEastAsia"/>
                <w:color w:val="000000"/>
                <w:szCs w:val="21"/>
              </w:rPr>
              <w:t>李博</w:t>
            </w:r>
          </w:p>
        </w:tc>
        <w:tc>
          <w:tcPr>
            <w:tcW w:w="1500" w:type="dxa"/>
            <w:vAlign w:val="center"/>
          </w:tcPr>
          <w:p w:rsidR="003779EB" w:rsidRDefault="00815304">
            <w:pPr>
              <w:jc w:val="center"/>
            </w:pPr>
            <w:r>
              <w:rPr>
                <w:rFonts w:eastAsiaTheme="minorEastAsia"/>
                <w:color w:val="000000"/>
                <w:szCs w:val="21"/>
              </w:rPr>
              <w:t>本基金基金经理</w:t>
            </w:r>
          </w:p>
        </w:tc>
        <w:tc>
          <w:tcPr>
            <w:tcW w:w="1190" w:type="dxa"/>
            <w:vAlign w:val="center"/>
          </w:tcPr>
          <w:p w:rsidR="003779EB" w:rsidRDefault="00815304">
            <w:pPr>
              <w:jc w:val="center"/>
            </w:pPr>
            <w:r>
              <w:rPr>
                <w:rFonts w:eastAsiaTheme="minorEastAsia"/>
                <w:color w:val="000000"/>
                <w:szCs w:val="21"/>
              </w:rPr>
              <w:t>2014-12-31</w:t>
            </w:r>
          </w:p>
        </w:tc>
        <w:tc>
          <w:tcPr>
            <w:tcW w:w="1260" w:type="dxa"/>
            <w:vAlign w:val="center"/>
          </w:tcPr>
          <w:p w:rsidR="003779EB" w:rsidRDefault="00815304">
            <w:pPr>
              <w:jc w:val="center"/>
            </w:pPr>
            <w:r>
              <w:rPr>
                <w:rFonts w:eastAsiaTheme="minorEastAsia"/>
                <w:color w:val="000000"/>
                <w:szCs w:val="21"/>
              </w:rPr>
              <w:t>-</w:t>
            </w:r>
          </w:p>
        </w:tc>
        <w:tc>
          <w:tcPr>
            <w:tcW w:w="1236" w:type="dxa"/>
            <w:vAlign w:val="center"/>
          </w:tcPr>
          <w:p w:rsidR="003779EB" w:rsidRDefault="00815304">
            <w:pPr>
              <w:jc w:val="center"/>
            </w:pPr>
            <w:r>
              <w:rPr>
                <w:rFonts w:eastAsiaTheme="minorEastAsia"/>
                <w:color w:val="000000"/>
                <w:szCs w:val="21"/>
              </w:rPr>
              <w:t>10</w:t>
            </w:r>
            <w:r>
              <w:rPr>
                <w:rFonts w:eastAsiaTheme="minorEastAsia"/>
                <w:color w:val="000000"/>
                <w:szCs w:val="21"/>
              </w:rPr>
              <w:t>年</w:t>
            </w:r>
          </w:p>
        </w:tc>
        <w:tc>
          <w:tcPr>
            <w:tcW w:w="3264" w:type="dxa"/>
            <w:vAlign w:val="center"/>
          </w:tcPr>
          <w:p w:rsidR="003779EB" w:rsidRDefault="00815304">
            <w:r>
              <w:rPr>
                <w:rFonts w:eastAsiaTheme="minorEastAsia"/>
                <w:color w:val="000000"/>
                <w:szCs w:val="21"/>
              </w:rPr>
              <w:t>李博先生，上海交通大学硕士，自</w:t>
            </w:r>
            <w:r>
              <w:rPr>
                <w:rFonts w:eastAsiaTheme="minorEastAsia"/>
                <w:color w:val="000000"/>
                <w:szCs w:val="21"/>
              </w:rPr>
              <w:t>2009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10</w:t>
            </w:r>
            <w:r>
              <w:rPr>
                <w:rFonts w:eastAsiaTheme="minorEastAsia"/>
                <w:color w:val="000000"/>
                <w:szCs w:val="21"/>
              </w:rPr>
              <w:t>月在中银国际证券有限公司担任研究员，负责研究方面的工作，自</w:t>
            </w:r>
            <w:r>
              <w:rPr>
                <w:rFonts w:eastAsiaTheme="minorEastAsia"/>
                <w:color w:val="000000"/>
                <w:szCs w:val="21"/>
              </w:rPr>
              <w:t>2010</w:t>
            </w:r>
            <w:r>
              <w:rPr>
                <w:rFonts w:eastAsiaTheme="minorEastAsia"/>
                <w:color w:val="000000"/>
                <w:szCs w:val="21"/>
              </w:rPr>
              <w:t>年</w:t>
            </w:r>
            <w:r>
              <w:rPr>
                <w:rFonts w:eastAsiaTheme="minorEastAsia"/>
                <w:color w:val="000000"/>
                <w:szCs w:val="21"/>
              </w:rPr>
              <w:t>11</w:t>
            </w:r>
            <w:r>
              <w:rPr>
                <w:rFonts w:eastAsiaTheme="minorEastAsia"/>
                <w:color w:val="000000"/>
                <w:szCs w:val="21"/>
              </w:rPr>
              <w:t>月起加入上投摩根基金管理有限公司，先后担任行业专家、基金经理、资深基金经理，自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月起担任上投摩根核心成长股票型证券投资基金基金经理，自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月担任上投摩根科技前沿灵活配置混合型证券投资基金基金经理，自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月起同时担任上投摩根阿尔法混合型证券投资基金基金经理，自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月起同时担任上投摩根双息平衡混合型证券投资基金基金经理，自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月起同时担任上投摩根核心精选股票型证券投资基金基金经理。</w:t>
            </w:r>
          </w:p>
        </w:tc>
      </w:tr>
      <w:tr w:rsidR="003779EB">
        <w:tc>
          <w:tcPr>
            <w:tcW w:w="1090" w:type="dxa"/>
            <w:vAlign w:val="center"/>
          </w:tcPr>
          <w:p w:rsidR="003779EB" w:rsidRDefault="00815304">
            <w:pPr>
              <w:jc w:val="center"/>
            </w:pPr>
            <w:r>
              <w:rPr>
                <w:rFonts w:eastAsiaTheme="minorEastAsia"/>
                <w:color w:val="000000"/>
                <w:szCs w:val="21"/>
              </w:rPr>
              <w:t>黄进</w:t>
            </w:r>
          </w:p>
        </w:tc>
        <w:tc>
          <w:tcPr>
            <w:tcW w:w="1500" w:type="dxa"/>
            <w:vAlign w:val="center"/>
          </w:tcPr>
          <w:p w:rsidR="003779EB" w:rsidRDefault="00815304">
            <w:pPr>
              <w:jc w:val="center"/>
            </w:pPr>
            <w:r>
              <w:rPr>
                <w:rFonts w:eastAsiaTheme="minorEastAsia"/>
                <w:color w:val="000000"/>
                <w:szCs w:val="21"/>
              </w:rPr>
              <w:t>本基金基金经理助理</w:t>
            </w:r>
          </w:p>
        </w:tc>
        <w:tc>
          <w:tcPr>
            <w:tcW w:w="1190" w:type="dxa"/>
            <w:vAlign w:val="center"/>
          </w:tcPr>
          <w:p w:rsidR="003779EB" w:rsidRDefault="00815304">
            <w:pPr>
              <w:jc w:val="center"/>
            </w:pPr>
            <w:r>
              <w:rPr>
                <w:rFonts w:eastAsiaTheme="minorEastAsia"/>
                <w:color w:val="000000"/>
                <w:szCs w:val="21"/>
              </w:rPr>
              <w:t>2018-05-02</w:t>
            </w:r>
          </w:p>
        </w:tc>
        <w:tc>
          <w:tcPr>
            <w:tcW w:w="1260" w:type="dxa"/>
            <w:vAlign w:val="center"/>
          </w:tcPr>
          <w:p w:rsidR="003779EB" w:rsidRDefault="00815304">
            <w:pPr>
              <w:jc w:val="center"/>
            </w:pPr>
            <w:r>
              <w:rPr>
                <w:rFonts w:eastAsiaTheme="minorEastAsia"/>
                <w:color w:val="000000"/>
                <w:szCs w:val="21"/>
              </w:rPr>
              <w:t>-</w:t>
            </w:r>
          </w:p>
        </w:tc>
        <w:tc>
          <w:tcPr>
            <w:tcW w:w="1236" w:type="dxa"/>
            <w:vAlign w:val="center"/>
          </w:tcPr>
          <w:p w:rsidR="003779EB" w:rsidRDefault="00815304">
            <w:pPr>
              <w:jc w:val="center"/>
            </w:pPr>
            <w:r>
              <w:rPr>
                <w:rFonts w:eastAsiaTheme="minorEastAsia"/>
                <w:color w:val="000000"/>
                <w:szCs w:val="21"/>
              </w:rPr>
              <w:t>9</w:t>
            </w:r>
            <w:r>
              <w:rPr>
                <w:rFonts w:eastAsiaTheme="minorEastAsia"/>
                <w:color w:val="000000"/>
                <w:szCs w:val="21"/>
              </w:rPr>
              <w:t>年</w:t>
            </w:r>
          </w:p>
        </w:tc>
        <w:tc>
          <w:tcPr>
            <w:tcW w:w="3264" w:type="dxa"/>
            <w:vAlign w:val="center"/>
          </w:tcPr>
          <w:p w:rsidR="003779EB" w:rsidRDefault="00815304">
            <w:r>
              <w:rPr>
                <w:rFonts w:eastAsiaTheme="minorEastAsia"/>
                <w:color w:val="000000"/>
                <w:szCs w:val="21"/>
              </w:rPr>
              <w:t>北京大学微电子系硕士，</w:t>
            </w:r>
            <w:r>
              <w:rPr>
                <w:rFonts w:eastAsiaTheme="minorEastAsia"/>
                <w:color w:val="000000"/>
                <w:szCs w:val="21"/>
              </w:rPr>
              <w:t>2004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2008</w:t>
            </w:r>
            <w:r>
              <w:rPr>
                <w:rFonts w:eastAsiaTheme="minorEastAsia"/>
                <w:color w:val="000000"/>
                <w:szCs w:val="21"/>
              </w:rPr>
              <w:t>年</w:t>
            </w:r>
            <w:r>
              <w:rPr>
                <w:rFonts w:eastAsiaTheme="minorEastAsia"/>
                <w:color w:val="000000"/>
                <w:szCs w:val="21"/>
              </w:rPr>
              <w:t>6</w:t>
            </w:r>
            <w:r>
              <w:rPr>
                <w:rFonts w:eastAsiaTheme="minorEastAsia"/>
                <w:color w:val="000000"/>
                <w:szCs w:val="21"/>
              </w:rPr>
              <w:t>月先后在国民技术、上海士康科技担任工程师，</w:t>
            </w:r>
            <w:r>
              <w:rPr>
                <w:rFonts w:eastAsiaTheme="minorEastAsia"/>
                <w:color w:val="000000"/>
                <w:szCs w:val="21"/>
              </w:rPr>
              <w:t>2008</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12</w:t>
            </w:r>
            <w:r>
              <w:rPr>
                <w:rFonts w:eastAsiaTheme="minorEastAsia"/>
                <w:color w:val="000000"/>
                <w:szCs w:val="21"/>
              </w:rPr>
              <w:t>月在中科院（深圳）担任研究员</w:t>
            </w:r>
            <w:r>
              <w:rPr>
                <w:rFonts w:eastAsiaTheme="minorEastAsia"/>
                <w:color w:val="000000"/>
                <w:szCs w:val="21"/>
              </w:rPr>
              <w:t>/</w:t>
            </w:r>
            <w:r>
              <w:rPr>
                <w:rFonts w:eastAsiaTheme="minorEastAsia"/>
                <w:color w:val="000000"/>
                <w:szCs w:val="21"/>
              </w:rPr>
              <w:t>工程师，</w:t>
            </w:r>
            <w:r>
              <w:rPr>
                <w:rFonts w:eastAsiaTheme="minorEastAsia"/>
                <w:color w:val="000000"/>
                <w:szCs w:val="21"/>
              </w:rPr>
              <w:t>2010</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2013</w:t>
            </w:r>
            <w:r>
              <w:rPr>
                <w:rFonts w:eastAsiaTheme="minorEastAsia"/>
                <w:color w:val="000000"/>
                <w:szCs w:val="21"/>
              </w:rPr>
              <w:t>年</w:t>
            </w:r>
            <w:r>
              <w:rPr>
                <w:rFonts w:eastAsiaTheme="minorEastAsia"/>
                <w:color w:val="000000"/>
                <w:szCs w:val="21"/>
              </w:rPr>
              <w:t>8</w:t>
            </w:r>
            <w:r>
              <w:rPr>
                <w:rFonts w:eastAsiaTheme="minorEastAsia"/>
                <w:color w:val="000000"/>
                <w:szCs w:val="21"/>
              </w:rPr>
              <w:t>月在第一创业证券担任电子行业研究员，</w:t>
            </w:r>
            <w:r>
              <w:rPr>
                <w:rFonts w:eastAsiaTheme="minorEastAsia"/>
                <w:color w:val="000000"/>
                <w:szCs w:val="21"/>
              </w:rPr>
              <w:t>2013</w:t>
            </w:r>
            <w:r>
              <w:rPr>
                <w:rFonts w:eastAsiaTheme="minorEastAsia"/>
                <w:color w:val="000000"/>
                <w:szCs w:val="21"/>
              </w:rPr>
              <w:t>年</w:t>
            </w:r>
            <w:r>
              <w:rPr>
                <w:rFonts w:eastAsiaTheme="minorEastAsia"/>
                <w:color w:val="000000"/>
                <w:szCs w:val="21"/>
              </w:rPr>
              <w:t>9</w:t>
            </w:r>
            <w:r>
              <w:rPr>
                <w:rFonts w:eastAsiaTheme="minorEastAsia"/>
                <w:color w:val="000000"/>
                <w:szCs w:val="21"/>
              </w:rPr>
              <w:t>月加入上投摩根基金管理有限公司，担任研究员。</w:t>
            </w:r>
          </w:p>
        </w:tc>
      </w:tr>
    </w:tbl>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3" w:name="_Toc225498256"/>
      <w:bookmarkStart w:id="24" w:name="_Toc390421239"/>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23"/>
      <w:bookmarkEnd w:id="2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核心成长股票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5" w:name="_Toc225498257"/>
      <w:bookmarkStart w:id="26" w:name="_Toc390421240"/>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25"/>
      <w:bookmarkEnd w:id="2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7" w:name="_Toc225498258"/>
      <w:bookmarkStart w:id="28" w:name="_Toc390421241"/>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27"/>
      <w:bookmarkEnd w:id="28"/>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上半年，市场出现较大幅度上涨，其中沪深</w:t>
      </w:r>
      <w:r w:rsidRPr="00C56F63">
        <w:rPr>
          <w:rFonts w:eastAsiaTheme="minorEastAsia"/>
          <w:color w:val="000000"/>
          <w:szCs w:val="21"/>
        </w:rPr>
        <w:t>300</w:t>
      </w:r>
      <w:r w:rsidRPr="00C56F63">
        <w:rPr>
          <w:rFonts w:eastAsiaTheme="minorEastAsia"/>
          <w:color w:val="000000"/>
          <w:szCs w:val="21"/>
        </w:rPr>
        <w:t>上涨</w:t>
      </w:r>
      <w:r w:rsidRPr="00C56F63">
        <w:rPr>
          <w:rFonts w:eastAsiaTheme="minorEastAsia"/>
          <w:color w:val="000000"/>
          <w:szCs w:val="21"/>
        </w:rPr>
        <w:t>27.1%</w:t>
      </w:r>
      <w:r w:rsidRPr="00C56F63">
        <w:rPr>
          <w:rFonts w:eastAsiaTheme="minorEastAsia"/>
          <w:color w:val="000000"/>
          <w:szCs w:val="21"/>
        </w:rPr>
        <w:t>，创业板上涨</w:t>
      </w:r>
      <w:r w:rsidRPr="00C56F63">
        <w:rPr>
          <w:rFonts w:eastAsiaTheme="minorEastAsia"/>
          <w:color w:val="000000"/>
          <w:szCs w:val="21"/>
        </w:rPr>
        <w:t>20.9%</w:t>
      </w:r>
      <w:r w:rsidRPr="00C56F63">
        <w:rPr>
          <w:rFonts w:eastAsiaTheme="minorEastAsia"/>
          <w:color w:val="000000"/>
          <w:szCs w:val="21"/>
        </w:rPr>
        <w:t>。板块方面，食品饮料、非银金融和农林牧渔领涨，建筑、传媒和汽车涨幅居后。伴随着中美贸易摩擦缓解、降增值税率等政策红利，国内经济复苏可期。本基金重点配置了估值和成长相匹配的个股，此外，上半年还减持了部分前期超额收益较多个股，增持了部分市场关注度不高的成长股。</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本报告期上投摩根核心成长股票份额净值增长率为</w:t>
      </w:r>
      <w:r w:rsidRPr="00C56F63">
        <w:rPr>
          <w:rFonts w:eastAsiaTheme="minorEastAsia"/>
          <w:color w:val="000000"/>
          <w:szCs w:val="21"/>
        </w:rPr>
        <w:t>:29.35%</w:t>
      </w:r>
      <w:r w:rsidRPr="00C56F63">
        <w:rPr>
          <w:rFonts w:eastAsiaTheme="minorEastAsia"/>
          <w:color w:val="000000"/>
          <w:szCs w:val="21"/>
        </w:rPr>
        <w:t>，同期业绩比较基准收益率为</w:t>
      </w:r>
      <w:r w:rsidRPr="00C56F63">
        <w:rPr>
          <w:rFonts w:eastAsiaTheme="minorEastAsia"/>
          <w:color w:val="000000"/>
          <w:szCs w:val="21"/>
        </w:rPr>
        <w:t>:22.95%</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9" w:name="_Toc225498259"/>
      <w:bookmarkStart w:id="30" w:name="_Toc390421242"/>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29"/>
      <w:bookmarkEnd w:id="3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进入下半年，我们判断市场机会将大于风险，</w:t>
      </w:r>
      <w:r w:rsidRPr="00C56F63">
        <w:rPr>
          <w:rFonts w:eastAsiaTheme="minorEastAsia"/>
          <w:color w:val="000000"/>
          <w:szCs w:val="21"/>
        </w:rPr>
        <w:t>A</w:t>
      </w:r>
      <w:r w:rsidRPr="00C56F63">
        <w:rPr>
          <w:rFonts w:eastAsiaTheme="minorEastAsia"/>
          <w:color w:val="000000"/>
          <w:szCs w:val="21"/>
        </w:rPr>
        <w:t>股有望呈现结构性的投资机会。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1" w:name="_Toc390421243"/>
      <w:bookmarkStart w:id="32" w:name="_Toc247959457"/>
      <w:bookmarkStart w:id="33" w:name="_Toc225570083"/>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31"/>
      <w:bookmarkEnd w:id="32"/>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390421244"/>
      <w:bookmarkStart w:id="35" w:name="_Toc247959458"/>
      <w:bookmarkStart w:id="36" w:name="_Toc225570084"/>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34"/>
      <w:bookmarkEnd w:id="35"/>
      <w:bookmarkEnd w:id="3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37" w:name="_Toc374540556"/>
      <w:bookmarkStart w:id="38" w:name="_Toc225498263"/>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37"/>
      <w:bookmarkEnd w:id="38"/>
    </w:p>
    <w:p w:rsidR="006B65E1" w:rsidRPr="00C56F63" w:rsidRDefault="00945F2E">
      <w:pPr>
        <w:pStyle w:val="2"/>
        <w:spacing w:before="0" w:after="0"/>
        <w:rPr>
          <w:rFonts w:ascii="Times New Roman" w:eastAsiaTheme="minorEastAsia" w:hAnsi="Times New Roman"/>
          <w:kern w:val="0"/>
          <w:sz w:val="21"/>
          <w:szCs w:val="21"/>
        </w:rPr>
      </w:pPr>
      <w:bookmarkStart w:id="39" w:name="_Toc390421246"/>
      <w:bookmarkStart w:id="40" w:name="_Toc22549826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39"/>
      <w:bookmarkEnd w:id="4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）在对上投摩根核心成长股票型证券投资基金（以下称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1" w:name="_Toc225498265"/>
      <w:bookmarkStart w:id="42" w:name="_Toc390421247"/>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41"/>
      <w:r w:rsidRPr="00C56F63">
        <w:rPr>
          <w:rFonts w:ascii="Times New Roman" w:eastAsiaTheme="minorEastAsia" w:hAnsi="Times New Roman"/>
          <w:kern w:val="0"/>
          <w:sz w:val="21"/>
          <w:szCs w:val="21"/>
        </w:rPr>
        <w:t>说明</w:t>
      </w:r>
      <w:bookmarkEnd w:id="42"/>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本报告期内本基金未进行收益分配，符合基金合同的规定。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8"/>
      <w:bookmarkStart w:id="44" w:name="_Toc22549826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43"/>
      <w:bookmarkEnd w:id="4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本报告中的财务指标、净值表现、收益分配情况、财务会计报告（注：财务会计报告中的</w:t>
      </w:r>
      <w:r w:rsidRPr="00C56F63">
        <w:rPr>
          <w:rFonts w:eastAsiaTheme="minorEastAsia"/>
          <w:color w:val="000000"/>
          <w:szCs w:val="21"/>
        </w:rPr>
        <w:t>“</w:t>
      </w:r>
      <w:r w:rsidRPr="00C56F63">
        <w:rPr>
          <w:rFonts w:eastAsiaTheme="minorEastAsia"/>
          <w:color w:val="000000"/>
          <w:szCs w:val="21"/>
        </w:rPr>
        <w:t>金融工具风险及管理</w:t>
      </w:r>
      <w:r w:rsidRPr="00C56F63">
        <w:rPr>
          <w:rFonts w:eastAsiaTheme="minorEastAsia"/>
          <w:color w:val="000000"/>
          <w:szCs w:val="21"/>
        </w:rPr>
        <w:t>”</w:t>
      </w:r>
      <w:r w:rsidRPr="00C56F63">
        <w:rPr>
          <w:rFonts w:eastAsiaTheme="minorEastAsia"/>
          <w:color w:val="000000"/>
          <w:szCs w:val="21"/>
        </w:rPr>
        <w:t>部分未在托管人复核范围内）、投资组合报告等数据真实、准确和完整。</w:t>
      </w:r>
    </w:p>
    <w:p w:rsidR="00567F47" w:rsidRPr="00C56F63" w:rsidRDefault="00567F47" w:rsidP="00567F47">
      <w:pPr>
        <w:widowControl/>
        <w:jc w:val="left"/>
        <w:rPr>
          <w:rFonts w:eastAsiaTheme="minorEastAsia"/>
          <w:b/>
          <w:bCs/>
          <w:kern w:val="0"/>
          <w:szCs w:val="21"/>
        </w:rPr>
      </w:pPr>
      <w:bookmarkStart w:id="45" w:name="_Toc374540560"/>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45"/>
    </w:p>
    <w:p w:rsidR="006B65E1" w:rsidRPr="00C56F63" w:rsidRDefault="0005594A">
      <w:pPr>
        <w:pStyle w:val="2"/>
        <w:spacing w:before="0" w:after="0"/>
        <w:rPr>
          <w:rFonts w:ascii="Times New Roman" w:eastAsiaTheme="minorEastAsia" w:hAnsi="Times New Roman"/>
          <w:kern w:val="0"/>
          <w:sz w:val="21"/>
          <w:szCs w:val="21"/>
        </w:rPr>
      </w:pPr>
      <w:bookmarkStart w:id="46" w:name="_Toc225498268"/>
      <w:bookmarkStart w:id="47" w:name="_Toc390421250"/>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46"/>
      <w:bookmarkEnd w:id="47"/>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会计主体：上投摩根核心成长股票型证券投资基金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582,403,623.30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673,286,551.59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6,947,187.58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2,605,532.13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2,175,583.41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978,155.53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3,394,929,278.83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2,962,013,325.94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3,394,929,278.83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2,962,013,325.94</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177,400,000.00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125,859.92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152,327.15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1,244,311.02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13,032,188.95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3,987,825,844.06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3,829,468,081.29</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9,905,033.99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239,493,030.36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8,463,343.63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6,136,114.12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4,765,264.43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4,754,826.45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794,210.73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792,471.07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4,286,725.22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2,894,562.36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133,663.62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375,951.69</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28,348,241.62</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254,446,956.05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2,559,101,310.78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2,989,835,084.90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1,400,376,291.66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585,186,040.34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3,959,477,602.44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3,575,021,125.24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3,987,825,844.06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3,829,468,081.29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1.547</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2,559,101,310.78</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48" w:name="_Toc390421251"/>
      <w:bookmarkStart w:id="49" w:name="_Toc22549826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48"/>
      <w:bookmarkEnd w:id="4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上投摩根核心成长股票型证券投资基金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1,104,194,817.77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-1,364,664,219.77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3,208,458.06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4,005,629.53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2,397,806.04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3,713,666.27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661.77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809,990.25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291,963.26</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-365,047,350.00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-26,311,454.89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-385,554,387.00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-51,951,525.81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195,681.72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20,311,355.28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25,640,070.92</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1,463,500,038.80</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-1,354,212,761.57</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2,533,670.91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11,854,367.16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54,114,184.37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65,180,841.17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30,749,965.33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50,474,096.77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5,124,994.20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8,412,349.45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18,091,085.98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6,071,945.33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2.16</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148,136.70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222,449.62</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1,050,080,633.40</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-1,429,845,060.94</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1,050,080,633.40</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-1,429,845,060.94</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50" w:name="_Toc225498270"/>
      <w:bookmarkStart w:id="51" w:name="_Toc39042125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50"/>
      <w:bookmarkEnd w:id="51"/>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上投摩根核心成长股票型证券投资基金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2,989,835,084.90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585,186,040.34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3,575,021,125.24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1,050,080,633.40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1,050,080,633.40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-430,733,774.12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-234,890,382.08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-665,624,156.20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505,258,041.33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223,703,868.74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728,961,910.07</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-935,991,815.45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-458,594,250.82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-1,394,586,066.27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2,559,101,310.78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1,400,376,291.66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3,959,477,602.44</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3,904,326,844.03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4,539,019,204.64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8,443,346,048.67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-1,429,845,060.94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-1,429,845,060.94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-807,900,115.15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-834,850,160.59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-1,642,750,275.74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1,207,651,193.08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1,271,966,569.76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2,479,617,762.84</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-2,015,551,308.23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-2,106,816,730.35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-4,122,368,038.58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3,096,426,728.88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2,274,323,983.11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5,370,750,711.99</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52" w:name="_Toc390421253"/>
      <w:bookmarkStart w:id="53" w:name="_Toc22549827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52"/>
      <w:bookmarkEnd w:id="53"/>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上投摩根核心成长股票型证券投资基金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[2013]1460</w:t>
      </w:r>
      <w:r>
        <w:rPr>
          <w:rFonts w:eastAsiaTheme="minorEastAsia"/>
          <w:color w:val="000000"/>
          <w:szCs w:val="21"/>
        </w:rPr>
        <w:t>号《关于核准上投摩根核心成长股票型证券投资基金募集的批复》核准，由上投摩根基金管理有限公司依照《中华人民共和国证券投资基金法》和《上投摩根核心成长股票型证券投资基金基金合同》负责公开募集。本基金为契约型开放式，存续期限不定，首次设立募集不包括认购资金利息共募集</w:t>
      </w:r>
      <w:r>
        <w:rPr>
          <w:rFonts w:eastAsiaTheme="minorEastAsia"/>
          <w:color w:val="000000"/>
          <w:szCs w:val="21"/>
        </w:rPr>
        <w:t>1,192,212,812.67</w:t>
      </w:r>
      <w:r>
        <w:rPr>
          <w:rFonts w:eastAsiaTheme="minorEastAsia"/>
          <w:color w:val="000000"/>
          <w:szCs w:val="21"/>
        </w:rPr>
        <w:t>元，业经普华永道中天会计师事务所有限公司普华永道中天验字</w:t>
      </w:r>
      <w:r>
        <w:rPr>
          <w:rFonts w:eastAsiaTheme="minorEastAsia"/>
          <w:color w:val="000000"/>
          <w:szCs w:val="21"/>
        </w:rPr>
        <w:t>(2014)</w:t>
      </w:r>
      <w:r>
        <w:rPr>
          <w:rFonts w:eastAsiaTheme="minorEastAsia"/>
          <w:color w:val="000000"/>
          <w:szCs w:val="21"/>
        </w:rPr>
        <w:t>第</w:t>
      </w:r>
      <w:r>
        <w:rPr>
          <w:rFonts w:eastAsiaTheme="minorEastAsia"/>
          <w:color w:val="000000"/>
          <w:szCs w:val="21"/>
        </w:rPr>
        <w:t>033</w:t>
      </w:r>
      <w:r>
        <w:rPr>
          <w:rFonts w:eastAsiaTheme="minorEastAsia"/>
          <w:color w:val="000000"/>
          <w:szCs w:val="21"/>
        </w:rPr>
        <w:t>号验资报告予以验证。经向中国证监会备案，《上投摩根核心成长股票型证券投资基金基金合同》于</w:t>
      </w:r>
      <w:r>
        <w:rPr>
          <w:rFonts w:eastAsiaTheme="minorEastAsia"/>
          <w:color w:val="000000"/>
          <w:szCs w:val="21"/>
        </w:rPr>
        <w:t>2014</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10</w:t>
      </w:r>
      <w:r>
        <w:rPr>
          <w:rFonts w:eastAsiaTheme="minorEastAsia"/>
          <w:color w:val="000000"/>
          <w:szCs w:val="21"/>
        </w:rPr>
        <w:t>日正式生效，基金合同生效日的基金份额总额为</w:t>
      </w:r>
      <w:r>
        <w:rPr>
          <w:rFonts w:eastAsiaTheme="minorEastAsia"/>
          <w:color w:val="000000"/>
          <w:szCs w:val="21"/>
        </w:rPr>
        <w:t>1,192,543,995.57</w:t>
      </w:r>
      <w:r>
        <w:rPr>
          <w:rFonts w:eastAsiaTheme="minorEastAsia"/>
          <w:color w:val="000000"/>
          <w:szCs w:val="21"/>
        </w:rPr>
        <w:t>份基金份额，其中认购资金利息折合</w:t>
      </w:r>
      <w:r>
        <w:rPr>
          <w:rFonts w:eastAsiaTheme="minorEastAsia"/>
          <w:color w:val="000000"/>
          <w:szCs w:val="21"/>
        </w:rPr>
        <w:t>331,182.90</w:t>
      </w:r>
      <w:r>
        <w:rPr>
          <w:rFonts w:eastAsiaTheme="minorEastAsia"/>
          <w:color w:val="000000"/>
          <w:szCs w:val="21"/>
        </w:rPr>
        <w:t>份基金份额。本基金的基金管理人为上投摩根基金管理有限公司，基金托管人为中国银行股份有限公司。</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根据《中华人民共和国证券投资基金法》和《上投摩根核心成长股票型证券投资基金基金合同》的有关规定，本基金的投资范围为具有良好流动性的金融工具，包括国内依法发行上市的股票</w:t>
      </w:r>
      <w:r>
        <w:rPr>
          <w:rFonts w:eastAsiaTheme="minorEastAsia"/>
          <w:color w:val="000000"/>
          <w:szCs w:val="21"/>
        </w:rPr>
        <w:t>(</w:t>
      </w:r>
      <w:r>
        <w:rPr>
          <w:rFonts w:eastAsiaTheme="minorEastAsia"/>
          <w:color w:val="000000"/>
          <w:szCs w:val="21"/>
        </w:rPr>
        <w:t>含中小板、创业板及其他经中国证监会核准上市的股票</w:t>
      </w:r>
      <w:r>
        <w:rPr>
          <w:rFonts w:eastAsiaTheme="minorEastAsia"/>
          <w:color w:val="000000"/>
          <w:szCs w:val="21"/>
        </w:rPr>
        <w:t>)</w:t>
      </w:r>
      <w:r>
        <w:rPr>
          <w:rFonts w:eastAsiaTheme="minorEastAsia"/>
          <w:color w:val="000000"/>
          <w:szCs w:val="21"/>
        </w:rPr>
        <w:t>、债券</w:t>
      </w:r>
      <w:r>
        <w:rPr>
          <w:rFonts w:eastAsiaTheme="minorEastAsia"/>
          <w:color w:val="000000"/>
          <w:szCs w:val="21"/>
        </w:rPr>
        <w:t>(</w:t>
      </w:r>
      <w:r>
        <w:rPr>
          <w:rFonts w:eastAsiaTheme="minorEastAsia"/>
          <w:color w:val="000000"/>
          <w:szCs w:val="21"/>
        </w:rPr>
        <w:t>含中期票据、可转换债券、分离交易可转债、中小企业私募债等</w:t>
      </w:r>
      <w:r>
        <w:rPr>
          <w:rFonts w:eastAsiaTheme="minorEastAsia"/>
          <w:color w:val="000000"/>
          <w:szCs w:val="21"/>
        </w:rPr>
        <w:t>)</w:t>
      </w:r>
      <w:r>
        <w:rPr>
          <w:rFonts w:eastAsiaTheme="minorEastAsia"/>
          <w:color w:val="000000"/>
          <w:szCs w:val="21"/>
        </w:rPr>
        <w:t>、货币市场工具、权证、资产支持证券、股指期货以及法律法规或中国证监会允许基金投资的其他金融工具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但须符合中国证监会相关规定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szCs w:val="21"/>
        </w:rPr>
        <w:t>80%-95%</w:t>
      </w:r>
      <w:r>
        <w:rPr>
          <w:rFonts w:eastAsiaTheme="minorEastAsia"/>
          <w:color w:val="000000"/>
          <w:szCs w:val="21"/>
        </w:rPr>
        <w:t>，其余资产投资于债券、货币市场工具、股指期货、权证、资产支持证券等金融工具；不低于</w:t>
      </w:r>
      <w:r>
        <w:rPr>
          <w:rFonts w:eastAsiaTheme="minorEastAsia"/>
          <w:color w:val="000000"/>
          <w:szCs w:val="21"/>
        </w:rPr>
        <w:t>80%</w:t>
      </w:r>
      <w:r>
        <w:rPr>
          <w:rFonts w:eastAsiaTheme="minorEastAsia"/>
          <w:color w:val="000000"/>
          <w:szCs w:val="21"/>
        </w:rPr>
        <w:t>的非现金基金资产投资于具有良好成长性的内部研究组合中的股票；权证投资占基金资产净值的</w:t>
      </w:r>
      <w:r>
        <w:rPr>
          <w:rFonts w:eastAsiaTheme="minorEastAsia"/>
          <w:color w:val="000000"/>
          <w:szCs w:val="21"/>
        </w:rPr>
        <w:t>0-3%</w:t>
      </w:r>
      <w:r>
        <w:rPr>
          <w:rFonts w:eastAsiaTheme="minorEastAsia"/>
          <w:color w:val="000000"/>
          <w:szCs w:val="21"/>
        </w:rPr>
        <w:t>；每个交易日日终在扣除股指期货合约需缴纳的交易保证金后，保持现金或到期日在一年期以内的政府债券不低于基金资产净值的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，其中现金不包括结算备付金、存出保证金、应收申购款等。本基金的业绩比较基准为：沪深</w:t>
      </w:r>
      <w:r>
        <w:rPr>
          <w:rFonts w:eastAsiaTheme="minorEastAsia"/>
          <w:color w:val="000000"/>
          <w:szCs w:val="21"/>
        </w:rPr>
        <w:t>300</w:t>
      </w:r>
      <w:r>
        <w:rPr>
          <w:rFonts w:eastAsiaTheme="minorEastAsia"/>
          <w:color w:val="000000"/>
          <w:szCs w:val="21"/>
        </w:rPr>
        <w:t>指数收益率</w:t>
      </w:r>
      <w:r>
        <w:rPr>
          <w:rFonts w:eastAsiaTheme="minorEastAsia"/>
          <w:color w:val="000000"/>
          <w:szCs w:val="21"/>
        </w:rPr>
        <w:t>×85%+</w:t>
      </w:r>
      <w:r>
        <w:rPr>
          <w:rFonts w:eastAsiaTheme="minorEastAsia"/>
          <w:color w:val="000000"/>
          <w:szCs w:val="21"/>
        </w:rPr>
        <w:t>中债总指数收益率</w:t>
      </w:r>
      <w:r>
        <w:rPr>
          <w:rFonts w:eastAsiaTheme="minorEastAsia"/>
          <w:color w:val="000000"/>
          <w:szCs w:val="21"/>
        </w:rPr>
        <w:t>×15%</w:t>
      </w:r>
      <w:r>
        <w:rPr>
          <w:rFonts w:eastAsiaTheme="minorEastAsia"/>
          <w:color w:val="000000"/>
          <w:szCs w:val="21"/>
        </w:rPr>
        <w:t>。</w:t>
      </w:r>
    </w:p>
    <w:p w:rsidR="003779EB" w:rsidRDefault="003779E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颁布的《证券投资基金会计核算业务指引》、《上投摩根核心成长股票型证券投资基金基金合同》和在财务报表附注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3779EB" w:rsidRDefault="003779E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3779EB" w:rsidRDefault="003779EB">
      <w:pPr>
        <w:spacing w:line="360" w:lineRule="auto"/>
        <w:ind w:firstLineChars="200" w:firstLine="420"/>
        <w:rPr>
          <w:rFonts w:eastAsiaTheme="minorEastAsia"/>
          <w:color w:val="000000"/>
          <w:szCs w:val="21"/>
        </w:rPr>
      </w:pPr>
    </w:p>
    <w:p w:rsidR="003779EB" w:rsidRDefault="00815304">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3779EB" w:rsidRDefault="003779E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7</w:t>
      </w:r>
      <w:r w:rsidRPr="00C56F63">
        <w:rPr>
          <w:rFonts w:eastAsiaTheme="minorEastAsia"/>
          <w:b/>
          <w:bCs/>
          <w:color w:val="000000"/>
          <w:kern w:val="0"/>
          <w:szCs w:val="21"/>
        </w:rPr>
        <w:t xml:space="preserve">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7</w:t>
      </w:r>
      <w:r w:rsidRPr="00C56F63">
        <w:rPr>
          <w:rFonts w:eastAsiaTheme="minorEastAsia"/>
          <w:b/>
          <w:bCs/>
          <w:color w:val="000000"/>
          <w:kern w:val="0"/>
          <w:szCs w:val="21"/>
        </w:rPr>
        <w:t>.1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7</w:t>
      </w:r>
      <w:r w:rsidRPr="00C56F63">
        <w:rPr>
          <w:rFonts w:eastAsiaTheme="minorEastAsia"/>
          <w:b/>
          <w:bCs/>
          <w:color w:val="000000"/>
          <w:kern w:val="0"/>
          <w:szCs w:val="21"/>
        </w:rPr>
        <w:t xml:space="preserve">.2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3779EB">
        <w:tc>
          <w:tcPr>
            <w:tcW w:w="5220" w:type="dxa"/>
            <w:vAlign w:val="center"/>
          </w:tcPr>
          <w:p w:rsidR="003779EB" w:rsidRDefault="00815304">
            <w:pPr>
              <w:jc w:val="left"/>
            </w:pPr>
            <w:r>
              <w:rPr>
                <w:rFonts w:eastAsiaTheme="minorEastAsia"/>
                <w:color w:val="000000"/>
                <w:szCs w:val="21"/>
              </w:rPr>
              <w:t>上投摩根基金管理有限公司</w:t>
            </w:r>
          </w:p>
        </w:tc>
        <w:tc>
          <w:tcPr>
            <w:tcW w:w="3780" w:type="dxa"/>
            <w:vAlign w:val="center"/>
          </w:tcPr>
          <w:p w:rsidR="003779EB" w:rsidRDefault="00815304">
            <w:pPr>
              <w:jc w:val="left"/>
            </w:pPr>
            <w:r>
              <w:rPr>
                <w:rFonts w:eastAsiaTheme="minorEastAsia"/>
                <w:color w:val="000000"/>
                <w:szCs w:val="21"/>
              </w:rPr>
              <w:t>基金管理人、注册登记机构、基金销售机构</w:t>
            </w:r>
          </w:p>
        </w:tc>
      </w:tr>
      <w:tr w:rsidR="003779EB">
        <w:tc>
          <w:tcPr>
            <w:tcW w:w="5220" w:type="dxa"/>
            <w:vAlign w:val="center"/>
          </w:tcPr>
          <w:p w:rsidR="003779EB" w:rsidRDefault="00815304">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3779EB" w:rsidRDefault="00815304">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30,749,965.33</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50,474,096.77</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10,904,717.71</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16,987,733.16</w:t>
            </w:r>
          </w:p>
        </w:tc>
      </w:tr>
    </w:tbl>
    <w:p w:rsidR="003779EB" w:rsidRDefault="00815304">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5,124,994.20</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8,412,349.45</w:t>
            </w:r>
          </w:p>
        </w:tc>
      </w:tr>
    </w:tbl>
    <w:p w:rsidR="003779EB" w:rsidRDefault="0081530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3779EB">
        <w:tc>
          <w:tcPr>
            <w:tcW w:w="2694" w:type="dxa"/>
            <w:vAlign w:val="center"/>
          </w:tcPr>
          <w:p w:rsidR="003779EB" w:rsidRDefault="00815304">
            <w:pPr>
              <w:jc w:val="left"/>
            </w:pPr>
            <w:r>
              <w:rPr>
                <w:rFonts w:eastAsiaTheme="minorEastAsia"/>
                <w:szCs w:val="21"/>
              </w:rPr>
              <w:t>中国银行</w:t>
            </w:r>
          </w:p>
        </w:tc>
        <w:tc>
          <w:tcPr>
            <w:tcW w:w="1417" w:type="dxa"/>
            <w:vAlign w:val="center"/>
          </w:tcPr>
          <w:p w:rsidR="003779EB" w:rsidRDefault="00815304">
            <w:pPr>
              <w:jc w:val="right"/>
            </w:pPr>
            <w:r>
              <w:rPr>
                <w:rFonts w:eastAsiaTheme="minorEastAsia"/>
                <w:szCs w:val="21"/>
              </w:rPr>
              <w:t>582,403,623.30</w:t>
            </w:r>
          </w:p>
        </w:tc>
        <w:tc>
          <w:tcPr>
            <w:tcW w:w="1736" w:type="dxa"/>
            <w:vAlign w:val="center"/>
          </w:tcPr>
          <w:p w:rsidR="003779EB" w:rsidRDefault="00815304">
            <w:pPr>
              <w:jc w:val="right"/>
            </w:pPr>
            <w:r>
              <w:rPr>
                <w:rFonts w:eastAsiaTheme="minorEastAsia"/>
                <w:szCs w:val="21"/>
              </w:rPr>
              <w:t>2,278,879.28</w:t>
            </w:r>
          </w:p>
        </w:tc>
        <w:tc>
          <w:tcPr>
            <w:tcW w:w="1383" w:type="dxa"/>
            <w:vAlign w:val="center"/>
          </w:tcPr>
          <w:p w:rsidR="003779EB" w:rsidRDefault="00815304">
            <w:pPr>
              <w:jc w:val="right"/>
            </w:pPr>
            <w:r>
              <w:rPr>
                <w:rFonts w:eastAsiaTheme="minorEastAsia"/>
                <w:szCs w:val="21"/>
              </w:rPr>
              <w:t>378,283,055.71</w:t>
            </w:r>
          </w:p>
        </w:tc>
        <w:tc>
          <w:tcPr>
            <w:tcW w:w="1770" w:type="dxa"/>
            <w:vAlign w:val="center"/>
          </w:tcPr>
          <w:p w:rsidR="003779EB" w:rsidRDefault="00815304">
            <w:pPr>
              <w:jc w:val="right"/>
            </w:pPr>
            <w:r>
              <w:rPr>
                <w:rFonts w:eastAsiaTheme="minorEastAsia"/>
                <w:szCs w:val="21"/>
              </w:rPr>
              <w:t>3,655,230.69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注：本基金的银行存款由基金托管人中国银行股份有限公司保管，按银行同业利率计息。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8</w:t>
      </w:r>
      <w:r w:rsidRPr="00C56F63">
        <w:rPr>
          <w:rFonts w:eastAsiaTheme="minorEastAsia"/>
          <w:b/>
          <w:bCs/>
          <w:color w:val="000000"/>
          <w:kern w:val="0"/>
          <w:szCs w:val="21"/>
        </w:rPr>
        <w:t xml:space="preserve">.6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952F5E">
        <w:rPr>
          <w:rFonts w:eastAsiaTheme="minorEastAsia" w:hint="eastAsia"/>
          <w:b/>
          <w:bCs/>
          <w:color w:val="000000" w:themeColor="text1"/>
          <w:kern w:val="0"/>
          <w:szCs w:val="21"/>
        </w:rPr>
        <w:t>8</w:t>
      </w:r>
      <w:r w:rsidRPr="00C56F63">
        <w:rPr>
          <w:rFonts w:eastAsiaTheme="minorEastAsia"/>
          <w:b/>
          <w:bCs/>
          <w:color w:val="000000" w:themeColor="text1"/>
          <w:kern w:val="0"/>
          <w:szCs w:val="21"/>
        </w:rPr>
        <w:t xml:space="preserve">.7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952F5E">
        <w:rPr>
          <w:rFonts w:eastAsiaTheme="minorEastAsia" w:hint="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w:t>
      </w:r>
      <w:r w:rsidR="00952F5E">
        <w:rPr>
          <w:rFonts w:eastAsiaTheme="minorEastAsia" w:hint="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9</w:t>
      </w:r>
      <w:r w:rsidRPr="00C56F63">
        <w:rPr>
          <w:rFonts w:eastAsiaTheme="minorEastAsia"/>
          <w:b/>
          <w:bCs/>
          <w:color w:val="000000"/>
          <w:kern w:val="0"/>
          <w:szCs w:val="21"/>
        </w:rPr>
        <w:t xml:space="preserve">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9</w:t>
      </w:r>
      <w:r w:rsidRPr="00C56F63">
        <w:rPr>
          <w:rFonts w:eastAsiaTheme="minorEastAsia"/>
          <w:b/>
          <w:bCs/>
          <w:color w:val="000000"/>
          <w:kern w:val="0"/>
          <w:szCs w:val="21"/>
        </w:rPr>
        <w:t xml:space="preserve">.1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rsidP="00952F5E">
            <w:pPr>
              <w:rPr>
                <w:rFonts w:eastAsiaTheme="minorEastAsia"/>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9</w:t>
            </w:r>
            <w:r w:rsidRPr="00C56F63">
              <w:rPr>
                <w:rFonts w:eastAsiaTheme="minorEastAsia"/>
                <w:b/>
                <w:bCs/>
                <w:color w:val="000000"/>
                <w:kern w:val="0"/>
                <w:szCs w:val="21"/>
              </w:rPr>
              <w:t>.1.1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815304">
        <w:tc>
          <w:tcPr>
            <w:tcW w:w="834" w:type="dxa"/>
            <w:vAlign w:val="center"/>
          </w:tcPr>
          <w:p w:rsidR="00815304" w:rsidRDefault="00815304" w:rsidP="00815304">
            <w:pPr>
              <w:jc w:val="center"/>
            </w:pPr>
            <w:r>
              <w:rPr>
                <w:rFonts w:eastAsiaTheme="minorEastAsia"/>
                <w:szCs w:val="21"/>
              </w:rPr>
              <w:t>002952</w:t>
            </w:r>
          </w:p>
        </w:tc>
        <w:tc>
          <w:tcPr>
            <w:tcW w:w="835" w:type="dxa"/>
            <w:vAlign w:val="center"/>
          </w:tcPr>
          <w:p w:rsidR="00815304" w:rsidRDefault="00815304" w:rsidP="00815304">
            <w:pPr>
              <w:jc w:val="center"/>
            </w:pPr>
            <w:r>
              <w:rPr>
                <w:rFonts w:eastAsiaTheme="minorEastAsia"/>
                <w:szCs w:val="21"/>
              </w:rPr>
              <w:t>亚世光电</w:t>
            </w:r>
          </w:p>
        </w:tc>
        <w:tc>
          <w:tcPr>
            <w:tcW w:w="834" w:type="dxa"/>
            <w:vAlign w:val="center"/>
          </w:tcPr>
          <w:p w:rsidR="00815304" w:rsidRDefault="00815304" w:rsidP="00815304">
            <w:pPr>
              <w:jc w:val="center"/>
            </w:pPr>
            <w:r>
              <w:rPr>
                <w:rFonts w:eastAsiaTheme="minorEastAsia"/>
                <w:szCs w:val="21"/>
              </w:rPr>
              <w:t>2019-03-20</w:t>
            </w:r>
          </w:p>
        </w:tc>
        <w:tc>
          <w:tcPr>
            <w:tcW w:w="835" w:type="dxa"/>
            <w:vAlign w:val="center"/>
          </w:tcPr>
          <w:p w:rsidR="00815304" w:rsidRDefault="00815304" w:rsidP="00815304">
            <w:pPr>
              <w:jc w:val="center"/>
            </w:pPr>
            <w:r>
              <w:rPr>
                <w:rFonts w:eastAsiaTheme="minorEastAsia"/>
                <w:szCs w:val="21"/>
              </w:rPr>
              <w:t>2020-03-28</w:t>
            </w:r>
          </w:p>
        </w:tc>
        <w:tc>
          <w:tcPr>
            <w:tcW w:w="834" w:type="dxa"/>
            <w:vAlign w:val="center"/>
          </w:tcPr>
          <w:p w:rsidR="00815304" w:rsidRDefault="00815304" w:rsidP="00815304">
            <w:pPr>
              <w:jc w:val="center"/>
            </w:pPr>
            <w:r>
              <w:rPr>
                <w:rFonts w:eastAsiaTheme="minorEastAsia"/>
                <w:szCs w:val="21"/>
              </w:rPr>
              <w:t>限售股</w:t>
            </w:r>
          </w:p>
        </w:tc>
        <w:tc>
          <w:tcPr>
            <w:tcW w:w="835" w:type="dxa"/>
            <w:vAlign w:val="center"/>
          </w:tcPr>
          <w:p w:rsidR="00815304" w:rsidRDefault="00815304" w:rsidP="00815304">
            <w:pPr>
              <w:jc w:val="right"/>
            </w:pPr>
            <w:r>
              <w:rPr>
                <w:rFonts w:eastAsiaTheme="minorEastAsia"/>
                <w:szCs w:val="21"/>
              </w:rPr>
              <w:t>31.14</w:t>
            </w:r>
          </w:p>
        </w:tc>
        <w:tc>
          <w:tcPr>
            <w:tcW w:w="834" w:type="dxa"/>
            <w:vAlign w:val="center"/>
          </w:tcPr>
          <w:p w:rsidR="00815304" w:rsidRDefault="00815304" w:rsidP="00815304">
            <w:pPr>
              <w:jc w:val="center"/>
            </w:pPr>
            <w:r>
              <w:rPr>
                <w:rFonts w:eastAsiaTheme="minorEastAsia"/>
                <w:szCs w:val="21"/>
              </w:rPr>
              <w:t>31.14</w:t>
            </w:r>
          </w:p>
        </w:tc>
        <w:tc>
          <w:tcPr>
            <w:tcW w:w="835" w:type="dxa"/>
            <w:vAlign w:val="center"/>
          </w:tcPr>
          <w:p w:rsidR="00815304" w:rsidRDefault="00815304" w:rsidP="00815304">
            <w:pPr>
              <w:jc w:val="right"/>
            </w:pPr>
            <w:r>
              <w:rPr>
                <w:rFonts w:eastAsiaTheme="minorEastAsia"/>
                <w:szCs w:val="21"/>
              </w:rPr>
              <w:t>23,673.00</w:t>
            </w:r>
          </w:p>
        </w:tc>
        <w:tc>
          <w:tcPr>
            <w:tcW w:w="834" w:type="dxa"/>
            <w:vAlign w:val="center"/>
          </w:tcPr>
          <w:p w:rsidR="00815304" w:rsidRDefault="00815304" w:rsidP="00815304">
            <w:pPr>
              <w:jc w:val="right"/>
            </w:pPr>
            <w:r>
              <w:rPr>
                <w:rFonts w:eastAsiaTheme="minorEastAsia"/>
                <w:szCs w:val="21"/>
              </w:rPr>
              <w:t>737,177.22</w:t>
            </w:r>
          </w:p>
        </w:tc>
        <w:tc>
          <w:tcPr>
            <w:tcW w:w="835" w:type="dxa"/>
            <w:vAlign w:val="center"/>
          </w:tcPr>
          <w:p w:rsidR="00815304" w:rsidRDefault="00815304" w:rsidP="00815304">
            <w:pPr>
              <w:jc w:val="right"/>
            </w:pPr>
            <w:r>
              <w:rPr>
                <w:rFonts w:eastAsiaTheme="minorEastAsia"/>
                <w:szCs w:val="21"/>
              </w:rPr>
              <w:t>737,177.22</w:t>
            </w:r>
          </w:p>
        </w:tc>
        <w:tc>
          <w:tcPr>
            <w:tcW w:w="835" w:type="dxa"/>
            <w:vAlign w:val="center"/>
          </w:tcPr>
          <w:p w:rsidR="00815304" w:rsidRDefault="00815304" w:rsidP="00815304">
            <w:pPr>
              <w:jc w:val="center"/>
            </w:pPr>
            <w:r>
              <w:rPr>
                <w:rFonts w:eastAsiaTheme="minorEastAsia"/>
                <w:szCs w:val="21"/>
              </w:rPr>
              <w:t>-</w:t>
            </w:r>
          </w:p>
        </w:tc>
      </w:tr>
      <w:tr w:rsidR="00815304">
        <w:tc>
          <w:tcPr>
            <w:tcW w:w="834" w:type="dxa"/>
            <w:vAlign w:val="center"/>
          </w:tcPr>
          <w:p w:rsidR="00815304" w:rsidRDefault="00815304" w:rsidP="00815304">
            <w:pPr>
              <w:jc w:val="center"/>
            </w:pPr>
            <w:r>
              <w:rPr>
                <w:rFonts w:eastAsiaTheme="minorEastAsia"/>
                <w:szCs w:val="21"/>
              </w:rPr>
              <w:t>002952</w:t>
            </w:r>
          </w:p>
        </w:tc>
        <w:tc>
          <w:tcPr>
            <w:tcW w:w="835" w:type="dxa"/>
            <w:vAlign w:val="center"/>
          </w:tcPr>
          <w:p w:rsidR="00815304" w:rsidRDefault="00815304" w:rsidP="00815304">
            <w:pPr>
              <w:jc w:val="center"/>
            </w:pPr>
            <w:r>
              <w:rPr>
                <w:rFonts w:eastAsiaTheme="minorEastAsia"/>
                <w:szCs w:val="21"/>
              </w:rPr>
              <w:t>亚世光电</w:t>
            </w:r>
          </w:p>
        </w:tc>
        <w:tc>
          <w:tcPr>
            <w:tcW w:w="834" w:type="dxa"/>
            <w:vAlign w:val="center"/>
          </w:tcPr>
          <w:p w:rsidR="00815304" w:rsidRDefault="00815304" w:rsidP="00815304">
            <w:pPr>
              <w:jc w:val="center"/>
            </w:pPr>
            <w:r>
              <w:rPr>
                <w:rFonts w:eastAsiaTheme="minorEastAsia"/>
                <w:szCs w:val="21"/>
              </w:rPr>
              <w:t>2019-03-20</w:t>
            </w:r>
          </w:p>
        </w:tc>
        <w:tc>
          <w:tcPr>
            <w:tcW w:w="835" w:type="dxa"/>
            <w:vAlign w:val="center"/>
          </w:tcPr>
          <w:p w:rsidR="00815304" w:rsidRDefault="00815304" w:rsidP="00815304">
            <w:pPr>
              <w:jc w:val="center"/>
            </w:pPr>
            <w:r>
              <w:rPr>
                <w:rFonts w:eastAsiaTheme="minorEastAsia"/>
                <w:szCs w:val="21"/>
              </w:rPr>
              <w:t>2020-03-28</w:t>
            </w:r>
          </w:p>
        </w:tc>
        <w:tc>
          <w:tcPr>
            <w:tcW w:w="834" w:type="dxa"/>
            <w:vAlign w:val="center"/>
          </w:tcPr>
          <w:p w:rsidR="00815304" w:rsidRDefault="00815304" w:rsidP="00815304">
            <w:pPr>
              <w:jc w:val="center"/>
            </w:pPr>
            <w:r>
              <w:rPr>
                <w:rFonts w:eastAsiaTheme="minorEastAsia"/>
                <w:szCs w:val="21"/>
              </w:rPr>
              <w:t>限售股</w:t>
            </w:r>
          </w:p>
        </w:tc>
        <w:tc>
          <w:tcPr>
            <w:tcW w:w="835" w:type="dxa"/>
            <w:vAlign w:val="center"/>
          </w:tcPr>
          <w:p w:rsidR="00815304" w:rsidRDefault="00815304" w:rsidP="00815304">
            <w:pPr>
              <w:jc w:val="right"/>
            </w:pPr>
            <w:r>
              <w:rPr>
                <w:rFonts w:eastAsiaTheme="minorEastAsia"/>
                <w:szCs w:val="21"/>
              </w:rPr>
              <w:t>-</w:t>
            </w:r>
          </w:p>
        </w:tc>
        <w:tc>
          <w:tcPr>
            <w:tcW w:w="834" w:type="dxa"/>
            <w:vAlign w:val="center"/>
          </w:tcPr>
          <w:p w:rsidR="00815304" w:rsidRDefault="00815304" w:rsidP="00815304">
            <w:pPr>
              <w:jc w:val="center"/>
            </w:pPr>
            <w:r>
              <w:rPr>
                <w:rFonts w:eastAsiaTheme="minorEastAsia"/>
                <w:szCs w:val="21"/>
              </w:rPr>
              <w:t>31.14</w:t>
            </w:r>
          </w:p>
        </w:tc>
        <w:tc>
          <w:tcPr>
            <w:tcW w:w="835" w:type="dxa"/>
            <w:vAlign w:val="center"/>
          </w:tcPr>
          <w:p w:rsidR="00815304" w:rsidRDefault="00815304" w:rsidP="00815304">
            <w:pPr>
              <w:jc w:val="right"/>
            </w:pPr>
            <w:r>
              <w:rPr>
                <w:rFonts w:eastAsiaTheme="minorEastAsia"/>
                <w:szCs w:val="21"/>
              </w:rPr>
              <w:t>11,836.00</w:t>
            </w:r>
          </w:p>
        </w:tc>
        <w:tc>
          <w:tcPr>
            <w:tcW w:w="834" w:type="dxa"/>
            <w:vAlign w:val="center"/>
          </w:tcPr>
          <w:p w:rsidR="00815304" w:rsidRDefault="00815304" w:rsidP="00815304">
            <w:pPr>
              <w:jc w:val="right"/>
            </w:pPr>
            <w:r>
              <w:rPr>
                <w:rFonts w:eastAsiaTheme="minorEastAsia"/>
                <w:szCs w:val="21"/>
              </w:rPr>
              <w:t>-</w:t>
            </w:r>
          </w:p>
        </w:tc>
        <w:tc>
          <w:tcPr>
            <w:tcW w:w="835" w:type="dxa"/>
            <w:vAlign w:val="center"/>
          </w:tcPr>
          <w:p w:rsidR="00815304" w:rsidRDefault="00815304" w:rsidP="00815304">
            <w:pPr>
              <w:jc w:val="right"/>
            </w:pPr>
            <w:r>
              <w:rPr>
                <w:rFonts w:eastAsiaTheme="minorEastAsia"/>
                <w:szCs w:val="21"/>
              </w:rPr>
              <w:t>368,573.04</w:t>
            </w:r>
          </w:p>
        </w:tc>
        <w:tc>
          <w:tcPr>
            <w:tcW w:w="835" w:type="dxa"/>
            <w:vAlign w:val="center"/>
          </w:tcPr>
          <w:p w:rsidR="00815304" w:rsidRDefault="00815304" w:rsidP="00815304">
            <w:pPr>
              <w:jc w:val="center"/>
              <w:rPr>
                <w:rFonts w:eastAsiaTheme="minorEastAsia"/>
                <w:szCs w:val="21"/>
              </w:rPr>
            </w:pPr>
          </w:p>
        </w:tc>
      </w:tr>
      <w:tr w:rsidR="003779EB">
        <w:tc>
          <w:tcPr>
            <w:tcW w:w="834" w:type="dxa"/>
            <w:vAlign w:val="center"/>
          </w:tcPr>
          <w:p w:rsidR="003779EB" w:rsidRDefault="00815304">
            <w:pPr>
              <w:jc w:val="center"/>
            </w:pPr>
            <w:r>
              <w:rPr>
                <w:rFonts w:eastAsiaTheme="minorEastAsia"/>
                <w:szCs w:val="21"/>
              </w:rPr>
              <w:t>300788</w:t>
            </w:r>
          </w:p>
        </w:tc>
        <w:tc>
          <w:tcPr>
            <w:tcW w:w="835" w:type="dxa"/>
            <w:vAlign w:val="center"/>
          </w:tcPr>
          <w:p w:rsidR="003779EB" w:rsidRDefault="00815304">
            <w:pPr>
              <w:jc w:val="center"/>
            </w:pPr>
            <w:r>
              <w:rPr>
                <w:rFonts w:eastAsiaTheme="minorEastAsia"/>
                <w:szCs w:val="21"/>
              </w:rPr>
              <w:t>中信出版</w:t>
            </w:r>
          </w:p>
        </w:tc>
        <w:tc>
          <w:tcPr>
            <w:tcW w:w="834" w:type="dxa"/>
            <w:vAlign w:val="center"/>
          </w:tcPr>
          <w:p w:rsidR="003779EB" w:rsidRDefault="00815304">
            <w:pPr>
              <w:jc w:val="center"/>
            </w:pPr>
            <w:r>
              <w:rPr>
                <w:rFonts w:eastAsiaTheme="minorEastAsia"/>
                <w:szCs w:val="21"/>
              </w:rPr>
              <w:t>2019-06-27</w:t>
            </w:r>
          </w:p>
        </w:tc>
        <w:tc>
          <w:tcPr>
            <w:tcW w:w="835" w:type="dxa"/>
            <w:vAlign w:val="center"/>
          </w:tcPr>
          <w:p w:rsidR="003779EB" w:rsidRDefault="00815304">
            <w:pPr>
              <w:jc w:val="center"/>
            </w:pPr>
            <w:r>
              <w:rPr>
                <w:rFonts w:eastAsiaTheme="minorEastAsia"/>
                <w:szCs w:val="21"/>
              </w:rPr>
              <w:t>2019-07-05</w:t>
            </w:r>
          </w:p>
        </w:tc>
        <w:tc>
          <w:tcPr>
            <w:tcW w:w="834" w:type="dxa"/>
            <w:vAlign w:val="center"/>
          </w:tcPr>
          <w:p w:rsidR="003779EB" w:rsidRDefault="00815304">
            <w:pPr>
              <w:jc w:val="center"/>
            </w:pPr>
            <w:r>
              <w:rPr>
                <w:rFonts w:eastAsiaTheme="minorEastAsia"/>
                <w:szCs w:val="21"/>
              </w:rPr>
              <w:t>新股未上市</w:t>
            </w:r>
          </w:p>
        </w:tc>
        <w:tc>
          <w:tcPr>
            <w:tcW w:w="835" w:type="dxa"/>
            <w:vAlign w:val="center"/>
          </w:tcPr>
          <w:p w:rsidR="003779EB" w:rsidRDefault="00815304">
            <w:pPr>
              <w:jc w:val="right"/>
            </w:pPr>
            <w:r>
              <w:rPr>
                <w:rFonts w:eastAsiaTheme="minorEastAsia"/>
                <w:szCs w:val="21"/>
              </w:rPr>
              <w:t>14.85</w:t>
            </w:r>
          </w:p>
        </w:tc>
        <w:tc>
          <w:tcPr>
            <w:tcW w:w="834" w:type="dxa"/>
            <w:vAlign w:val="center"/>
          </w:tcPr>
          <w:p w:rsidR="003779EB" w:rsidRDefault="00815304">
            <w:pPr>
              <w:jc w:val="center"/>
            </w:pPr>
            <w:r>
              <w:rPr>
                <w:rFonts w:eastAsiaTheme="minorEastAsia"/>
                <w:szCs w:val="21"/>
              </w:rPr>
              <w:t>14.85</w:t>
            </w:r>
          </w:p>
        </w:tc>
        <w:tc>
          <w:tcPr>
            <w:tcW w:w="835" w:type="dxa"/>
            <w:vAlign w:val="center"/>
          </w:tcPr>
          <w:p w:rsidR="003779EB" w:rsidRDefault="00815304">
            <w:pPr>
              <w:jc w:val="right"/>
            </w:pPr>
            <w:r>
              <w:rPr>
                <w:rFonts w:eastAsiaTheme="minorEastAsia"/>
                <w:szCs w:val="21"/>
              </w:rPr>
              <w:t>1,556.00</w:t>
            </w:r>
          </w:p>
        </w:tc>
        <w:tc>
          <w:tcPr>
            <w:tcW w:w="834" w:type="dxa"/>
            <w:vAlign w:val="center"/>
          </w:tcPr>
          <w:p w:rsidR="003779EB" w:rsidRDefault="00815304">
            <w:pPr>
              <w:jc w:val="right"/>
            </w:pPr>
            <w:r>
              <w:rPr>
                <w:rFonts w:eastAsiaTheme="minorEastAsia"/>
                <w:szCs w:val="21"/>
              </w:rPr>
              <w:t>23,106.60</w:t>
            </w:r>
          </w:p>
        </w:tc>
        <w:tc>
          <w:tcPr>
            <w:tcW w:w="835" w:type="dxa"/>
            <w:vAlign w:val="center"/>
          </w:tcPr>
          <w:p w:rsidR="003779EB" w:rsidRDefault="00815304">
            <w:pPr>
              <w:jc w:val="right"/>
            </w:pPr>
            <w:r>
              <w:rPr>
                <w:rFonts w:eastAsiaTheme="minorEastAsia"/>
                <w:szCs w:val="21"/>
              </w:rPr>
              <w:t>23,106.60</w:t>
            </w:r>
          </w:p>
        </w:tc>
        <w:tc>
          <w:tcPr>
            <w:tcW w:w="835" w:type="dxa"/>
            <w:vAlign w:val="center"/>
          </w:tcPr>
          <w:p w:rsidR="003779EB" w:rsidRDefault="00815304">
            <w:pPr>
              <w:jc w:val="center"/>
            </w:pPr>
            <w:r>
              <w:rPr>
                <w:rFonts w:eastAsiaTheme="minorEastAsia"/>
                <w:szCs w:val="21"/>
              </w:rPr>
              <w:t>-</w:t>
            </w:r>
          </w:p>
        </w:tc>
      </w:tr>
      <w:tr w:rsidR="003779EB">
        <w:tc>
          <w:tcPr>
            <w:tcW w:w="834" w:type="dxa"/>
            <w:vAlign w:val="center"/>
          </w:tcPr>
          <w:p w:rsidR="003779EB" w:rsidRDefault="00815304">
            <w:pPr>
              <w:jc w:val="center"/>
            </w:pPr>
            <w:r>
              <w:rPr>
                <w:rFonts w:eastAsiaTheme="minorEastAsia"/>
                <w:szCs w:val="21"/>
              </w:rPr>
              <w:t>601236</w:t>
            </w:r>
          </w:p>
        </w:tc>
        <w:tc>
          <w:tcPr>
            <w:tcW w:w="835" w:type="dxa"/>
            <w:vAlign w:val="center"/>
          </w:tcPr>
          <w:p w:rsidR="003779EB" w:rsidRDefault="00815304">
            <w:pPr>
              <w:jc w:val="center"/>
            </w:pPr>
            <w:r>
              <w:rPr>
                <w:rFonts w:eastAsiaTheme="minorEastAsia"/>
                <w:szCs w:val="21"/>
              </w:rPr>
              <w:t>红塔证券</w:t>
            </w:r>
          </w:p>
        </w:tc>
        <w:tc>
          <w:tcPr>
            <w:tcW w:w="834" w:type="dxa"/>
            <w:vAlign w:val="center"/>
          </w:tcPr>
          <w:p w:rsidR="003779EB" w:rsidRDefault="00815304">
            <w:pPr>
              <w:jc w:val="center"/>
            </w:pPr>
            <w:r>
              <w:rPr>
                <w:rFonts w:eastAsiaTheme="minorEastAsia"/>
                <w:szCs w:val="21"/>
              </w:rPr>
              <w:t>2019-06-26</w:t>
            </w:r>
          </w:p>
        </w:tc>
        <w:tc>
          <w:tcPr>
            <w:tcW w:w="835" w:type="dxa"/>
            <w:vAlign w:val="center"/>
          </w:tcPr>
          <w:p w:rsidR="003779EB" w:rsidRDefault="00815304">
            <w:pPr>
              <w:jc w:val="center"/>
            </w:pPr>
            <w:r>
              <w:rPr>
                <w:rFonts w:eastAsiaTheme="minorEastAsia"/>
                <w:szCs w:val="21"/>
              </w:rPr>
              <w:t>2019-07-05</w:t>
            </w:r>
          </w:p>
        </w:tc>
        <w:tc>
          <w:tcPr>
            <w:tcW w:w="834" w:type="dxa"/>
            <w:vAlign w:val="center"/>
          </w:tcPr>
          <w:p w:rsidR="003779EB" w:rsidRDefault="00815304">
            <w:pPr>
              <w:jc w:val="center"/>
            </w:pPr>
            <w:r>
              <w:rPr>
                <w:rFonts w:eastAsiaTheme="minorEastAsia"/>
                <w:szCs w:val="21"/>
              </w:rPr>
              <w:t>新股未上市</w:t>
            </w:r>
          </w:p>
        </w:tc>
        <w:tc>
          <w:tcPr>
            <w:tcW w:w="835" w:type="dxa"/>
            <w:vAlign w:val="center"/>
          </w:tcPr>
          <w:p w:rsidR="003779EB" w:rsidRDefault="00815304">
            <w:pPr>
              <w:jc w:val="right"/>
            </w:pPr>
            <w:r>
              <w:rPr>
                <w:rFonts w:eastAsiaTheme="minorEastAsia"/>
                <w:szCs w:val="21"/>
              </w:rPr>
              <w:t>3.46</w:t>
            </w:r>
          </w:p>
        </w:tc>
        <w:tc>
          <w:tcPr>
            <w:tcW w:w="834" w:type="dxa"/>
            <w:vAlign w:val="center"/>
          </w:tcPr>
          <w:p w:rsidR="003779EB" w:rsidRDefault="00815304">
            <w:pPr>
              <w:jc w:val="center"/>
            </w:pPr>
            <w:r>
              <w:rPr>
                <w:rFonts w:eastAsiaTheme="minorEastAsia"/>
                <w:szCs w:val="21"/>
              </w:rPr>
              <w:t>3.46</w:t>
            </w:r>
          </w:p>
        </w:tc>
        <w:tc>
          <w:tcPr>
            <w:tcW w:w="835" w:type="dxa"/>
            <w:vAlign w:val="center"/>
          </w:tcPr>
          <w:p w:rsidR="003779EB" w:rsidRDefault="00815304">
            <w:pPr>
              <w:jc w:val="right"/>
            </w:pPr>
            <w:r>
              <w:rPr>
                <w:rFonts w:eastAsiaTheme="minorEastAsia"/>
                <w:szCs w:val="21"/>
              </w:rPr>
              <w:t>9,789.00</w:t>
            </w:r>
          </w:p>
        </w:tc>
        <w:tc>
          <w:tcPr>
            <w:tcW w:w="834" w:type="dxa"/>
            <w:vAlign w:val="center"/>
          </w:tcPr>
          <w:p w:rsidR="003779EB" w:rsidRDefault="00815304">
            <w:pPr>
              <w:jc w:val="right"/>
            </w:pPr>
            <w:r>
              <w:rPr>
                <w:rFonts w:eastAsiaTheme="minorEastAsia"/>
                <w:szCs w:val="21"/>
              </w:rPr>
              <w:t>33,869.94</w:t>
            </w:r>
          </w:p>
        </w:tc>
        <w:tc>
          <w:tcPr>
            <w:tcW w:w="835" w:type="dxa"/>
            <w:vAlign w:val="center"/>
          </w:tcPr>
          <w:p w:rsidR="003779EB" w:rsidRDefault="00815304">
            <w:pPr>
              <w:jc w:val="right"/>
            </w:pPr>
            <w:r>
              <w:rPr>
                <w:rFonts w:eastAsiaTheme="minorEastAsia"/>
                <w:szCs w:val="21"/>
              </w:rPr>
              <w:t>33,869.94</w:t>
            </w:r>
          </w:p>
        </w:tc>
        <w:tc>
          <w:tcPr>
            <w:tcW w:w="835" w:type="dxa"/>
            <w:vAlign w:val="center"/>
          </w:tcPr>
          <w:p w:rsidR="003779EB" w:rsidRDefault="00815304">
            <w:pPr>
              <w:jc w:val="center"/>
            </w:pPr>
            <w:r>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注：基金可作为特定投资者，认购首次公开发行股票时公司股东公开发售股份，所认购的股份自发行结束之日起</w:t>
      </w:r>
      <w:r w:rsidRPr="00C56F63">
        <w:rPr>
          <w:rFonts w:eastAsiaTheme="minorEastAsia"/>
          <w:kern w:val="0"/>
          <w:szCs w:val="21"/>
        </w:rPr>
        <w:t>12</w:t>
      </w:r>
      <w:r w:rsidRPr="00C56F63">
        <w:rPr>
          <w:rFonts w:eastAsiaTheme="minorEastAsia"/>
          <w:kern w:val="0"/>
          <w:szCs w:val="21"/>
        </w:rPr>
        <w:t>个月内不得转让。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9</w:t>
      </w:r>
      <w:r w:rsidRPr="00C56F63">
        <w:rPr>
          <w:rFonts w:eastAsiaTheme="minorEastAsia"/>
          <w:b/>
          <w:bCs/>
          <w:color w:val="000000"/>
          <w:kern w:val="0"/>
          <w:szCs w:val="21"/>
        </w:rPr>
        <w:t xml:space="preserve">.2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9</w:t>
      </w:r>
      <w:r w:rsidRPr="00C56F63">
        <w:rPr>
          <w:rFonts w:eastAsiaTheme="minorEastAsia"/>
          <w:b/>
          <w:bCs/>
          <w:color w:val="000000"/>
          <w:kern w:val="0"/>
          <w:szCs w:val="21"/>
        </w:rPr>
        <w:t xml:space="preserve">.3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9</w:t>
      </w:r>
      <w:r w:rsidRPr="00C56F63">
        <w:rPr>
          <w:rFonts w:eastAsiaTheme="minorEastAsia"/>
          <w:b/>
          <w:bCs/>
          <w:color w:val="000000"/>
          <w:kern w:val="0"/>
          <w:szCs w:val="21"/>
        </w:rPr>
        <w:t xml:space="preserve">.3.1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952F5E">
        <w:rPr>
          <w:rFonts w:eastAsiaTheme="minorEastAsia" w:hint="eastAsia"/>
          <w:b/>
          <w:bCs/>
          <w:color w:val="000000"/>
          <w:kern w:val="0"/>
          <w:szCs w:val="21"/>
        </w:rPr>
        <w:t>9</w:t>
      </w:r>
      <w:r w:rsidRPr="00C56F63">
        <w:rPr>
          <w:rFonts w:eastAsiaTheme="minorEastAsia"/>
          <w:b/>
          <w:bCs/>
          <w:color w:val="000000"/>
          <w:kern w:val="0"/>
          <w:szCs w:val="21"/>
        </w:rPr>
        <w:t xml:space="preserve">.3.2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6.4.1</w:t>
      </w:r>
      <w:r w:rsidR="00952F5E">
        <w:rPr>
          <w:rFonts w:eastAsiaTheme="minorEastAsia" w:hint="eastAsia"/>
          <w:b/>
          <w:bCs/>
          <w:color w:val="000000"/>
          <w:kern w:val="0"/>
          <w:szCs w:val="21"/>
        </w:rPr>
        <w:t>0</w:t>
      </w:r>
      <w:r w:rsidRPr="00C56F63">
        <w:rPr>
          <w:rFonts w:eastAsiaTheme="minorEastAsia"/>
          <w:b/>
          <w:bCs/>
          <w:color w:val="000000"/>
          <w:kern w:val="0"/>
          <w:szCs w:val="21"/>
        </w:rPr>
        <w:t xml:space="preserve">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54" w:name="_Toc225498272"/>
      <w:bookmarkStart w:id="55" w:name="_Toc374540565"/>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54"/>
      <w:bookmarkEnd w:id="55"/>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56" w:name="_Toc225498273"/>
      <w:bookmarkStart w:id="57" w:name="_Toc361324878"/>
      <w:bookmarkStart w:id="58" w:name="_Toc374374955"/>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56"/>
      <w:bookmarkEnd w:id="57"/>
      <w:bookmarkEnd w:id="58"/>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3,394,929,278.83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85.13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3,394,929,278.83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85.13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589,350,810.88</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14.78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3,545,754.35</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0.09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3,987,825,844.06</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59" w:name="_Toc390421256"/>
      <w:bookmarkStart w:id="60" w:name="_Toc225498274"/>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59"/>
      <w:bookmarkEnd w:id="60"/>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79,373,789.96</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45,547,281.25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1.15</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2,007,194,435.66</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50.69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49,972,355.85</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1.26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11,822,218.20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0.30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88,174,078.04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2.23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212,033,795.27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5.36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744,038,413.12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18.79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108,673,464.48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2.74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32,242,005.00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0.81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15,834,335.40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0.40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23,106.60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3,394,929,278.83</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85.74</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1" w:name="_Toc390421257"/>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w:t>
      </w:r>
      <w:r w:rsidR="00952F5E">
        <w:rPr>
          <w:rFonts w:ascii="Times New Roman" w:eastAsiaTheme="minorEastAsia" w:hAnsi="Times New Roman" w:hint="eastAsia"/>
          <w:kern w:val="0"/>
          <w:sz w:val="21"/>
          <w:szCs w:val="21"/>
        </w:rPr>
        <w:t>前十名</w:t>
      </w:r>
      <w:r w:rsidRPr="00C56F63">
        <w:rPr>
          <w:rFonts w:ascii="Times New Roman" w:eastAsiaTheme="minorEastAsia" w:hAnsi="Times New Roman"/>
          <w:kern w:val="0"/>
          <w:sz w:val="21"/>
          <w:szCs w:val="21"/>
        </w:rPr>
        <w:t>股票投资明细</w:t>
      </w:r>
      <w:bookmarkEnd w:id="61"/>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3779EB">
        <w:tc>
          <w:tcPr>
            <w:tcW w:w="817" w:type="dxa"/>
            <w:vAlign w:val="center"/>
          </w:tcPr>
          <w:p w:rsidR="003779EB" w:rsidRDefault="00815304">
            <w:pPr>
              <w:jc w:val="center"/>
            </w:pPr>
            <w:r>
              <w:rPr>
                <w:rFonts w:eastAsiaTheme="minorEastAsia"/>
                <w:color w:val="000000"/>
                <w:szCs w:val="21"/>
              </w:rPr>
              <w:t>1</w:t>
            </w:r>
          </w:p>
        </w:tc>
        <w:tc>
          <w:tcPr>
            <w:tcW w:w="1276" w:type="dxa"/>
            <w:vAlign w:val="center"/>
          </w:tcPr>
          <w:p w:rsidR="003779EB" w:rsidRDefault="00815304">
            <w:pPr>
              <w:jc w:val="center"/>
            </w:pPr>
            <w:r>
              <w:rPr>
                <w:rFonts w:eastAsiaTheme="minorEastAsia"/>
                <w:color w:val="000000"/>
                <w:szCs w:val="21"/>
              </w:rPr>
              <w:t>002236</w:t>
            </w:r>
          </w:p>
        </w:tc>
        <w:tc>
          <w:tcPr>
            <w:tcW w:w="1701" w:type="dxa"/>
            <w:vAlign w:val="center"/>
          </w:tcPr>
          <w:p w:rsidR="003779EB" w:rsidRDefault="00815304">
            <w:pPr>
              <w:jc w:val="center"/>
            </w:pPr>
            <w:r>
              <w:rPr>
                <w:rFonts w:eastAsiaTheme="minorEastAsia"/>
                <w:color w:val="000000"/>
                <w:szCs w:val="21"/>
              </w:rPr>
              <w:t>大华股份</w:t>
            </w:r>
          </w:p>
        </w:tc>
        <w:tc>
          <w:tcPr>
            <w:tcW w:w="1276" w:type="dxa"/>
            <w:vAlign w:val="center"/>
          </w:tcPr>
          <w:p w:rsidR="003779EB" w:rsidRDefault="00815304">
            <w:pPr>
              <w:jc w:val="right"/>
            </w:pPr>
            <w:r>
              <w:rPr>
                <w:rFonts w:eastAsiaTheme="minorEastAsia"/>
                <w:color w:val="000000"/>
                <w:szCs w:val="21"/>
              </w:rPr>
              <w:t>17,379,619</w:t>
            </w:r>
          </w:p>
        </w:tc>
        <w:tc>
          <w:tcPr>
            <w:tcW w:w="1842" w:type="dxa"/>
            <w:vAlign w:val="center"/>
          </w:tcPr>
          <w:p w:rsidR="003779EB" w:rsidRDefault="00815304">
            <w:pPr>
              <w:jc w:val="right"/>
            </w:pPr>
            <w:r>
              <w:rPr>
                <w:rFonts w:eastAsiaTheme="minorEastAsia"/>
                <w:color w:val="000000"/>
                <w:szCs w:val="21"/>
              </w:rPr>
              <w:t>252,352,067.88</w:t>
            </w:r>
          </w:p>
        </w:tc>
        <w:tc>
          <w:tcPr>
            <w:tcW w:w="1616" w:type="dxa"/>
            <w:vAlign w:val="center"/>
          </w:tcPr>
          <w:p w:rsidR="003779EB" w:rsidRDefault="00815304">
            <w:pPr>
              <w:jc w:val="right"/>
            </w:pPr>
            <w:r>
              <w:rPr>
                <w:rFonts w:eastAsiaTheme="minorEastAsia"/>
                <w:color w:val="000000"/>
                <w:szCs w:val="21"/>
              </w:rPr>
              <w:t>6.37</w:t>
            </w:r>
          </w:p>
        </w:tc>
      </w:tr>
      <w:tr w:rsidR="003779EB">
        <w:tc>
          <w:tcPr>
            <w:tcW w:w="817" w:type="dxa"/>
            <w:vAlign w:val="center"/>
          </w:tcPr>
          <w:p w:rsidR="003779EB" w:rsidRDefault="00815304">
            <w:pPr>
              <w:jc w:val="center"/>
            </w:pPr>
            <w:r>
              <w:rPr>
                <w:rFonts w:eastAsiaTheme="minorEastAsia"/>
                <w:color w:val="000000"/>
                <w:szCs w:val="21"/>
              </w:rPr>
              <w:t>2</w:t>
            </w:r>
          </w:p>
        </w:tc>
        <w:tc>
          <w:tcPr>
            <w:tcW w:w="1276" w:type="dxa"/>
            <w:vAlign w:val="center"/>
          </w:tcPr>
          <w:p w:rsidR="003779EB" w:rsidRDefault="00815304">
            <w:pPr>
              <w:jc w:val="center"/>
            </w:pPr>
            <w:r>
              <w:rPr>
                <w:rFonts w:eastAsiaTheme="minorEastAsia"/>
                <w:color w:val="000000"/>
                <w:szCs w:val="21"/>
              </w:rPr>
              <w:t>601318</w:t>
            </w:r>
          </w:p>
        </w:tc>
        <w:tc>
          <w:tcPr>
            <w:tcW w:w="1701" w:type="dxa"/>
            <w:vAlign w:val="center"/>
          </w:tcPr>
          <w:p w:rsidR="003779EB" w:rsidRDefault="00815304">
            <w:pPr>
              <w:jc w:val="center"/>
            </w:pPr>
            <w:r>
              <w:rPr>
                <w:rFonts w:eastAsiaTheme="minorEastAsia"/>
                <w:color w:val="000000"/>
                <w:szCs w:val="21"/>
              </w:rPr>
              <w:t>中国平安</w:t>
            </w:r>
          </w:p>
        </w:tc>
        <w:tc>
          <w:tcPr>
            <w:tcW w:w="1276" w:type="dxa"/>
            <w:vAlign w:val="center"/>
          </w:tcPr>
          <w:p w:rsidR="003779EB" w:rsidRDefault="00815304">
            <w:pPr>
              <w:jc w:val="right"/>
            </w:pPr>
            <w:r>
              <w:rPr>
                <w:rFonts w:eastAsiaTheme="minorEastAsia"/>
                <w:color w:val="000000"/>
                <w:szCs w:val="21"/>
              </w:rPr>
              <w:t>1,772,302</w:t>
            </w:r>
          </w:p>
        </w:tc>
        <w:tc>
          <w:tcPr>
            <w:tcW w:w="1842" w:type="dxa"/>
            <w:vAlign w:val="center"/>
          </w:tcPr>
          <w:p w:rsidR="003779EB" w:rsidRDefault="00815304">
            <w:pPr>
              <w:jc w:val="right"/>
            </w:pPr>
            <w:r>
              <w:rPr>
                <w:rFonts w:eastAsiaTheme="minorEastAsia"/>
                <w:color w:val="000000"/>
                <w:szCs w:val="21"/>
              </w:rPr>
              <w:t>157,043,680.22</w:t>
            </w:r>
          </w:p>
        </w:tc>
        <w:tc>
          <w:tcPr>
            <w:tcW w:w="1616" w:type="dxa"/>
            <w:vAlign w:val="center"/>
          </w:tcPr>
          <w:p w:rsidR="003779EB" w:rsidRDefault="00815304">
            <w:pPr>
              <w:jc w:val="right"/>
            </w:pPr>
            <w:r>
              <w:rPr>
                <w:rFonts w:eastAsiaTheme="minorEastAsia"/>
                <w:color w:val="000000"/>
                <w:szCs w:val="21"/>
              </w:rPr>
              <w:t>3.97</w:t>
            </w:r>
          </w:p>
        </w:tc>
      </w:tr>
      <w:tr w:rsidR="003779EB">
        <w:tc>
          <w:tcPr>
            <w:tcW w:w="817" w:type="dxa"/>
            <w:vAlign w:val="center"/>
          </w:tcPr>
          <w:p w:rsidR="003779EB" w:rsidRDefault="00815304">
            <w:pPr>
              <w:jc w:val="center"/>
            </w:pPr>
            <w:r>
              <w:rPr>
                <w:rFonts w:eastAsiaTheme="minorEastAsia"/>
                <w:color w:val="000000"/>
                <w:szCs w:val="21"/>
              </w:rPr>
              <w:t>3</w:t>
            </w:r>
          </w:p>
        </w:tc>
        <w:tc>
          <w:tcPr>
            <w:tcW w:w="1276" w:type="dxa"/>
            <w:vAlign w:val="center"/>
          </w:tcPr>
          <w:p w:rsidR="003779EB" w:rsidRDefault="00815304">
            <w:pPr>
              <w:jc w:val="center"/>
            </w:pPr>
            <w:r>
              <w:rPr>
                <w:rFonts w:eastAsiaTheme="minorEastAsia"/>
                <w:color w:val="000000"/>
                <w:szCs w:val="21"/>
              </w:rPr>
              <w:t>600519</w:t>
            </w:r>
          </w:p>
        </w:tc>
        <w:tc>
          <w:tcPr>
            <w:tcW w:w="1701" w:type="dxa"/>
            <w:vAlign w:val="center"/>
          </w:tcPr>
          <w:p w:rsidR="003779EB" w:rsidRDefault="00815304">
            <w:pPr>
              <w:jc w:val="center"/>
            </w:pPr>
            <w:r>
              <w:rPr>
                <w:rFonts w:eastAsiaTheme="minorEastAsia"/>
                <w:color w:val="000000"/>
                <w:szCs w:val="21"/>
              </w:rPr>
              <w:t>贵州茅台</w:t>
            </w:r>
          </w:p>
        </w:tc>
        <w:tc>
          <w:tcPr>
            <w:tcW w:w="1276" w:type="dxa"/>
            <w:vAlign w:val="center"/>
          </w:tcPr>
          <w:p w:rsidR="003779EB" w:rsidRDefault="00815304">
            <w:pPr>
              <w:jc w:val="right"/>
            </w:pPr>
            <w:r>
              <w:rPr>
                <w:rFonts w:eastAsiaTheme="minorEastAsia"/>
                <w:color w:val="000000"/>
                <w:szCs w:val="21"/>
              </w:rPr>
              <w:t>133,531</w:t>
            </w:r>
          </w:p>
        </w:tc>
        <w:tc>
          <w:tcPr>
            <w:tcW w:w="1842" w:type="dxa"/>
            <w:vAlign w:val="center"/>
          </w:tcPr>
          <w:p w:rsidR="003779EB" w:rsidRDefault="00815304">
            <w:pPr>
              <w:jc w:val="right"/>
            </w:pPr>
            <w:r>
              <w:rPr>
                <w:rFonts w:eastAsiaTheme="minorEastAsia"/>
                <w:color w:val="000000"/>
                <w:szCs w:val="21"/>
              </w:rPr>
              <w:t>131,394,504.00</w:t>
            </w:r>
          </w:p>
        </w:tc>
        <w:tc>
          <w:tcPr>
            <w:tcW w:w="1616" w:type="dxa"/>
            <w:vAlign w:val="center"/>
          </w:tcPr>
          <w:p w:rsidR="003779EB" w:rsidRDefault="00815304">
            <w:pPr>
              <w:jc w:val="right"/>
            </w:pPr>
            <w:r>
              <w:rPr>
                <w:rFonts w:eastAsiaTheme="minorEastAsia"/>
                <w:color w:val="000000"/>
                <w:szCs w:val="21"/>
              </w:rPr>
              <w:t>3.32</w:t>
            </w:r>
          </w:p>
        </w:tc>
      </w:tr>
      <w:tr w:rsidR="003779EB">
        <w:tc>
          <w:tcPr>
            <w:tcW w:w="817" w:type="dxa"/>
            <w:vAlign w:val="center"/>
          </w:tcPr>
          <w:p w:rsidR="003779EB" w:rsidRDefault="00815304">
            <w:pPr>
              <w:jc w:val="center"/>
            </w:pPr>
            <w:r>
              <w:rPr>
                <w:rFonts w:eastAsiaTheme="minorEastAsia"/>
                <w:color w:val="000000"/>
                <w:szCs w:val="21"/>
              </w:rPr>
              <w:t>4</w:t>
            </w:r>
          </w:p>
        </w:tc>
        <w:tc>
          <w:tcPr>
            <w:tcW w:w="1276" w:type="dxa"/>
            <w:vAlign w:val="center"/>
          </w:tcPr>
          <w:p w:rsidR="003779EB" w:rsidRDefault="00815304">
            <w:pPr>
              <w:jc w:val="center"/>
            </w:pPr>
            <w:r>
              <w:rPr>
                <w:rFonts w:eastAsiaTheme="minorEastAsia"/>
                <w:color w:val="000000"/>
                <w:szCs w:val="21"/>
              </w:rPr>
              <w:t>000858</w:t>
            </w:r>
          </w:p>
        </w:tc>
        <w:tc>
          <w:tcPr>
            <w:tcW w:w="1701" w:type="dxa"/>
            <w:vAlign w:val="center"/>
          </w:tcPr>
          <w:p w:rsidR="003779EB" w:rsidRDefault="00815304">
            <w:pPr>
              <w:jc w:val="center"/>
            </w:pPr>
            <w:r>
              <w:rPr>
                <w:rFonts w:eastAsiaTheme="minorEastAsia"/>
                <w:color w:val="000000"/>
                <w:szCs w:val="21"/>
              </w:rPr>
              <w:t>五</w:t>
            </w:r>
            <w:r>
              <w:rPr>
                <w:rFonts w:eastAsiaTheme="minorEastAsia"/>
                <w:color w:val="000000"/>
                <w:szCs w:val="21"/>
              </w:rPr>
              <w:t xml:space="preserve"> </w:t>
            </w:r>
            <w:r>
              <w:rPr>
                <w:rFonts w:eastAsiaTheme="minorEastAsia"/>
                <w:color w:val="000000"/>
                <w:szCs w:val="21"/>
              </w:rPr>
              <w:t>粮</w:t>
            </w:r>
            <w:r>
              <w:rPr>
                <w:rFonts w:eastAsiaTheme="minorEastAsia"/>
                <w:color w:val="000000"/>
                <w:szCs w:val="21"/>
              </w:rPr>
              <w:t xml:space="preserve"> </w:t>
            </w:r>
            <w:r>
              <w:rPr>
                <w:rFonts w:eastAsiaTheme="minorEastAsia"/>
                <w:color w:val="000000"/>
                <w:szCs w:val="21"/>
              </w:rPr>
              <w:t>液</w:t>
            </w:r>
          </w:p>
        </w:tc>
        <w:tc>
          <w:tcPr>
            <w:tcW w:w="1276" w:type="dxa"/>
            <w:vAlign w:val="center"/>
          </w:tcPr>
          <w:p w:rsidR="003779EB" w:rsidRDefault="00815304">
            <w:pPr>
              <w:jc w:val="right"/>
            </w:pPr>
            <w:r>
              <w:rPr>
                <w:rFonts w:eastAsiaTheme="minorEastAsia"/>
                <w:color w:val="000000"/>
                <w:szCs w:val="21"/>
              </w:rPr>
              <w:t>1,075,379</w:t>
            </w:r>
          </w:p>
        </w:tc>
        <w:tc>
          <w:tcPr>
            <w:tcW w:w="1842" w:type="dxa"/>
            <w:vAlign w:val="center"/>
          </w:tcPr>
          <w:p w:rsidR="003779EB" w:rsidRDefault="00815304">
            <w:pPr>
              <w:jc w:val="right"/>
            </w:pPr>
            <w:r>
              <w:rPr>
                <w:rFonts w:eastAsiaTheme="minorEastAsia"/>
                <w:color w:val="000000"/>
                <w:szCs w:val="21"/>
              </w:rPr>
              <w:t>126,840,953.05</w:t>
            </w:r>
          </w:p>
        </w:tc>
        <w:tc>
          <w:tcPr>
            <w:tcW w:w="1616" w:type="dxa"/>
            <w:vAlign w:val="center"/>
          </w:tcPr>
          <w:p w:rsidR="003779EB" w:rsidRDefault="00815304">
            <w:pPr>
              <w:jc w:val="right"/>
            </w:pPr>
            <w:r>
              <w:rPr>
                <w:rFonts w:eastAsiaTheme="minorEastAsia"/>
                <w:color w:val="000000"/>
                <w:szCs w:val="21"/>
              </w:rPr>
              <w:t>3.20</w:t>
            </w:r>
          </w:p>
        </w:tc>
      </w:tr>
      <w:tr w:rsidR="003779EB">
        <w:tc>
          <w:tcPr>
            <w:tcW w:w="817" w:type="dxa"/>
            <w:vAlign w:val="center"/>
          </w:tcPr>
          <w:p w:rsidR="003779EB" w:rsidRDefault="00815304">
            <w:pPr>
              <w:jc w:val="center"/>
            </w:pPr>
            <w:r>
              <w:rPr>
                <w:rFonts w:eastAsiaTheme="minorEastAsia"/>
                <w:color w:val="000000"/>
                <w:szCs w:val="21"/>
              </w:rPr>
              <w:t>5</w:t>
            </w:r>
          </w:p>
        </w:tc>
        <w:tc>
          <w:tcPr>
            <w:tcW w:w="1276" w:type="dxa"/>
            <w:vAlign w:val="center"/>
          </w:tcPr>
          <w:p w:rsidR="003779EB" w:rsidRDefault="00815304">
            <w:pPr>
              <w:jc w:val="center"/>
            </w:pPr>
            <w:r>
              <w:rPr>
                <w:rFonts w:eastAsiaTheme="minorEastAsia"/>
                <w:color w:val="000000"/>
                <w:szCs w:val="21"/>
              </w:rPr>
              <w:t>002594</w:t>
            </w:r>
          </w:p>
        </w:tc>
        <w:tc>
          <w:tcPr>
            <w:tcW w:w="1701" w:type="dxa"/>
            <w:vAlign w:val="center"/>
          </w:tcPr>
          <w:p w:rsidR="003779EB" w:rsidRDefault="00815304">
            <w:pPr>
              <w:jc w:val="center"/>
            </w:pPr>
            <w:r>
              <w:rPr>
                <w:rFonts w:eastAsiaTheme="minorEastAsia"/>
                <w:color w:val="000000"/>
                <w:szCs w:val="21"/>
              </w:rPr>
              <w:t>比亚迪</w:t>
            </w:r>
          </w:p>
        </w:tc>
        <w:tc>
          <w:tcPr>
            <w:tcW w:w="1276" w:type="dxa"/>
            <w:vAlign w:val="center"/>
          </w:tcPr>
          <w:p w:rsidR="003779EB" w:rsidRDefault="00815304">
            <w:pPr>
              <w:jc w:val="right"/>
            </w:pPr>
            <w:r>
              <w:rPr>
                <w:rFonts w:eastAsiaTheme="minorEastAsia"/>
                <w:color w:val="000000"/>
                <w:szCs w:val="21"/>
              </w:rPr>
              <w:t>2,423,326</w:t>
            </w:r>
          </w:p>
        </w:tc>
        <w:tc>
          <w:tcPr>
            <w:tcW w:w="1842" w:type="dxa"/>
            <w:vAlign w:val="center"/>
          </w:tcPr>
          <w:p w:rsidR="003779EB" w:rsidRDefault="00815304">
            <w:pPr>
              <w:jc w:val="right"/>
            </w:pPr>
            <w:r>
              <w:rPr>
                <w:rFonts w:eastAsiaTheme="minorEastAsia"/>
                <w:color w:val="000000"/>
                <w:szCs w:val="21"/>
              </w:rPr>
              <w:t>122,911,094.72</w:t>
            </w:r>
          </w:p>
        </w:tc>
        <w:tc>
          <w:tcPr>
            <w:tcW w:w="1616" w:type="dxa"/>
            <w:vAlign w:val="center"/>
          </w:tcPr>
          <w:p w:rsidR="003779EB" w:rsidRDefault="00815304">
            <w:pPr>
              <w:jc w:val="right"/>
            </w:pPr>
            <w:r>
              <w:rPr>
                <w:rFonts w:eastAsiaTheme="minorEastAsia"/>
                <w:color w:val="000000"/>
                <w:szCs w:val="21"/>
              </w:rPr>
              <w:t>3.10</w:t>
            </w:r>
          </w:p>
        </w:tc>
      </w:tr>
      <w:tr w:rsidR="003779EB">
        <w:tc>
          <w:tcPr>
            <w:tcW w:w="817" w:type="dxa"/>
            <w:vAlign w:val="center"/>
          </w:tcPr>
          <w:p w:rsidR="003779EB" w:rsidRDefault="00815304">
            <w:pPr>
              <w:jc w:val="center"/>
            </w:pPr>
            <w:r>
              <w:rPr>
                <w:rFonts w:eastAsiaTheme="minorEastAsia"/>
                <w:color w:val="000000"/>
                <w:szCs w:val="21"/>
              </w:rPr>
              <w:t>6</w:t>
            </w:r>
          </w:p>
        </w:tc>
        <w:tc>
          <w:tcPr>
            <w:tcW w:w="1276" w:type="dxa"/>
            <w:vAlign w:val="center"/>
          </w:tcPr>
          <w:p w:rsidR="003779EB" w:rsidRDefault="00815304">
            <w:pPr>
              <w:jc w:val="center"/>
            </w:pPr>
            <w:r>
              <w:rPr>
                <w:rFonts w:eastAsiaTheme="minorEastAsia"/>
                <w:color w:val="000000"/>
                <w:szCs w:val="21"/>
              </w:rPr>
              <w:t>600030</w:t>
            </w:r>
          </w:p>
        </w:tc>
        <w:tc>
          <w:tcPr>
            <w:tcW w:w="1701" w:type="dxa"/>
            <w:vAlign w:val="center"/>
          </w:tcPr>
          <w:p w:rsidR="003779EB" w:rsidRDefault="00815304">
            <w:pPr>
              <w:jc w:val="center"/>
            </w:pPr>
            <w:r>
              <w:rPr>
                <w:rFonts w:eastAsiaTheme="minorEastAsia"/>
                <w:color w:val="000000"/>
                <w:szCs w:val="21"/>
              </w:rPr>
              <w:t>中信证券</w:t>
            </w:r>
          </w:p>
        </w:tc>
        <w:tc>
          <w:tcPr>
            <w:tcW w:w="1276" w:type="dxa"/>
            <w:vAlign w:val="center"/>
          </w:tcPr>
          <w:p w:rsidR="003779EB" w:rsidRDefault="00815304">
            <w:pPr>
              <w:jc w:val="right"/>
            </w:pPr>
            <w:r>
              <w:rPr>
                <w:rFonts w:eastAsiaTheme="minorEastAsia"/>
                <w:color w:val="000000"/>
                <w:szCs w:val="21"/>
              </w:rPr>
              <w:t>5,010,424</w:t>
            </w:r>
          </w:p>
        </w:tc>
        <w:tc>
          <w:tcPr>
            <w:tcW w:w="1842" w:type="dxa"/>
            <w:vAlign w:val="center"/>
          </w:tcPr>
          <w:p w:rsidR="003779EB" w:rsidRDefault="00815304">
            <w:pPr>
              <w:jc w:val="right"/>
            </w:pPr>
            <w:r>
              <w:rPr>
                <w:rFonts w:eastAsiaTheme="minorEastAsia"/>
                <w:color w:val="000000"/>
                <w:szCs w:val="21"/>
              </w:rPr>
              <w:t>119,298,195.44</w:t>
            </w:r>
          </w:p>
        </w:tc>
        <w:tc>
          <w:tcPr>
            <w:tcW w:w="1616" w:type="dxa"/>
            <w:vAlign w:val="center"/>
          </w:tcPr>
          <w:p w:rsidR="003779EB" w:rsidRDefault="00815304">
            <w:pPr>
              <w:jc w:val="right"/>
            </w:pPr>
            <w:r>
              <w:rPr>
                <w:rFonts w:eastAsiaTheme="minorEastAsia"/>
                <w:color w:val="000000"/>
                <w:szCs w:val="21"/>
              </w:rPr>
              <w:t>3.01</w:t>
            </w:r>
          </w:p>
        </w:tc>
      </w:tr>
      <w:tr w:rsidR="003779EB">
        <w:tc>
          <w:tcPr>
            <w:tcW w:w="817" w:type="dxa"/>
            <w:vAlign w:val="center"/>
          </w:tcPr>
          <w:p w:rsidR="003779EB" w:rsidRDefault="00815304">
            <w:pPr>
              <w:jc w:val="center"/>
            </w:pPr>
            <w:r>
              <w:rPr>
                <w:rFonts w:eastAsiaTheme="minorEastAsia"/>
                <w:color w:val="000000"/>
                <w:szCs w:val="21"/>
              </w:rPr>
              <w:t>7</w:t>
            </w:r>
          </w:p>
        </w:tc>
        <w:tc>
          <w:tcPr>
            <w:tcW w:w="1276" w:type="dxa"/>
            <w:vAlign w:val="center"/>
          </w:tcPr>
          <w:p w:rsidR="003779EB" w:rsidRDefault="00815304">
            <w:pPr>
              <w:jc w:val="center"/>
            </w:pPr>
            <w:r>
              <w:rPr>
                <w:rFonts w:eastAsiaTheme="minorEastAsia"/>
                <w:color w:val="000000"/>
                <w:szCs w:val="21"/>
              </w:rPr>
              <w:t>300450</w:t>
            </w:r>
          </w:p>
        </w:tc>
        <w:tc>
          <w:tcPr>
            <w:tcW w:w="1701" w:type="dxa"/>
            <w:vAlign w:val="center"/>
          </w:tcPr>
          <w:p w:rsidR="003779EB" w:rsidRDefault="00815304">
            <w:pPr>
              <w:jc w:val="center"/>
            </w:pPr>
            <w:r>
              <w:rPr>
                <w:rFonts w:eastAsiaTheme="minorEastAsia"/>
                <w:color w:val="000000"/>
                <w:szCs w:val="21"/>
              </w:rPr>
              <w:t>先导智能</w:t>
            </w:r>
          </w:p>
        </w:tc>
        <w:tc>
          <w:tcPr>
            <w:tcW w:w="1276" w:type="dxa"/>
            <w:vAlign w:val="center"/>
          </w:tcPr>
          <w:p w:rsidR="003779EB" w:rsidRDefault="00815304">
            <w:pPr>
              <w:jc w:val="right"/>
            </w:pPr>
            <w:r>
              <w:rPr>
                <w:rFonts w:eastAsiaTheme="minorEastAsia"/>
                <w:color w:val="000000"/>
                <w:szCs w:val="21"/>
              </w:rPr>
              <w:t>3,256,236</w:t>
            </w:r>
          </w:p>
        </w:tc>
        <w:tc>
          <w:tcPr>
            <w:tcW w:w="1842" w:type="dxa"/>
            <w:vAlign w:val="center"/>
          </w:tcPr>
          <w:p w:rsidR="003779EB" w:rsidRDefault="00815304">
            <w:pPr>
              <w:jc w:val="right"/>
            </w:pPr>
            <w:r>
              <w:rPr>
                <w:rFonts w:eastAsiaTheme="minorEastAsia"/>
                <w:color w:val="000000"/>
                <w:szCs w:val="21"/>
              </w:rPr>
              <w:t>109,409,529.60</w:t>
            </w:r>
          </w:p>
        </w:tc>
        <w:tc>
          <w:tcPr>
            <w:tcW w:w="1616" w:type="dxa"/>
            <w:vAlign w:val="center"/>
          </w:tcPr>
          <w:p w:rsidR="003779EB" w:rsidRDefault="00815304">
            <w:pPr>
              <w:jc w:val="right"/>
            </w:pPr>
            <w:r>
              <w:rPr>
                <w:rFonts w:eastAsiaTheme="minorEastAsia"/>
                <w:color w:val="000000"/>
                <w:szCs w:val="21"/>
              </w:rPr>
              <w:t>2.76</w:t>
            </w:r>
          </w:p>
        </w:tc>
      </w:tr>
      <w:tr w:rsidR="003779EB">
        <w:tc>
          <w:tcPr>
            <w:tcW w:w="817" w:type="dxa"/>
            <w:vAlign w:val="center"/>
          </w:tcPr>
          <w:p w:rsidR="003779EB" w:rsidRDefault="00815304">
            <w:pPr>
              <w:jc w:val="center"/>
            </w:pPr>
            <w:r>
              <w:rPr>
                <w:rFonts w:eastAsiaTheme="minorEastAsia"/>
                <w:color w:val="000000"/>
                <w:szCs w:val="21"/>
              </w:rPr>
              <w:t>8</w:t>
            </w:r>
          </w:p>
        </w:tc>
        <w:tc>
          <w:tcPr>
            <w:tcW w:w="1276" w:type="dxa"/>
            <w:vAlign w:val="center"/>
          </w:tcPr>
          <w:p w:rsidR="003779EB" w:rsidRDefault="00815304">
            <w:pPr>
              <w:jc w:val="center"/>
            </w:pPr>
            <w:r>
              <w:rPr>
                <w:rFonts w:eastAsiaTheme="minorEastAsia"/>
                <w:color w:val="000000"/>
                <w:szCs w:val="21"/>
              </w:rPr>
              <w:t>600887</w:t>
            </w:r>
          </w:p>
        </w:tc>
        <w:tc>
          <w:tcPr>
            <w:tcW w:w="1701" w:type="dxa"/>
            <w:vAlign w:val="center"/>
          </w:tcPr>
          <w:p w:rsidR="003779EB" w:rsidRDefault="00815304">
            <w:pPr>
              <w:jc w:val="center"/>
            </w:pPr>
            <w:r>
              <w:rPr>
                <w:rFonts w:eastAsiaTheme="minorEastAsia"/>
                <w:color w:val="000000"/>
                <w:szCs w:val="21"/>
              </w:rPr>
              <w:t>伊利股份</w:t>
            </w:r>
          </w:p>
        </w:tc>
        <w:tc>
          <w:tcPr>
            <w:tcW w:w="1276" w:type="dxa"/>
            <w:vAlign w:val="center"/>
          </w:tcPr>
          <w:p w:rsidR="003779EB" w:rsidRDefault="00815304">
            <w:pPr>
              <w:jc w:val="right"/>
            </w:pPr>
            <w:r>
              <w:rPr>
                <w:rFonts w:eastAsiaTheme="minorEastAsia"/>
                <w:color w:val="000000"/>
                <w:szCs w:val="21"/>
              </w:rPr>
              <w:t>2,775,175</w:t>
            </w:r>
          </w:p>
        </w:tc>
        <w:tc>
          <w:tcPr>
            <w:tcW w:w="1842" w:type="dxa"/>
            <w:vAlign w:val="center"/>
          </w:tcPr>
          <w:p w:rsidR="003779EB" w:rsidRDefault="00815304">
            <w:pPr>
              <w:jc w:val="right"/>
            </w:pPr>
            <w:r>
              <w:rPr>
                <w:rFonts w:eastAsiaTheme="minorEastAsia"/>
                <w:color w:val="000000"/>
                <w:szCs w:val="21"/>
              </w:rPr>
              <w:t>92,718,596.75</w:t>
            </w:r>
          </w:p>
        </w:tc>
        <w:tc>
          <w:tcPr>
            <w:tcW w:w="1616" w:type="dxa"/>
            <w:vAlign w:val="center"/>
          </w:tcPr>
          <w:p w:rsidR="003779EB" w:rsidRDefault="00815304">
            <w:pPr>
              <w:jc w:val="right"/>
            </w:pPr>
            <w:r>
              <w:rPr>
                <w:rFonts w:eastAsiaTheme="minorEastAsia"/>
                <w:color w:val="000000"/>
                <w:szCs w:val="21"/>
              </w:rPr>
              <w:t>2.34</w:t>
            </w:r>
          </w:p>
        </w:tc>
      </w:tr>
      <w:tr w:rsidR="003779EB">
        <w:tc>
          <w:tcPr>
            <w:tcW w:w="817" w:type="dxa"/>
            <w:vAlign w:val="center"/>
          </w:tcPr>
          <w:p w:rsidR="003779EB" w:rsidRDefault="00815304">
            <w:pPr>
              <w:jc w:val="center"/>
            </w:pPr>
            <w:r>
              <w:rPr>
                <w:rFonts w:eastAsiaTheme="minorEastAsia"/>
                <w:color w:val="000000"/>
                <w:szCs w:val="21"/>
              </w:rPr>
              <w:t>9</w:t>
            </w:r>
          </w:p>
        </w:tc>
        <w:tc>
          <w:tcPr>
            <w:tcW w:w="1276" w:type="dxa"/>
            <w:vAlign w:val="center"/>
          </w:tcPr>
          <w:p w:rsidR="003779EB" w:rsidRDefault="00815304">
            <w:pPr>
              <w:jc w:val="center"/>
            </w:pPr>
            <w:r>
              <w:rPr>
                <w:rFonts w:eastAsiaTheme="minorEastAsia"/>
                <w:color w:val="000000"/>
                <w:szCs w:val="21"/>
              </w:rPr>
              <w:t>000651</w:t>
            </w:r>
          </w:p>
        </w:tc>
        <w:tc>
          <w:tcPr>
            <w:tcW w:w="1701" w:type="dxa"/>
            <w:vAlign w:val="center"/>
          </w:tcPr>
          <w:p w:rsidR="003779EB" w:rsidRDefault="00815304">
            <w:pPr>
              <w:jc w:val="center"/>
            </w:pPr>
            <w:r>
              <w:rPr>
                <w:rFonts w:eastAsiaTheme="minorEastAsia"/>
                <w:color w:val="000000"/>
                <w:szCs w:val="21"/>
              </w:rPr>
              <w:t>格力电器</w:t>
            </w:r>
          </w:p>
        </w:tc>
        <w:tc>
          <w:tcPr>
            <w:tcW w:w="1276" w:type="dxa"/>
            <w:vAlign w:val="center"/>
          </w:tcPr>
          <w:p w:rsidR="003779EB" w:rsidRDefault="00815304">
            <w:pPr>
              <w:jc w:val="right"/>
            </w:pPr>
            <w:r>
              <w:rPr>
                <w:rFonts w:eastAsiaTheme="minorEastAsia"/>
                <w:color w:val="000000"/>
                <w:szCs w:val="21"/>
              </w:rPr>
              <w:t>1,590,043</w:t>
            </w:r>
          </w:p>
        </w:tc>
        <w:tc>
          <w:tcPr>
            <w:tcW w:w="1842" w:type="dxa"/>
            <w:vAlign w:val="center"/>
          </w:tcPr>
          <w:p w:rsidR="003779EB" w:rsidRDefault="00815304">
            <w:pPr>
              <w:jc w:val="right"/>
            </w:pPr>
            <w:r>
              <w:rPr>
                <w:rFonts w:eastAsiaTheme="minorEastAsia"/>
                <w:color w:val="000000"/>
                <w:szCs w:val="21"/>
              </w:rPr>
              <w:t>87,452,365.00</w:t>
            </w:r>
          </w:p>
        </w:tc>
        <w:tc>
          <w:tcPr>
            <w:tcW w:w="1616" w:type="dxa"/>
            <w:vAlign w:val="center"/>
          </w:tcPr>
          <w:p w:rsidR="003779EB" w:rsidRDefault="00815304">
            <w:pPr>
              <w:jc w:val="right"/>
            </w:pPr>
            <w:r>
              <w:rPr>
                <w:rFonts w:eastAsiaTheme="minorEastAsia"/>
                <w:color w:val="000000"/>
                <w:szCs w:val="21"/>
              </w:rPr>
              <w:t>2.21</w:t>
            </w:r>
          </w:p>
        </w:tc>
      </w:tr>
      <w:tr w:rsidR="003779EB">
        <w:tc>
          <w:tcPr>
            <w:tcW w:w="817" w:type="dxa"/>
            <w:vAlign w:val="center"/>
          </w:tcPr>
          <w:p w:rsidR="003779EB" w:rsidRDefault="00815304">
            <w:pPr>
              <w:jc w:val="center"/>
            </w:pPr>
            <w:r>
              <w:rPr>
                <w:rFonts w:eastAsiaTheme="minorEastAsia"/>
                <w:color w:val="000000"/>
                <w:szCs w:val="21"/>
              </w:rPr>
              <w:t>10</w:t>
            </w:r>
          </w:p>
        </w:tc>
        <w:tc>
          <w:tcPr>
            <w:tcW w:w="1276" w:type="dxa"/>
            <w:vAlign w:val="center"/>
          </w:tcPr>
          <w:p w:rsidR="003779EB" w:rsidRDefault="00815304">
            <w:pPr>
              <w:jc w:val="center"/>
            </w:pPr>
            <w:r>
              <w:rPr>
                <w:rFonts w:eastAsiaTheme="minorEastAsia"/>
                <w:color w:val="000000"/>
                <w:szCs w:val="21"/>
              </w:rPr>
              <w:t>600837</w:t>
            </w:r>
          </w:p>
        </w:tc>
        <w:tc>
          <w:tcPr>
            <w:tcW w:w="1701" w:type="dxa"/>
            <w:vAlign w:val="center"/>
          </w:tcPr>
          <w:p w:rsidR="003779EB" w:rsidRDefault="00815304">
            <w:pPr>
              <w:jc w:val="center"/>
            </w:pPr>
            <w:r>
              <w:rPr>
                <w:rFonts w:eastAsiaTheme="minorEastAsia"/>
                <w:color w:val="000000"/>
                <w:szCs w:val="21"/>
              </w:rPr>
              <w:t>海通证券</w:t>
            </w:r>
          </w:p>
        </w:tc>
        <w:tc>
          <w:tcPr>
            <w:tcW w:w="1276" w:type="dxa"/>
            <w:vAlign w:val="center"/>
          </w:tcPr>
          <w:p w:rsidR="003779EB" w:rsidRDefault="00815304">
            <w:pPr>
              <w:jc w:val="right"/>
            </w:pPr>
            <w:r>
              <w:rPr>
                <w:rFonts w:eastAsiaTheme="minorEastAsia"/>
                <w:color w:val="000000"/>
                <w:szCs w:val="21"/>
              </w:rPr>
              <w:t>6,151,123</w:t>
            </w:r>
          </w:p>
        </w:tc>
        <w:tc>
          <w:tcPr>
            <w:tcW w:w="1842" w:type="dxa"/>
            <w:vAlign w:val="center"/>
          </w:tcPr>
          <w:p w:rsidR="003779EB" w:rsidRDefault="00815304">
            <w:pPr>
              <w:jc w:val="right"/>
            </w:pPr>
            <w:r>
              <w:rPr>
                <w:rFonts w:eastAsiaTheme="minorEastAsia"/>
                <w:color w:val="000000"/>
                <w:szCs w:val="21"/>
              </w:rPr>
              <w:t>87,284,435.37</w:t>
            </w:r>
          </w:p>
        </w:tc>
        <w:tc>
          <w:tcPr>
            <w:tcW w:w="1616" w:type="dxa"/>
            <w:vAlign w:val="center"/>
          </w:tcPr>
          <w:p w:rsidR="003779EB" w:rsidRDefault="00815304">
            <w:pPr>
              <w:jc w:val="right"/>
            </w:pPr>
            <w:r>
              <w:rPr>
                <w:rFonts w:eastAsiaTheme="minorEastAsia"/>
                <w:color w:val="000000"/>
                <w:szCs w:val="21"/>
              </w:rPr>
              <w:t>2.20</w:t>
            </w:r>
          </w:p>
        </w:tc>
      </w:tr>
    </w:tbl>
    <w:p w:rsidR="00952F5E" w:rsidRPr="00952F5E" w:rsidRDefault="00952F5E" w:rsidP="00C15E25">
      <w:pPr>
        <w:tabs>
          <w:tab w:val="left" w:pos="426"/>
        </w:tabs>
        <w:spacing w:line="360" w:lineRule="auto"/>
        <w:ind w:firstLineChars="200" w:firstLine="420"/>
        <w:jc w:val="left"/>
        <w:rPr>
          <w:rFonts w:eastAsiaTheme="minorEastAsia"/>
          <w:kern w:val="0"/>
          <w:szCs w:val="21"/>
        </w:rPr>
      </w:pPr>
      <w:bookmarkStart w:id="62" w:name="_Toc390421260"/>
      <w:r>
        <w:rPr>
          <w:rFonts w:eastAsiaTheme="minorEastAsia" w:hint="eastAsia"/>
          <w:kern w:val="0"/>
          <w:szCs w:val="21"/>
        </w:rPr>
        <w:t>注：投资者欲了解本报告期末基金投资的所有股票明细，应阅读登载于本基金管理人网站（</w:t>
      </w:r>
      <w:r>
        <w:rPr>
          <w:rFonts w:eastAsiaTheme="minorEastAsia"/>
          <w:kern w:val="0"/>
          <w:szCs w:val="21"/>
        </w:rPr>
        <w:t>www.cifm.com</w:t>
      </w:r>
      <w:r>
        <w:rPr>
          <w:rFonts w:eastAsiaTheme="minorEastAsia" w:hint="eastAsia"/>
          <w:kern w:val="0"/>
          <w:szCs w:val="21"/>
        </w:rPr>
        <w:t>）的半年度报告正文。</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kern w:val="0"/>
          <w:sz w:val="21"/>
          <w:szCs w:val="21"/>
        </w:rPr>
        <w:t>7.4</w:t>
      </w:r>
      <w:bookmarkStart w:id="63"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62"/>
      <w:bookmarkEnd w:id="63"/>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3779EB">
        <w:tc>
          <w:tcPr>
            <w:tcW w:w="870" w:type="dxa"/>
            <w:vAlign w:val="center"/>
          </w:tcPr>
          <w:p w:rsidR="003779EB" w:rsidRDefault="00815304">
            <w:pPr>
              <w:jc w:val="center"/>
            </w:pPr>
            <w:r>
              <w:rPr>
                <w:rFonts w:eastAsiaTheme="minorEastAsia"/>
                <w:szCs w:val="21"/>
              </w:rPr>
              <w:t>1</w:t>
            </w:r>
          </w:p>
        </w:tc>
        <w:tc>
          <w:tcPr>
            <w:tcW w:w="1650" w:type="dxa"/>
            <w:vAlign w:val="center"/>
          </w:tcPr>
          <w:p w:rsidR="003779EB" w:rsidRDefault="00815304">
            <w:pPr>
              <w:jc w:val="center"/>
            </w:pPr>
            <w:r>
              <w:rPr>
                <w:rFonts w:eastAsiaTheme="minorEastAsia"/>
                <w:szCs w:val="21"/>
              </w:rPr>
              <w:t>002236</w:t>
            </w:r>
          </w:p>
        </w:tc>
        <w:tc>
          <w:tcPr>
            <w:tcW w:w="1980" w:type="dxa"/>
            <w:vAlign w:val="center"/>
          </w:tcPr>
          <w:p w:rsidR="003779EB" w:rsidRDefault="00815304">
            <w:pPr>
              <w:jc w:val="center"/>
            </w:pPr>
            <w:r>
              <w:rPr>
                <w:rFonts w:eastAsiaTheme="minorEastAsia"/>
                <w:szCs w:val="21"/>
              </w:rPr>
              <w:t>大华股份</w:t>
            </w:r>
          </w:p>
        </w:tc>
        <w:tc>
          <w:tcPr>
            <w:tcW w:w="2880" w:type="dxa"/>
            <w:vAlign w:val="center"/>
          </w:tcPr>
          <w:p w:rsidR="003779EB" w:rsidRDefault="00815304">
            <w:pPr>
              <w:jc w:val="right"/>
            </w:pPr>
            <w:r>
              <w:rPr>
                <w:rFonts w:eastAsiaTheme="minorEastAsia"/>
                <w:szCs w:val="21"/>
              </w:rPr>
              <w:t>288,418,223.75</w:t>
            </w:r>
          </w:p>
        </w:tc>
        <w:tc>
          <w:tcPr>
            <w:tcW w:w="1620" w:type="dxa"/>
            <w:vAlign w:val="center"/>
          </w:tcPr>
          <w:p w:rsidR="003779EB" w:rsidRDefault="00815304">
            <w:pPr>
              <w:jc w:val="right"/>
            </w:pPr>
            <w:r>
              <w:rPr>
                <w:rFonts w:eastAsiaTheme="minorEastAsia"/>
                <w:szCs w:val="21"/>
              </w:rPr>
              <w:t>8.07</w:t>
            </w:r>
          </w:p>
        </w:tc>
      </w:tr>
      <w:tr w:rsidR="003779EB">
        <w:tc>
          <w:tcPr>
            <w:tcW w:w="870" w:type="dxa"/>
            <w:vAlign w:val="center"/>
          </w:tcPr>
          <w:p w:rsidR="003779EB" w:rsidRDefault="00815304">
            <w:pPr>
              <w:jc w:val="center"/>
            </w:pPr>
            <w:r>
              <w:rPr>
                <w:rFonts w:eastAsiaTheme="minorEastAsia"/>
                <w:szCs w:val="21"/>
              </w:rPr>
              <w:t>2</w:t>
            </w:r>
          </w:p>
        </w:tc>
        <w:tc>
          <w:tcPr>
            <w:tcW w:w="1650" w:type="dxa"/>
            <w:vAlign w:val="center"/>
          </w:tcPr>
          <w:p w:rsidR="003779EB" w:rsidRDefault="00815304">
            <w:pPr>
              <w:jc w:val="center"/>
            </w:pPr>
            <w:r>
              <w:rPr>
                <w:rFonts w:eastAsiaTheme="minorEastAsia"/>
                <w:szCs w:val="21"/>
              </w:rPr>
              <w:t>000651</w:t>
            </w:r>
          </w:p>
        </w:tc>
        <w:tc>
          <w:tcPr>
            <w:tcW w:w="1980" w:type="dxa"/>
            <w:vAlign w:val="center"/>
          </w:tcPr>
          <w:p w:rsidR="003779EB" w:rsidRDefault="00815304">
            <w:pPr>
              <w:jc w:val="center"/>
            </w:pPr>
            <w:r>
              <w:rPr>
                <w:rFonts w:eastAsiaTheme="minorEastAsia"/>
                <w:szCs w:val="21"/>
              </w:rPr>
              <w:t>格力电器</w:t>
            </w:r>
          </w:p>
        </w:tc>
        <w:tc>
          <w:tcPr>
            <w:tcW w:w="2880" w:type="dxa"/>
            <w:vAlign w:val="center"/>
          </w:tcPr>
          <w:p w:rsidR="003779EB" w:rsidRDefault="00815304">
            <w:pPr>
              <w:jc w:val="right"/>
            </w:pPr>
            <w:r>
              <w:rPr>
                <w:rFonts w:eastAsiaTheme="minorEastAsia"/>
                <w:szCs w:val="21"/>
              </w:rPr>
              <w:t>211,500,415.95</w:t>
            </w:r>
          </w:p>
        </w:tc>
        <w:tc>
          <w:tcPr>
            <w:tcW w:w="1620" w:type="dxa"/>
            <w:vAlign w:val="center"/>
          </w:tcPr>
          <w:p w:rsidR="003779EB" w:rsidRDefault="00815304">
            <w:pPr>
              <w:jc w:val="right"/>
            </w:pPr>
            <w:r>
              <w:rPr>
                <w:rFonts w:eastAsiaTheme="minorEastAsia"/>
                <w:szCs w:val="21"/>
              </w:rPr>
              <w:t>5.92</w:t>
            </w:r>
          </w:p>
        </w:tc>
      </w:tr>
      <w:tr w:rsidR="003779EB">
        <w:tc>
          <w:tcPr>
            <w:tcW w:w="870" w:type="dxa"/>
            <w:vAlign w:val="center"/>
          </w:tcPr>
          <w:p w:rsidR="003779EB" w:rsidRDefault="00815304">
            <w:pPr>
              <w:jc w:val="center"/>
            </w:pPr>
            <w:r>
              <w:rPr>
                <w:rFonts w:eastAsiaTheme="minorEastAsia"/>
                <w:szCs w:val="21"/>
              </w:rPr>
              <w:t>3</w:t>
            </w:r>
          </w:p>
        </w:tc>
        <w:tc>
          <w:tcPr>
            <w:tcW w:w="1650" w:type="dxa"/>
            <w:vAlign w:val="center"/>
          </w:tcPr>
          <w:p w:rsidR="003779EB" w:rsidRDefault="00815304">
            <w:pPr>
              <w:jc w:val="center"/>
            </w:pPr>
            <w:r>
              <w:rPr>
                <w:rFonts w:eastAsiaTheme="minorEastAsia"/>
                <w:szCs w:val="21"/>
              </w:rPr>
              <w:t>002415</w:t>
            </w:r>
          </w:p>
        </w:tc>
        <w:tc>
          <w:tcPr>
            <w:tcW w:w="1980" w:type="dxa"/>
            <w:vAlign w:val="center"/>
          </w:tcPr>
          <w:p w:rsidR="003779EB" w:rsidRDefault="00815304">
            <w:pPr>
              <w:jc w:val="center"/>
            </w:pPr>
            <w:r>
              <w:rPr>
                <w:rFonts w:eastAsiaTheme="minorEastAsia"/>
                <w:szCs w:val="21"/>
              </w:rPr>
              <w:t>海康威视</w:t>
            </w:r>
          </w:p>
        </w:tc>
        <w:tc>
          <w:tcPr>
            <w:tcW w:w="2880" w:type="dxa"/>
            <w:vAlign w:val="center"/>
          </w:tcPr>
          <w:p w:rsidR="003779EB" w:rsidRDefault="00815304">
            <w:pPr>
              <w:jc w:val="right"/>
            </w:pPr>
            <w:r>
              <w:rPr>
                <w:rFonts w:eastAsiaTheme="minorEastAsia"/>
                <w:szCs w:val="21"/>
              </w:rPr>
              <w:t>190,154,040.93</w:t>
            </w:r>
          </w:p>
        </w:tc>
        <w:tc>
          <w:tcPr>
            <w:tcW w:w="1620" w:type="dxa"/>
            <w:vAlign w:val="center"/>
          </w:tcPr>
          <w:p w:rsidR="003779EB" w:rsidRDefault="00815304">
            <w:pPr>
              <w:jc w:val="right"/>
            </w:pPr>
            <w:r>
              <w:rPr>
                <w:rFonts w:eastAsiaTheme="minorEastAsia"/>
                <w:szCs w:val="21"/>
              </w:rPr>
              <w:t>5.32</w:t>
            </w:r>
          </w:p>
        </w:tc>
      </w:tr>
      <w:tr w:rsidR="003779EB">
        <w:tc>
          <w:tcPr>
            <w:tcW w:w="870" w:type="dxa"/>
            <w:vAlign w:val="center"/>
          </w:tcPr>
          <w:p w:rsidR="003779EB" w:rsidRDefault="00815304">
            <w:pPr>
              <w:jc w:val="center"/>
            </w:pPr>
            <w:r>
              <w:rPr>
                <w:rFonts w:eastAsiaTheme="minorEastAsia"/>
                <w:szCs w:val="21"/>
              </w:rPr>
              <w:t>4</w:t>
            </w:r>
          </w:p>
        </w:tc>
        <w:tc>
          <w:tcPr>
            <w:tcW w:w="1650" w:type="dxa"/>
            <w:vAlign w:val="center"/>
          </w:tcPr>
          <w:p w:rsidR="003779EB" w:rsidRDefault="00815304">
            <w:pPr>
              <w:jc w:val="center"/>
            </w:pPr>
            <w:r>
              <w:rPr>
                <w:rFonts w:eastAsiaTheme="minorEastAsia"/>
                <w:szCs w:val="21"/>
              </w:rPr>
              <w:t>002475</w:t>
            </w:r>
          </w:p>
        </w:tc>
        <w:tc>
          <w:tcPr>
            <w:tcW w:w="1980" w:type="dxa"/>
            <w:vAlign w:val="center"/>
          </w:tcPr>
          <w:p w:rsidR="003779EB" w:rsidRDefault="00815304">
            <w:pPr>
              <w:jc w:val="center"/>
            </w:pPr>
            <w:r>
              <w:rPr>
                <w:rFonts w:eastAsiaTheme="minorEastAsia"/>
                <w:szCs w:val="21"/>
              </w:rPr>
              <w:t>立讯精密</w:t>
            </w:r>
          </w:p>
        </w:tc>
        <w:tc>
          <w:tcPr>
            <w:tcW w:w="2880" w:type="dxa"/>
            <w:vAlign w:val="center"/>
          </w:tcPr>
          <w:p w:rsidR="003779EB" w:rsidRDefault="00815304">
            <w:pPr>
              <w:jc w:val="right"/>
            </w:pPr>
            <w:r>
              <w:rPr>
                <w:rFonts w:eastAsiaTheme="minorEastAsia"/>
                <w:szCs w:val="21"/>
              </w:rPr>
              <w:t>185,073,174.31</w:t>
            </w:r>
          </w:p>
        </w:tc>
        <w:tc>
          <w:tcPr>
            <w:tcW w:w="1620" w:type="dxa"/>
            <w:vAlign w:val="center"/>
          </w:tcPr>
          <w:p w:rsidR="003779EB" w:rsidRDefault="00815304">
            <w:pPr>
              <w:jc w:val="right"/>
            </w:pPr>
            <w:r>
              <w:rPr>
                <w:rFonts w:eastAsiaTheme="minorEastAsia"/>
                <w:szCs w:val="21"/>
              </w:rPr>
              <w:t>5.18</w:t>
            </w:r>
          </w:p>
        </w:tc>
      </w:tr>
      <w:tr w:rsidR="003779EB">
        <w:tc>
          <w:tcPr>
            <w:tcW w:w="870" w:type="dxa"/>
            <w:vAlign w:val="center"/>
          </w:tcPr>
          <w:p w:rsidR="003779EB" w:rsidRDefault="00815304">
            <w:pPr>
              <w:jc w:val="center"/>
            </w:pPr>
            <w:r>
              <w:rPr>
                <w:rFonts w:eastAsiaTheme="minorEastAsia"/>
                <w:szCs w:val="21"/>
              </w:rPr>
              <w:t>5</w:t>
            </w:r>
          </w:p>
        </w:tc>
        <w:tc>
          <w:tcPr>
            <w:tcW w:w="1650" w:type="dxa"/>
            <w:vAlign w:val="center"/>
          </w:tcPr>
          <w:p w:rsidR="003779EB" w:rsidRDefault="00815304">
            <w:pPr>
              <w:jc w:val="center"/>
            </w:pPr>
            <w:r>
              <w:rPr>
                <w:rFonts w:eastAsiaTheme="minorEastAsia"/>
                <w:szCs w:val="21"/>
              </w:rPr>
              <w:t>601688</w:t>
            </w:r>
          </w:p>
        </w:tc>
        <w:tc>
          <w:tcPr>
            <w:tcW w:w="1980" w:type="dxa"/>
            <w:vAlign w:val="center"/>
          </w:tcPr>
          <w:p w:rsidR="003779EB" w:rsidRDefault="00815304">
            <w:pPr>
              <w:jc w:val="center"/>
            </w:pPr>
            <w:r>
              <w:rPr>
                <w:rFonts w:eastAsiaTheme="minorEastAsia"/>
                <w:szCs w:val="21"/>
              </w:rPr>
              <w:t>华泰证券</w:t>
            </w:r>
          </w:p>
        </w:tc>
        <w:tc>
          <w:tcPr>
            <w:tcW w:w="2880" w:type="dxa"/>
            <w:vAlign w:val="center"/>
          </w:tcPr>
          <w:p w:rsidR="003779EB" w:rsidRDefault="00815304">
            <w:pPr>
              <w:jc w:val="right"/>
            </w:pPr>
            <w:r>
              <w:rPr>
                <w:rFonts w:eastAsiaTheme="minorEastAsia"/>
                <w:szCs w:val="21"/>
              </w:rPr>
              <w:t>169,185,041.29</w:t>
            </w:r>
          </w:p>
        </w:tc>
        <w:tc>
          <w:tcPr>
            <w:tcW w:w="1620" w:type="dxa"/>
            <w:vAlign w:val="center"/>
          </w:tcPr>
          <w:p w:rsidR="003779EB" w:rsidRDefault="00815304">
            <w:pPr>
              <w:jc w:val="right"/>
            </w:pPr>
            <w:r>
              <w:rPr>
                <w:rFonts w:eastAsiaTheme="minorEastAsia"/>
                <w:szCs w:val="21"/>
              </w:rPr>
              <w:t>4.73</w:t>
            </w:r>
          </w:p>
        </w:tc>
      </w:tr>
      <w:tr w:rsidR="003779EB">
        <w:tc>
          <w:tcPr>
            <w:tcW w:w="870" w:type="dxa"/>
            <w:vAlign w:val="center"/>
          </w:tcPr>
          <w:p w:rsidR="003779EB" w:rsidRDefault="00815304">
            <w:pPr>
              <w:jc w:val="center"/>
            </w:pPr>
            <w:r>
              <w:rPr>
                <w:rFonts w:eastAsiaTheme="minorEastAsia"/>
                <w:szCs w:val="21"/>
              </w:rPr>
              <w:t>6</w:t>
            </w:r>
          </w:p>
        </w:tc>
        <w:tc>
          <w:tcPr>
            <w:tcW w:w="1650" w:type="dxa"/>
            <w:vAlign w:val="center"/>
          </w:tcPr>
          <w:p w:rsidR="003779EB" w:rsidRDefault="00815304">
            <w:pPr>
              <w:jc w:val="center"/>
            </w:pPr>
            <w:r>
              <w:rPr>
                <w:rFonts w:eastAsiaTheme="minorEastAsia"/>
                <w:szCs w:val="21"/>
              </w:rPr>
              <w:t>600030</w:t>
            </w:r>
          </w:p>
        </w:tc>
        <w:tc>
          <w:tcPr>
            <w:tcW w:w="1980" w:type="dxa"/>
            <w:vAlign w:val="center"/>
          </w:tcPr>
          <w:p w:rsidR="003779EB" w:rsidRDefault="00815304">
            <w:pPr>
              <w:jc w:val="center"/>
            </w:pPr>
            <w:r>
              <w:rPr>
                <w:rFonts w:eastAsiaTheme="minorEastAsia"/>
                <w:szCs w:val="21"/>
              </w:rPr>
              <w:t>中信证券</w:t>
            </w:r>
          </w:p>
        </w:tc>
        <w:tc>
          <w:tcPr>
            <w:tcW w:w="2880" w:type="dxa"/>
            <w:vAlign w:val="center"/>
          </w:tcPr>
          <w:p w:rsidR="003779EB" w:rsidRDefault="00815304">
            <w:pPr>
              <w:jc w:val="right"/>
            </w:pPr>
            <w:r>
              <w:rPr>
                <w:rFonts w:eastAsiaTheme="minorEastAsia"/>
                <w:szCs w:val="21"/>
              </w:rPr>
              <w:t>162,334,866.88</w:t>
            </w:r>
          </w:p>
        </w:tc>
        <w:tc>
          <w:tcPr>
            <w:tcW w:w="1620" w:type="dxa"/>
            <w:vAlign w:val="center"/>
          </w:tcPr>
          <w:p w:rsidR="003779EB" w:rsidRDefault="00815304">
            <w:pPr>
              <w:jc w:val="right"/>
            </w:pPr>
            <w:r>
              <w:rPr>
                <w:rFonts w:eastAsiaTheme="minorEastAsia"/>
                <w:szCs w:val="21"/>
              </w:rPr>
              <w:t>4.54</w:t>
            </w:r>
          </w:p>
        </w:tc>
      </w:tr>
      <w:tr w:rsidR="003779EB">
        <w:tc>
          <w:tcPr>
            <w:tcW w:w="870" w:type="dxa"/>
            <w:vAlign w:val="center"/>
          </w:tcPr>
          <w:p w:rsidR="003779EB" w:rsidRDefault="00815304">
            <w:pPr>
              <w:jc w:val="center"/>
            </w:pPr>
            <w:r>
              <w:rPr>
                <w:rFonts w:eastAsiaTheme="minorEastAsia"/>
                <w:szCs w:val="21"/>
              </w:rPr>
              <w:t>7</w:t>
            </w:r>
          </w:p>
        </w:tc>
        <w:tc>
          <w:tcPr>
            <w:tcW w:w="1650" w:type="dxa"/>
            <w:vAlign w:val="center"/>
          </w:tcPr>
          <w:p w:rsidR="003779EB" w:rsidRDefault="00815304">
            <w:pPr>
              <w:jc w:val="center"/>
            </w:pPr>
            <w:r>
              <w:rPr>
                <w:rFonts w:eastAsiaTheme="minorEastAsia"/>
                <w:szCs w:val="21"/>
              </w:rPr>
              <w:t>000063</w:t>
            </w:r>
          </w:p>
        </w:tc>
        <w:tc>
          <w:tcPr>
            <w:tcW w:w="1980" w:type="dxa"/>
            <w:vAlign w:val="center"/>
          </w:tcPr>
          <w:p w:rsidR="003779EB" w:rsidRDefault="00815304">
            <w:pPr>
              <w:jc w:val="center"/>
            </w:pPr>
            <w:r>
              <w:rPr>
                <w:rFonts w:eastAsiaTheme="minorEastAsia"/>
                <w:szCs w:val="21"/>
              </w:rPr>
              <w:t>中兴通讯</w:t>
            </w:r>
          </w:p>
        </w:tc>
        <w:tc>
          <w:tcPr>
            <w:tcW w:w="2880" w:type="dxa"/>
            <w:vAlign w:val="center"/>
          </w:tcPr>
          <w:p w:rsidR="003779EB" w:rsidRDefault="00815304">
            <w:pPr>
              <w:jc w:val="right"/>
            </w:pPr>
            <w:r>
              <w:rPr>
                <w:rFonts w:eastAsiaTheme="minorEastAsia"/>
                <w:szCs w:val="21"/>
              </w:rPr>
              <w:t>155,786,533.01</w:t>
            </w:r>
          </w:p>
        </w:tc>
        <w:tc>
          <w:tcPr>
            <w:tcW w:w="1620" w:type="dxa"/>
            <w:vAlign w:val="center"/>
          </w:tcPr>
          <w:p w:rsidR="003779EB" w:rsidRDefault="00815304">
            <w:pPr>
              <w:jc w:val="right"/>
            </w:pPr>
            <w:r>
              <w:rPr>
                <w:rFonts w:eastAsiaTheme="minorEastAsia"/>
                <w:szCs w:val="21"/>
              </w:rPr>
              <w:t>4.36</w:t>
            </w:r>
          </w:p>
        </w:tc>
      </w:tr>
      <w:tr w:rsidR="003779EB">
        <w:tc>
          <w:tcPr>
            <w:tcW w:w="870" w:type="dxa"/>
            <w:vAlign w:val="center"/>
          </w:tcPr>
          <w:p w:rsidR="003779EB" w:rsidRDefault="00815304">
            <w:pPr>
              <w:jc w:val="center"/>
            </w:pPr>
            <w:r>
              <w:rPr>
                <w:rFonts w:eastAsiaTheme="minorEastAsia"/>
                <w:szCs w:val="21"/>
              </w:rPr>
              <w:t>8</w:t>
            </w:r>
          </w:p>
        </w:tc>
        <w:tc>
          <w:tcPr>
            <w:tcW w:w="1650" w:type="dxa"/>
            <w:vAlign w:val="center"/>
          </w:tcPr>
          <w:p w:rsidR="003779EB" w:rsidRDefault="00815304">
            <w:pPr>
              <w:jc w:val="center"/>
            </w:pPr>
            <w:r>
              <w:rPr>
                <w:rFonts w:eastAsiaTheme="minorEastAsia"/>
                <w:szCs w:val="21"/>
              </w:rPr>
              <w:t>002594</w:t>
            </w:r>
          </w:p>
        </w:tc>
        <w:tc>
          <w:tcPr>
            <w:tcW w:w="1980" w:type="dxa"/>
            <w:vAlign w:val="center"/>
          </w:tcPr>
          <w:p w:rsidR="003779EB" w:rsidRDefault="00815304">
            <w:pPr>
              <w:jc w:val="center"/>
            </w:pPr>
            <w:r>
              <w:rPr>
                <w:rFonts w:eastAsiaTheme="minorEastAsia"/>
                <w:szCs w:val="21"/>
              </w:rPr>
              <w:t>比亚迪</w:t>
            </w:r>
          </w:p>
        </w:tc>
        <w:tc>
          <w:tcPr>
            <w:tcW w:w="2880" w:type="dxa"/>
            <w:vAlign w:val="center"/>
          </w:tcPr>
          <w:p w:rsidR="003779EB" w:rsidRDefault="00815304">
            <w:pPr>
              <w:jc w:val="right"/>
            </w:pPr>
            <w:r>
              <w:rPr>
                <w:rFonts w:eastAsiaTheme="minorEastAsia"/>
                <w:szCs w:val="21"/>
              </w:rPr>
              <w:t>135,143,050.29</w:t>
            </w:r>
          </w:p>
        </w:tc>
        <w:tc>
          <w:tcPr>
            <w:tcW w:w="1620" w:type="dxa"/>
            <w:vAlign w:val="center"/>
          </w:tcPr>
          <w:p w:rsidR="003779EB" w:rsidRDefault="00815304">
            <w:pPr>
              <w:jc w:val="right"/>
            </w:pPr>
            <w:r>
              <w:rPr>
                <w:rFonts w:eastAsiaTheme="minorEastAsia"/>
                <w:szCs w:val="21"/>
              </w:rPr>
              <w:t>3.78</w:t>
            </w:r>
          </w:p>
        </w:tc>
      </w:tr>
      <w:tr w:rsidR="003779EB">
        <w:tc>
          <w:tcPr>
            <w:tcW w:w="870" w:type="dxa"/>
            <w:vAlign w:val="center"/>
          </w:tcPr>
          <w:p w:rsidR="003779EB" w:rsidRDefault="00815304">
            <w:pPr>
              <w:jc w:val="center"/>
            </w:pPr>
            <w:r>
              <w:rPr>
                <w:rFonts w:eastAsiaTheme="minorEastAsia"/>
                <w:szCs w:val="21"/>
              </w:rPr>
              <w:t>9</w:t>
            </w:r>
          </w:p>
        </w:tc>
        <w:tc>
          <w:tcPr>
            <w:tcW w:w="1650" w:type="dxa"/>
            <w:vAlign w:val="center"/>
          </w:tcPr>
          <w:p w:rsidR="003779EB" w:rsidRDefault="00815304">
            <w:pPr>
              <w:jc w:val="center"/>
            </w:pPr>
            <w:r>
              <w:rPr>
                <w:rFonts w:eastAsiaTheme="minorEastAsia"/>
                <w:szCs w:val="21"/>
              </w:rPr>
              <w:t>600519</w:t>
            </w:r>
          </w:p>
        </w:tc>
        <w:tc>
          <w:tcPr>
            <w:tcW w:w="1980" w:type="dxa"/>
            <w:vAlign w:val="center"/>
          </w:tcPr>
          <w:p w:rsidR="003779EB" w:rsidRDefault="00815304">
            <w:pPr>
              <w:jc w:val="center"/>
            </w:pPr>
            <w:r>
              <w:rPr>
                <w:rFonts w:eastAsiaTheme="minorEastAsia"/>
                <w:szCs w:val="21"/>
              </w:rPr>
              <w:t>贵州茅台</w:t>
            </w:r>
          </w:p>
        </w:tc>
        <w:tc>
          <w:tcPr>
            <w:tcW w:w="2880" w:type="dxa"/>
            <w:vAlign w:val="center"/>
          </w:tcPr>
          <w:p w:rsidR="003779EB" w:rsidRDefault="00815304">
            <w:pPr>
              <w:jc w:val="right"/>
            </w:pPr>
            <w:r>
              <w:rPr>
                <w:rFonts w:eastAsiaTheme="minorEastAsia"/>
                <w:szCs w:val="21"/>
              </w:rPr>
              <w:t>123,838,234.35</w:t>
            </w:r>
          </w:p>
        </w:tc>
        <w:tc>
          <w:tcPr>
            <w:tcW w:w="1620" w:type="dxa"/>
            <w:vAlign w:val="center"/>
          </w:tcPr>
          <w:p w:rsidR="003779EB" w:rsidRDefault="00815304">
            <w:pPr>
              <w:jc w:val="right"/>
            </w:pPr>
            <w:r>
              <w:rPr>
                <w:rFonts w:eastAsiaTheme="minorEastAsia"/>
                <w:szCs w:val="21"/>
              </w:rPr>
              <w:t>3.46</w:t>
            </w:r>
          </w:p>
        </w:tc>
      </w:tr>
      <w:tr w:rsidR="003779EB">
        <w:tc>
          <w:tcPr>
            <w:tcW w:w="870" w:type="dxa"/>
            <w:vAlign w:val="center"/>
          </w:tcPr>
          <w:p w:rsidR="003779EB" w:rsidRDefault="00815304">
            <w:pPr>
              <w:jc w:val="center"/>
            </w:pPr>
            <w:r>
              <w:rPr>
                <w:rFonts w:eastAsiaTheme="minorEastAsia"/>
                <w:szCs w:val="21"/>
              </w:rPr>
              <w:t>10</w:t>
            </w:r>
          </w:p>
        </w:tc>
        <w:tc>
          <w:tcPr>
            <w:tcW w:w="1650" w:type="dxa"/>
            <w:vAlign w:val="center"/>
          </w:tcPr>
          <w:p w:rsidR="003779EB" w:rsidRDefault="00815304">
            <w:pPr>
              <w:jc w:val="center"/>
            </w:pPr>
            <w:r>
              <w:rPr>
                <w:rFonts w:eastAsiaTheme="minorEastAsia"/>
                <w:szCs w:val="21"/>
              </w:rPr>
              <w:t>600837</w:t>
            </w:r>
          </w:p>
        </w:tc>
        <w:tc>
          <w:tcPr>
            <w:tcW w:w="1980" w:type="dxa"/>
            <w:vAlign w:val="center"/>
          </w:tcPr>
          <w:p w:rsidR="003779EB" w:rsidRDefault="00815304">
            <w:pPr>
              <w:jc w:val="center"/>
            </w:pPr>
            <w:r>
              <w:rPr>
                <w:rFonts w:eastAsiaTheme="minorEastAsia"/>
                <w:szCs w:val="21"/>
              </w:rPr>
              <w:t>海通证券</w:t>
            </w:r>
          </w:p>
        </w:tc>
        <w:tc>
          <w:tcPr>
            <w:tcW w:w="2880" w:type="dxa"/>
            <w:vAlign w:val="center"/>
          </w:tcPr>
          <w:p w:rsidR="003779EB" w:rsidRDefault="00815304">
            <w:pPr>
              <w:jc w:val="right"/>
            </w:pPr>
            <w:r>
              <w:rPr>
                <w:rFonts w:eastAsiaTheme="minorEastAsia"/>
                <w:szCs w:val="21"/>
              </w:rPr>
              <w:t>121,844,017.39</w:t>
            </w:r>
          </w:p>
        </w:tc>
        <w:tc>
          <w:tcPr>
            <w:tcW w:w="1620" w:type="dxa"/>
            <w:vAlign w:val="center"/>
          </w:tcPr>
          <w:p w:rsidR="003779EB" w:rsidRDefault="00815304">
            <w:pPr>
              <w:jc w:val="right"/>
            </w:pPr>
            <w:r>
              <w:rPr>
                <w:rFonts w:eastAsiaTheme="minorEastAsia"/>
                <w:szCs w:val="21"/>
              </w:rPr>
              <w:t>3.41</w:t>
            </w:r>
          </w:p>
        </w:tc>
      </w:tr>
      <w:tr w:rsidR="003779EB">
        <w:tc>
          <w:tcPr>
            <w:tcW w:w="870" w:type="dxa"/>
            <w:vAlign w:val="center"/>
          </w:tcPr>
          <w:p w:rsidR="003779EB" w:rsidRDefault="00815304">
            <w:pPr>
              <w:jc w:val="center"/>
            </w:pPr>
            <w:r>
              <w:rPr>
                <w:rFonts w:eastAsiaTheme="minorEastAsia"/>
                <w:szCs w:val="21"/>
              </w:rPr>
              <w:t>11</w:t>
            </w:r>
          </w:p>
        </w:tc>
        <w:tc>
          <w:tcPr>
            <w:tcW w:w="1650" w:type="dxa"/>
            <w:vAlign w:val="center"/>
          </w:tcPr>
          <w:p w:rsidR="003779EB" w:rsidRDefault="00815304">
            <w:pPr>
              <w:jc w:val="center"/>
            </w:pPr>
            <w:r>
              <w:rPr>
                <w:rFonts w:eastAsiaTheme="minorEastAsia"/>
                <w:szCs w:val="21"/>
              </w:rPr>
              <w:t>601318</w:t>
            </w:r>
          </w:p>
        </w:tc>
        <w:tc>
          <w:tcPr>
            <w:tcW w:w="1980" w:type="dxa"/>
            <w:vAlign w:val="center"/>
          </w:tcPr>
          <w:p w:rsidR="003779EB" w:rsidRDefault="00815304">
            <w:pPr>
              <w:jc w:val="center"/>
            </w:pPr>
            <w:r>
              <w:rPr>
                <w:rFonts w:eastAsiaTheme="minorEastAsia"/>
                <w:szCs w:val="21"/>
              </w:rPr>
              <w:t>中国平安</w:t>
            </w:r>
          </w:p>
        </w:tc>
        <w:tc>
          <w:tcPr>
            <w:tcW w:w="2880" w:type="dxa"/>
            <w:vAlign w:val="center"/>
          </w:tcPr>
          <w:p w:rsidR="003779EB" w:rsidRDefault="00815304">
            <w:pPr>
              <w:jc w:val="right"/>
            </w:pPr>
            <w:r>
              <w:rPr>
                <w:rFonts w:eastAsiaTheme="minorEastAsia"/>
                <w:szCs w:val="21"/>
              </w:rPr>
              <w:t>116,194,357.28</w:t>
            </w:r>
          </w:p>
        </w:tc>
        <w:tc>
          <w:tcPr>
            <w:tcW w:w="1620" w:type="dxa"/>
            <w:vAlign w:val="center"/>
          </w:tcPr>
          <w:p w:rsidR="003779EB" w:rsidRDefault="00815304">
            <w:pPr>
              <w:jc w:val="right"/>
            </w:pPr>
            <w:r>
              <w:rPr>
                <w:rFonts w:eastAsiaTheme="minorEastAsia"/>
                <w:szCs w:val="21"/>
              </w:rPr>
              <w:t>3.25</w:t>
            </w:r>
          </w:p>
        </w:tc>
      </w:tr>
      <w:tr w:rsidR="003779EB">
        <w:tc>
          <w:tcPr>
            <w:tcW w:w="870" w:type="dxa"/>
            <w:vAlign w:val="center"/>
          </w:tcPr>
          <w:p w:rsidR="003779EB" w:rsidRDefault="00815304">
            <w:pPr>
              <w:jc w:val="center"/>
            </w:pPr>
            <w:r>
              <w:rPr>
                <w:rFonts w:eastAsiaTheme="minorEastAsia"/>
                <w:szCs w:val="21"/>
              </w:rPr>
              <w:t>12</w:t>
            </w:r>
          </w:p>
        </w:tc>
        <w:tc>
          <w:tcPr>
            <w:tcW w:w="1650" w:type="dxa"/>
            <w:vAlign w:val="center"/>
          </w:tcPr>
          <w:p w:rsidR="003779EB" w:rsidRDefault="00815304">
            <w:pPr>
              <w:jc w:val="center"/>
            </w:pPr>
            <w:r>
              <w:rPr>
                <w:rFonts w:eastAsiaTheme="minorEastAsia"/>
                <w:szCs w:val="21"/>
              </w:rPr>
              <w:t>600036</w:t>
            </w:r>
          </w:p>
        </w:tc>
        <w:tc>
          <w:tcPr>
            <w:tcW w:w="1980" w:type="dxa"/>
            <w:vAlign w:val="center"/>
          </w:tcPr>
          <w:p w:rsidR="003779EB" w:rsidRDefault="00815304">
            <w:pPr>
              <w:jc w:val="center"/>
            </w:pPr>
            <w:r>
              <w:rPr>
                <w:rFonts w:eastAsiaTheme="minorEastAsia"/>
                <w:szCs w:val="21"/>
              </w:rPr>
              <w:t>招商银行</w:t>
            </w:r>
          </w:p>
        </w:tc>
        <w:tc>
          <w:tcPr>
            <w:tcW w:w="2880" w:type="dxa"/>
            <w:vAlign w:val="center"/>
          </w:tcPr>
          <w:p w:rsidR="003779EB" w:rsidRDefault="00815304">
            <w:pPr>
              <w:jc w:val="right"/>
            </w:pPr>
            <w:r>
              <w:rPr>
                <w:rFonts w:eastAsiaTheme="minorEastAsia"/>
                <w:szCs w:val="21"/>
              </w:rPr>
              <w:t>112,748,127.75</w:t>
            </w:r>
          </w:p>
        </w:tc>
        <w:tc>
          <w:tcPr>
            <w:tcW w:w="1620" w:type="dxa"/>
            <w:vAlign w:val="center"/>
          </w:tcPr>
          <w:p w:rsidR="003779EB" w:rsidRDefault="00815304">
            <w:pPr>
              <w:jc w:val="right"/>
            </w:pPr>
            <w:r>
              <w:rPr>
                <w:rFonts w:eastAsiaTheme="minorEastAsia"/>
                <w:szCs w:val="21"/>
              </w:rPr>
              <w:t>3.15</w:t>
            </w:r>
          </w:p>
        </w:tc>
      </w:tr>
      <w:tr w:rsidR="003779EB">
        <w:tc>
          <w:tcPr>
            <w:tcW w:w="870" w:type="dxa"/>
            <w:vAlign w:val="center"/>
          </w:tcPr>
          <w:p w:rsidR="003779EB" w:rsidRDefault="00815304">
            <w:pPr>
              <w:jc w:val="center"/>
            </w:pPr>
            <w:r>
              <w:rPr>
                <w:rFonts w:eastAsiaTheme="minorEastAsia"/>
                <w:szCs w:val="21"/>
              </w:rPr>
              <w:t>13</w:t>
            </w:r>
          </w:p>
        </w:tc>
        <w:tc>
          <w:tcPr>
            <w:tcW w:w="1650" w:type="dxa"/>
            <w:vAlign w:val="center"/>
          </w:tcPr>
          <w:p w:rsidR="003779EB" w:rsidRDefault="00815304">
            <w:pPr>
              <w:jc w:val="center"/>
            </w:pPr>
            <w:r>
              <w:rPr>
                <w:rFonts w:eastAsiaTheme="minorEastAsia"/>
                <w:szCs w:val="21"/>
              </w:rPr>
              <w:t>601166</w:t>
            </w:r>
          </w:p>
        </w:tc>
        <w:tc>
          <w:tcPr>
            <w:tcW w:w="1980" w:type="dxa"/>
            <w:vAlign w:val="center"/>
          </w:tcPr>
          <w:p w:rsidR="003779EB" w:rsidRDefault="00815304">
            <w:pPr>
              <w:jc w:val="center"/>
            </w:pPr>
            <w:r>
              <w:rPr>
                <w:rFonts w:eastAsiaTheme="minorEastAsia"/>
                <w:szCs w:val="21"/>
              </w:rPr>
              <w:t>兴业银行</w:t>
            </w:r>
          </w:p>
        </w:tc>
        <w:tc>
          <w:tcPr>
            <w:tcW w:w="2880" w:type="dxa"/>
            <w:vAlign w:val="center"/>
          </w:tcPr>
          <w:p w:rsidR="003779EB" w:rsidRDefault="00815304">
            <w:pPr>
              <w:jc w:val="right"/>
            </w:pPr>
            <w:r>
              <w:rPr>
                <w:rFonts w:eastAsiaTheme="minorEastAsia"/>
                <w:szCs w:val="21"/>
              </w:rPr>
              <w:t>110,573,633.76</w:t>
            </w:r>
          </w:p>
        </w:tc>
        <w:tc>
          <w:tcPr>
            <w:tcW w:w="1620" w:type="dxa"/>
            <w:vAlign w:val="center"/>
          </w:tcPr>
          <w:p w:rsidR="003779EB" w:rsidRDefault="00815304">
            <w:pPr>
              <w:jc w:val="right"/>
            </w:pPr>
            <w:r>
              <w:rPr>
                <w:rFonts w:eastAsiaTheme="minorEastAsia"/>
                <w:szCs w:val="21"/>
              </w:rPr>
              <w:t>3.09</w:t>
            </w:r>
          </w:p>
        </w:tc>
      </w:tr>
      <w:tr w:rsidR="003779EB">
        <w:tc>
          <w:tcPr>
            <w:tcW w:w="870" w:type="dxa"/>
            <w:vAlign w:val="center"/>
          </w:tcPr>
          <w:p w:rsidR="003779EB" w:rsidRDefault="00815304">
            <w:pPr>
              <w:jc w:val="center"/>
            </w:pPr>
            <w:r>
              <w:rPr>
                <w:rFonts w:eastAsiaTheme="minorEastAsia"/>
                <w:szCs w:val="21"/>
              </w:rPr>
              <w:t>14</w:t>
            </w:r>
          </w:p>
        </w:tc>
        <w:tc>
          <w:tcPr>
            <w:tcW w:w="1650" w:type="dxa"/>
            <w:vAlign w:val="center"/>
          </w:tcPr>
          <w:p w:rsidR="003779EB" w:rsidRDefault="00815304">
            <w:pPr>
              <w:jc w:val="center"/>
            </w:pPr>
            <w:r>
              <w:rPr>
                <w:rFonts w:eastAsiaTheme="minorEastAsia"/>
                <w:szCs w:val="21"/>
              </w:rPr>
              <w:t>600887</w:t>
            </w:r>
          </w:p>
        </w:tc>
        <w:tc>
          <w:tcPr>
            <w:tcW w:w="1980" w:type="dxa"/>
            <w:vAlign w:val="center"/>
          </w:tcPr>
          <w:p w:rsidR="003779EB" w:rsidRDefault="00815304">
            <w:pPr>
              <w:jc w:val="center"/>
            </w:pPr>
            <w:r>
              <w:rPr>
                <w:rFonts w:eastAsiaTheme="minorEastAsia"/>
                <w:szCs w:val="21"/>
              </w:rPr>
              <w:t>伊利股份</w:t>
            </w:r>
          </w:p>
        </w:tc>
        <w:tc>
          <w:tcPr>
            <w:tcW w:w="2880" w:type="dxa"/>
            <w:vAlign w:val="center"/>
          </w:tcPr>
          <w:p w:rsidR="003779EB" w:rsidRDefault="00815304">
            <w:pPr>
              <w:jc w:val="right"/>
            </w:pPr>
            <w:r>
              <w:rPr>
                <w:rFonts w:eastAsiaTheme="minorEastAsia"/>
                <w:szCs w:val="21"/>
              </w:rPr>
              <w:t>109,326,251.67</w:t>
            </w:r>
          </w:p>
        </w:tc>
        <w:tc>
          <w:tcPr>
            <w:tcW w:w="1620" w:type="dxa"/>
            <w:vAlign w:val="center"/>
          </w:tcPr>
          <w:p w:rsidR="003779EB" w:rsidRDefault="00815304">
            <w:pPr>
              <w:jc w:val="right"/>
            </w:pPr>
            <w:r>
              <w:rPr>
                <w:rFonts w:eastAsiaTheme="minorEastAsia"/>
                <w:szCs w:val="21"/>
              </w:rPr>
              <w:t>3.06</w:t>
            </w:r>
          </w:p>
        </w:tc>
      </w:tr>
      <w:tr w:rsidR="003779EB">
        <w:tc>
          <w:tcPr>
            <w:tcW w:w="870" w:type="dxa"/>
            <w:vAlign w:val="center"/>
          </w:tcPr>
          <w:p w:rsidR="003779EB" w:rsidRDefault="00815304">
            <w:pPr>
              <w:jc w:val="center"/>
            </w:pPr>
            <w:r>
              <w:rPr>
                <w:rFonts w:eastAsiaTheme="minorEastAsia"/>
                <w:szCs w:val="21"/>
              </w:rPr>
              <w:t>15</w:t>
            </w:r>
          </w:p>
        </w:tc>
        <w:tc>
          <w:tcPr>
            <w:tcW w:w="1650" w:type="dxa"/>
            <w:vAlign w:val="center"/>
          </w:tcPr>
          <w:p w:rsidR="003779EB" w:rsidRDefault="00815304">
            <w:pPr>
              <w:jc w:val="center"/>
            </w:pPr>
            <w:r>
              <w:rPr>
                <w:rFonts w:eastAsiaTheme="minorEastAsia"/>
                <w:szCs w:val="21"/>
              </w:rPr>
              <w:t>300450</w:t>
            </w:r>
          </w:p>
        </w:tc>
        <w:tc>
          <w:tcPr>
            <w:tcW w:w="1980" w:type="dxa"/>
            <w:vAlign w:val="center"/>
          </w:tcPr>
          <w:p w:rsidR="003779EB" w:rsidRDefault="00815304">
            <w:pPr>
              <w:jc w:val="center"/>
            </w:pPr>
            <w:r>
              <w:rPr>
                <w:rFonts w:eastAsiaTheme="minorEastAsia"/>
                <w:szCs w:val="21"/>
              </w:rPr>
              <w:t>先导智能</w:t>
            </w:r>
          </w:p>
        </w:tc>
        <w:tc>
          <w:tcPr>
            <w:tcW w:w="2880" w:type="dxa"/>
            <w:vAlign w:val="center"/>
          </w:tcPr>
          <w:p w:rsidR="003779EB" w:rsidRDefault="00815304">
            <w:pPr>
              <w:jc w:val="right"/>
            </w:pPr>
            <w:r>
              <w:rPr>
                <w:rFonts w:eastAsiaTheme="minorEastAsia"/>
                <w:szCs w:val="21"/>
              </w:rPr>
              <w:t>108,309,339.61</w:t>
            </w:r>
          </w:p>
        </w:tc>
        <w:tc>
          <w:tcPr>
            <w:tcW w:w="1620" w:type="dxa"/>
            <w:vAlign w:val="center"/>
          </w:tcPr>
          <w:p w:rsidR="003779EB" w:rsidRDefault="00815304">
            <w:pPr>
              <w:jc w:val="right"/>
            </w:pPr>
            <w:r>
              <w:rPr>
                <w:rFonts w:eastAsiaTheme="minorEastAsia"/>
                <w:szCs w:val="21"/>
              </w:rPr>
              <w:t>3.03</w:t>
            </w:r>
          </w:p>
        </w:tc>
      </w:tr>
      <w:tr w:rsidR="003779EB">
        <w:tc>
          <w:tcPr>
            <w:tcW w:w="870" w:type="dxa"/>
            <w:vAlign w:val="center"/>
          </w:tcPr>
          <w:p w:rsidR="003779EB" w:rsidRDefault="00815304">
            <w:pPr>
              <w:jc w:val="center"/>
            </w:pPr>
            <w:r>
              <w:rPr>
                <w:rFonts w:eastAsiaTheme="minorEastAsia"/>
                <w:szCs w:val="21"/>
              </w:rPr>
              <w:t>16</w:t>
            </w:r>
          </w:p>
        </w:tc>
        <w:tc>
          <w:tcPr>
            <w:tcW w:w="1650" w:type="dxa"/>
            <w:vAlign w:val="center"/>
          </w:tcPr>
          <w:p w:rsidR="003779EB" w:rsidRDefault="00815304">
            <w:pPr>
              <w:jc w:val="center"/>
            </w:pPr>
            <w:r>
              <w:rPr>
                <w:rFonts w:eastAsiaTheme="minorEastAsia"/>
                <w:szCs w:val="21"/>
              </w:rPr>
              <w:t>601288</w:t>
            </w:r>
          </w:p>
        </w:tc>
        <w:tc>
          <w:tcPr>
            <w:tcW w:w="1980" w:type="dxa"/>
            <w:vAlign w:val="center"/>
          </w:tcPr>
          <w:p w:rsidR="003779EB" w:rsidRDefault="00815304">
            <w:pPr>
              <w:jc w:val="center"/>
            </w:pPr>
            <w:r>
              <w:rPr>
                <w:rFonts w:eastAsiaTheme="minorEastAsia"/>
                <w:szCs w:val="21"/>
              </w:rPr>
              <w:t>农业银行</w:t>
            </w:r>
          </w:p>
        </w:tc>
        <w:tc>
          <w:tcPr>
            <w:tcW w:w="2880" w:type="dxa"/>
            <w:vAlign w:val="center"/>
          </w:tcPr>
          <w:p w:rsidR="003779EB" w:rsidRDefault="00815304">
            <w:pPr>
              <w:jc w:val="right"/>
            </w:pPr>
            <w:r>
              <w:rPr>
                <w:rFonts w:eastAsiaTheme="minorEastAsia"/>
                <w:szCs w:val="21"/>
              </w:rPr>
              <w:t>105,043,956.00</w:t>
            </w:r>
          </w:p>
        </w:tc>
        <w:tc>
          <w:tcPr>
            <w:tcW w:w="1620" w:type="dxa"/>
            <w:vAlign w:val="center"/>
          </w:tcPr>
          <w:p w:rsidR="003779EB" w:rsidRDefault="00815304">
            <w:pPr>
              <w:jc w:val="right"/>
            </w:pPr>
            <w:r>
              <w:rPr>
                <w:rFonts w:eastAsiaTheme="minorEastAsia"/>
                <w:szCs w:val="21"/>
              </w:rPr>
              <w:t>2.94</w:t>
            </w:r>
          </w:p>
        </w:tc>
      </w:tr>
      <w:tr w:rsidR="003779EB">
        <w:tc>
          <w:tcPr>
            <w:tcW w:w="870" w:type="dxa"/>
            <w:vAlign w:val="center"/>
          </w:tcPr>
          <w:p w:rsidR="003779EB" w:rsidRDefault="00815304">
            <w:pPr>
              <w:jc w:val="center"/>
            </w:pPr>
            <w:r>
              <w:rPr>
                <w:rFonts w:eastAsiaTheme="minorEastAsia"/>
                <w:szCs w:val="21"/>
              </w:rPr>
              <w:t>17</w:t>
            </w:r>
          </w:p>
        </w:tc>
        <w:tc>
          <w:tcPr>
            <w:tcW w:w="1650" w:type="dxa"/>
            <w:vAlign w:val="center"/>
          </w:tcPr>
          <w:p w:rsidR="003779EB" w:rsidRDefault="00815304">
            <w:pPr>
              <w:jc w:val="center"/>
            </w:pPr>
            <w:r>
              <w:rPr>
                <w:rFonts w:eastAsiaTheme="minorEastAsia"/>
                <w:szCs w:val="21"/>
              </w:rPr>
              <w:t>601939</w:t>
            </w:r>
          </w:p>
        </w:tc>
        <w:tc>
          <w:tcPr>
            <w:tcW w:w="1980" w:type="dxa"/>
            <w:vAlign w:val="center"/>
          </w:tcPr>
          <w:p w:rsidR="003779EB" w:rsidRDefault="00815304">
            <w:pPr>
              <w:jc w:val="center"/>
            </w:pPr>
            <w:r>
              <w:rPr>
                <w:rFonts w:eastAsiaTheme="minorEastAsia"/>
                <w:szCs w:val="21"/>
              </w:rPr>
              <w:t>建设银行</w:t>
            </w:r>
          </w:p>
        </w:tc>
        <w:tc>
          <w:tcPr>
            <w:tcW w:w="2880" w:type="dxa"/>
            <w:vAlign w:val="center"/>
          </w:tcPr>
          <w:p w:rsidR="003779EB" w:rsidRDefault="00815304">
            <w:pPr>
              <w:jc w:val="right"/>
            </w:pPr>
            <w:r>
              <w:rPr>
                <w:rFonts w:eastAsiaTheme="minorEastAsia"/>
                <w:szCs w:val="21"/>
              </w:rPr>
              <w:t>104,553,024.82</w:t>
            </w:r>
          </w:p>
        </w:tc>
        <w:tc>
          <w:tcPr>
            <w:tcW w:w="1620" w:type="dxa"/>
            <w:vAlign w:val="center"/>
          </w:tcPr>
          <w:p w:rsidR="003779EB" w:rsidRDefault="00815304">
            <w:pPr>
              <w:jc w:val="right"/>
            </w:pPr>
            <w:r>
              <w:rPr>
                <w:rFonts w:eastAsiaTheme="minorEastAsia"/>
                <w:szCs w:val="21"/>
              </w:rPr>
              <w:t>2.92</w:t>
            </w:r>
          </w:p>
        </w:tc>
      </w:tr>
      <w:tr w:rsidR="003779EB">
        <w:tc>
          <w:tcPr>
            <w:tcW w:w="870" w:type="dxa"/>
            <w:vAlign w:val="center"/>
          </w:tcPr>
          <w:p w:rsidR="003779EB" w:rsidRDefault="00815304">
            <w:pPr>
              <w:jc w:val="center"/>
            </w:pPr>
            <w:r>
              <w:rPr>
                <w:rFonts w:eastAsiaTheme="minorEastAsia"/>
                <w:szCs w:val="21"/>
              </w:rPr>
              <w:t>18</w:t>
            </w:r>
          </w:p>
        </w:tc>
        <w:tc>
          <w:tcPr>
            <w:tcW w:w="1650" w:type="dxa"/>
            <w:vAlign w:val="center"/>
          </w:tcPr>
          <w:p w:rsidR="003779EB" w:rsidRDefault="00815304">
            <w:pPr>
              <w:jc w:val="center"/>
            </w:pPr>
            <w:r>
              <w:rPr>
                <w:rFonts w:eastAsiaTheme="minorEastAsia"/>
                <w:szCs w:val="21"/>
              </w:rPr>
              <w:t>000858</w:t>
            </w:r>
          </w:p>
        </w:tc>
        <w:tc>
          <w:tcPr>
            <w:tcW w:w="1980" w:type="dxa"/>
            <w:vAlign w:val="center"/>
          </w:tcPr>
          <w:p w:rsidR="003779EB" w:rsidRDefault="00815304">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3779EB" w:rsidRDefault="00815304">
            <w:pPr>
              <w:jc w:val="right"/>
            </w:pPr>
            <w:r>
              <w:rPr>
                <w:rFonts w:eastAsiaTheme="minorEastAsia"/>
                <w:szCs w:val="21"/>
              </w:rPr>
              <w:t>104,382,037.26</w:t>
            </w:r>
          </w:p>
        </w:tc>
        <w:tc>
          <w:tcPr>
            <w:tcW w:w="1620" w:type="dxa"/>
            <w:vAlign w:val="center"/>
          </w:tcPr>
          <w:p w:rsidR="003779EB" w:rsidRDefault="00815304">
            <w:pPr>
              <w:jc w:val="right"/>
            </w:pPr>
            <w:r>
              <w:rPr>
                <w:rFonts w:eastAsiaTheme="minorEastAsia"/>
                <w:szCs w:val="21"/>
              </w:rPr>
              <w:t>2.92</w:t>
            </w:r>
          </w:p>
        </w:tc>
      </w:tr>
      <w:tr w:rsidR="003779EB">
        <w:tc>
          <w:tcPr>
            <w:tcW w:w="870" w:type="dxa"/>
            <w:vAlign w:val="center"/>
          </w:tcPr>
          <w:p w:rsidR="003779EB" w:rsidRDefault="00815304">
            <w:pPr>
              <w:jc w:val="center"/>
            </w:pPr>
            <w:r>
              <w:rPr>
                <w:rFonts w:eastAsiaTheme="minorEastAsia"/>
                <w:szCs w:val="21"/>
              </w:rPr>
              <w:t>19</w:t>
            </w:r>
          </w:p>
        </w:tc>
        <w:tc>
          <w:tcPr>
            <w:tcW w:w="1650" w:type="dxa"/>
            <w:vAlign w:val="center"/>
          </w:tcPr>
          <w:p w:rsidR="003779EB" w:rsidRDefault="00815304">
            <w:pPr>
              <w:jc w:val="center"/>
            </w:pPr>
            <w:r>
              <w:rPr>
                <w:rFonts w:eastAsiaTheme="minorEastAsia"/>
                <w:szCs w:val="21"/>
              </w:rPr>
              <w:t>601398</w:t>
            </w:r>
          </w:p>
        </w:tc>
        <w:tc>
          <w:tcPr>
            <w:tcW w:w="1980" w:type="dxa"/>
            <w:vAlign w:val="center"/>
          </w:tcPr>
          <w:p w:rsidR="003779EB" w:rsidRDefault="00815304">
            <w:pPr>
              <w:jc w:val="center"/>
            </w:pPr>
            <w:r>
              <w:rPr>
                <w:rFonts w:eastAsiaTheme="minorEastAsia"/>
                <w:szCs w:val="21"/>
              </w:rPr>
              <w:t>工商银行</w:t>
            </w:r>
          </w:p>
        </w:tc>
        <w:tc>
          <w:tcPr>
            <w:tcW w:w="2880" w:type="dxa"/>
            <w:vAlign w:val="center"/>
          </w:tcPr>
          <w:p w:rsidR="003779EB" w:rsidRDefault="00815304">
            <w:pPr>
              <w:jc w:val="right"/>
            </w:pPr>
            <w:r>
              <w:rPr>
                <w:rFonts w:eastAsiaTheme="minorEastAsia"/>
                <w:szCs w:val="21"/>
              </w:rPr>
              <w:t>102,801,309.24</w:t>
            </w:r>
          </w:p>
        </w:tc>
        <w:tc>
          <w:tcPr>
            <w:tcW w:w="1620" w:type="dxa"/>
            <w:vAlign w:val="center"/>
          </w:tcPr>
          <w:p w:rsidR="003779EB" w:rsidRDefault="00815304">
            <w:pPr>
              <w:jc w:val="right"/>
            </w:pPr>
            <w:r>
              <w:rPr>
                <w:rFonts w:eastAsiaTheme="minorEastAsia"/>
                <w:szCs w:val="21"/>
              </w:rPr>
              <w:t>2.88</w:t>
            </w:r>
          </w:p>
        </w:tc>
      </w:tr>
      <w:tr w:rsidR="003779EB">
        <w:tc>
          <w:tcPr>
            <w:tcW w:w="870" w:type="dxa"/>
            <w:vAlign w:val="center"/>
          </w:tcPr>
          <w:p w:rsidR="003779EB" w:rsidRDefault="00815304">
            <w:pPr>
              <w:jc w:val="center"/>
            </w:pPr>
            <w:r>
              <w:rPr>
                <w:rFonts w:eastAsiaTheme="minorEastAsia"/>
                <w:szCs w:val="21"/>
              </w:rPr>
              <w:t>20</w:t>
            </w:r>
          </w:p>
        </w:tc>
        <w:tc>
          <w:tcPr>
            <w:tcW w:w="1650" w:type="dxa"/>
            <w:vAlign w:val="center"/>
          </w:tcPr>
          <w:p w:rsidR="003779EB" w:rsidRDefault="00815304">
            <w:pPr>
              <w:jc w:val="center"/>
            </w:pPr>
            <w:r>
              <w:rPr>
                <w:rFonts w:eastAsiaTheme="minorEastAsia"/>
                <w:szCs w:val="21"/>
              </w:rPr>
              <w:t>601328</w:t>
            </w:r>
          </w:p>
        </w:tc>
        <w:tc>
          <w:tcPr>
            <w:tcW w:w="1980" w:type="dxa"/>
            <w:vAlign w:val="center"/>
          </w:tcPr>
          <w:p w:rsidR="003779EB" w:rsidRDefault="00815304">
            <w:pPr>
              <w:jc w:val="center"/>
            </w:pPr>
            <w:r>
              <w:rPr>
                <w:rFonts w:eastAsiaTheme="minorEastAsia"/>
                <w:szCs w:val="21"/>
              </w:rPr>
              <w:t>交通银</w:t>
            </w:r>
            <w:r w:rsidR="000362A8">
              <w:rPr>
                <w:rFonts w:eastAsiaTheme="minorEastAsia" w:hint="eastAsia"/>
                <w:szCs w:val="21"/>
              </w:rPr>
              <w:t>行</w:t>
            </w:r>
          </w:p>
        </w:tc>
        <w:tc>
          <w:tcPr>
            <w:tcW w:w="2880" w:type="dxa"/>
            <w:vAlign w:val="center"/>
          </w:tcPr>
          <w:p w:rsidR="003779EB" w:rsidRDefault="00815304">
            <w:pPr>
              <w:jc w:val="right"/>
            </w:pPr>
            <w:r>
              <w:rPr>
                <w:rFonts w:eastAsiaTheme="minorEastAsia"/>
                <w:szCs w:val="21"/>
              </w:rPr>
              <w:t>97,868,569.07</w:t>
            </w:r>
          </w:p>
        </w:tc>
        <w:tc>
          <w:tcPr>
            <w:tcW w:w="1620" w:type="dxa"/>
            <w:vAlign w:val="center"/>
          </w:tcPr>
          <w:p w:rsidR="003779EB" w:rsidRDefault="00815304">
            <w:pPr>
              <w:jc w:val="right"/>
            </w:pPr>
            <w:r>
              <w:rPr>
                <w:rFonts w:eastAsiaTheme="minorEastAsia"/>
                <w:szCs w:val="21"/>
              </w:rPr>
              <w:t>2.74</w:t>
            </w:r>
          </w:p>
        </w:tc>
      </w:tr>
      <w:tr w:rsidR="003779EB">
        <w:tc>
          <w:tcPr>
            <w:tcW w:w="870" w:type="dxa"/>
            <w:vAlign w:val="center"/>
          </w:tcPr>
          <w:p w:rsidR="003779EB" w:rsidRDefault="00815304">
            <w:pPr>
              <w:jc w:val="center"/>
            </w:pPr>
            <w:r>
              <w:rPr>
                <w:rFonts w:eastAsiaTheme="minorEastAsia"/>
                <w:szCs w:val="21"/>
              </w:rPr>
              <w:t>21</w:t>
            </w:r>
          </w:p>
        </w:tc>
        <w:tc>
          <w:tcPr>
            <w:tcW w:w="1650" w:type="dxa"/>
            <w:vAlign w:val="center"/>
          </w:tcPr>
          <w:p w:rsidR="003779EB" w:rsidRDefault="00815304">
            <w:pPr>
              <w:jc w:val="center"/>
            </w:pPr>
            <w:r>
              <w:rPr>
                <w:rFonts w:eastAsiaTheme="minorEastAsia"/>
                <w:szCs w:val="21"/>
              </w:rPr>
              <w:t>601012</w:t>
            </w:r>
          </w:p>
        </w:tc>
        <w:tc>
          <w:tcPr>
            <w:tcW w:w="1980" w:type="dxa"/>
            <w:vAlign w:val="center"/>
          </w:tcPr>
          <w:p w:rsidR="003779EB" w:rsidRDefault="00815304">
            <w:pPr>
              <w:jc w:val="center"/>
            </w:pPr>
            <w:r>
              <w:rPr>
                <w:rFonts w:eastAsiaTheme="minorEastAsia"/>
                <w:szCs w:val="21"/>
              </w:rPr>
              <w:t>隆基股份</w:t>
            </w:r>
          </w:p>
        </w:tc>
        <w:tc>
          <w:tcPr>
            <w:tcW w:w="2880" w:type="dxa"/>
            <w:vAlign w:val="center"/>
          </w:tcPr>
          <w:p w:rsidR="003779EB" w:rsidRDefault="00815304">
            <w:pPr>
              <w:jc w:val="right"/>
            </w:pPr>
            <w:r>
              <w:rPr>
                <w:rFonts w:eastAsiaTheme="minorEastAsia"/>
                <w:szCs w:val="21"/>
              </w:rPr>
              <w:t>96,392,865.60</w:t>
            </w:r>
          </w:p>
        </w:tc>
        <w:tc>
          <w:tcPr>
            <w:tcW w:w="1620" w:type="dxa"/>
            <w:vAlign w:val="center"/>
          </w:tcPr>
          <w:p w:rsidR="003779EB" w:rsidRDefault="00815304">
            <w:pPr>
              <w:jc w:val="right"/>
            </w:pPr>
            <w:r>
              <w:rPr>
                <w:rFonts w:eastAsiaTheme="minorEastAsia"/>
                <w:szCs w:val="21"/>
              </w:rPr>
              <w:t>2.70</w:t>
            </w:r>
          </w:p>
        </w:tc>
      </w:tr>
      <w:tr w:rsidR="003779EB">
        <w:tc>
          <w:tcPr>
            <w:tcW w:w="870" w:type="dxa"/>
            <w:vAlign w:val="center"/>
          </w:tcPr>
          <w:p w:rsidR="003779EB" w:rsidRDefault="00815304">
            <w:pPr>
              <w:jc w:val="center"/>
            </w:pPr>
            <w:r>
              <w:rPr>
                <w:rFonts w:eastAsiaTheme="minorEastAsia"/>
                <w:szCs w:val="21"/>
              </w:rPr>
              <w:t>22</w:t>
            </w:r>
          </w:p>
        </w:tc>
        <w:tc>
          <w:tcPr>
            <w:tcW w:w="1650" w:type="dxa"/>
            <w:vAlign w:val="center"/>
          </w:tcPr>
          <w:p w:rsidR="003779EB" w:rsidRDefault="00815304">
            <w:pPr>
              <w:jc w:val="center"/>
            </w:pPr>
            <w:r>
              <w:rPr>
                <w:rFonts w:eastAsiaTheme="minorEastAsia"/>
                <w:szCs w:val="21"/>
              </w:rPr>
              <w:t>600438</w:t>
            </w:r>
          </w:p>
        </w:tc>
        <w:tc>
          <w:tcPr>
            <w:tcW w:w="1980" w:type="dxa"/>
            <w:vAlign w:val="center"/>
          </w:tcPr>
          <w:p w:rsidR="003779EB" w:rsidRDefault="00815304">
            <w:pPr>
              <w:jc w:val="center"/>
            </w:pPr>
            <w:r>
              <w:rPr>
                <w:rFonts w:eastAsiaTheme="minorEastAsia"/>
                <w:szCs w:val="21"/>
              </w:rPr>
              <w:t>通威股份</w:t>
            </w:r>
          </w:p>
        </w:tc>
        <w:tc>
          <w:tcPr>
            <w:tcW w:w="2880" w:type="dxa"/>
            <w:vAlign w:val="center"/>
          </w:tcPr>
          <w:p w:rsidR="003779EB" w:rsidRDefault="00815304">
            <w:pPr>
              <w:jc w:val="right"/>
            </w:pPr>
            <w:r>
              <w:rPr>
                <w:rFonts w:eastAsiaTheme="minorEastAsia"/>
                <w:szCs w:val="21"/>
              </w:rPr>
              <w:t>81,575,613.21</w:t>
            </w:r>
          </w:p>
        </w:tc>
        <w:tc>
          <w:tcPr>
            <w:tcW w:w="1620" w:type="dxa"/>
            <w:vAlign w:val="center"/>
          </w:tcPr>
          <w:p w:rsidR="003779EB" w:rsidRDefault="00815304">
            <w:pPr>
              <w:jc w:val="right"/>
            </w:pPr>
            <w:r>
              <w:rPr>
                <w:rFonts w:eastAsiaTheme="minorEastAsia"/>
                <w:szCs w:val="21"/>
              </w:rPr>
              <w:t>2.28</w:t>
            </w:r>
          </w:p>
        </w:tc>
      </w:tr>
      <w:tr w:rsidR="003779EB">
        <w:tc>
          <w:tcPr>
            <w:tcW w:w="870" w:type="dxa"/>
            <w:vAlign w:val="center"/>
          </w:tcPr>
          <w:p w:rsidR="003779EB" w:rsidRDefault="00815304">
            <w:pPr>
              <w:jc w:val="center"/>
            </w:pPr>
            <w:r>
              <w:rPr>
                <w:rFonts w:eastAsiaTheme="minorEastAsia"/>
                <w:szCs w:val="21"/>
              </w:rPr>
              <w:t>23</w:t>
            </w:r>
          </w:p>
        </w:tc>
        <w:tc>
          <w:tcPr>
            <w:tcW w:w="1650" w:type="dxa"/>
            <w:vAlign w:val="center"/>
          </w:tcPr>
          <w:p w:rsidR="003779EB" w:rsidRDefault="00815304">
            <w:pPr>
              <w:jc w:val="center"/>
            </w:pPr>
            <w:r>
              <w:rPr>
                <w:rFonts w:eastAsiaTheme="minorEastAsia"/>
                <w:szCs w:val="21"/>
              </w:rPr>
              <w:t>002714</w:t>
            </w:r>
          </w:p>
        </w:tc>
        <w:tc>
          <w:tcPr>
            <w:tcW w:w="1980" w:type="dxa"/>
            <w:vAlign w:val="center"/>
          </w:tcPr>
          <w:p w:rsidR="003779EB" w:rsidRDefault="00815304">
            <w:pPr>
              <w:jc w:val="center"/>
            </w:pPr>
            <w:r>
              <w:rPr>
                <w:rFonts w:eastAsiaTheme="minorEastAsia"/>
                <w:szCs w:val="21"/>
              </w:rPr>
              <w:t>牧原股份</w:t>
            </w:r>
          </w:p>
        </w:tc>
        <w:tc>
          <w:tcPr>
            <w:tcW w:w="2880" w:type="dxa"/>
            <w:vAlign w:val="center"/>
          </w:tcPr>
          <w:p w:rsidR="003779EB" w:rsidRDefault="00815304">
            <w:pPr>
              <w:jc w:val="right"/>
            </w:pPr>
            <w:r>
              <w:rPr>
                <w:rFonts w:eastAsiaTheme="minorEastAsia"/>
                <w:szCs w:val="21"/>
              </w:rPr>
              <w:t>78,579,635.88</w:t>
            </w:r>
          </w:p>
        </w:tc>
        <w:tc>
          <w:tcPr>
            <w:tcW w:w="1620" w:type="dxa"/>
            <w:vAlign w:val="center"/>
          </w:tcPr>
          <w:p w:rsidR="003779EB" w:rsidRDefault="00815304">
            <w:pPr>
              <w:jc w:val="right"/>
            </w:pPr>
            <w:r>
              <w:rPr>
                <w:rFonts w:eastAsiaTheme="minorEastAsia"/>
                <w:szCs w:val="21"/>
              </w:rPr>
              <w:t>2.20</w:t>
            </w:r>
          </w:p>
        </w:tc>
      </w:tr>
      <w:tr w:rsidR="003779EB">
        <w:tc>
          <w:tcPr>
            <w:tcW w:w="870" w:type="dxa"/>
            <w:vAlign w:val="center"/>
          </w:tcPr>
          <w:p w:rsidR="003779EB" w:rsidRDefault="00815304">
            <w:pPr>
              <w:jc w:val="center"/>
            </w:pPr>
            <w:r>
              <w:rPr>
                <w:rFonts w:eastAsiaTheme="minorEastAsia"/>
                <w:szCs w:val="21"/>
              </w:rPr>
              <w:t>24</w:t>
            </w:r>
          </w:p>
        </w:tc>
        <w:tc>
          <w:tcPr>
            <w:tcW w:w="1650" w:type="dxa"/>
            <w:vAlign w:val="center"/>
          </w:tcPr>
          <w:p w:rsidR="003779EB" w:rsidRDefault="00815304">
            <w:pPr>
              <w:jc w:val="center"/>
            </w:pPr>
            <w:r>
              <w:rPr>
                <w:rFonts w:eastAsiaTheme="minorEastAsia"/>
                <w:szCs w:val="21"/>
              </w:rPr>
              <w:t>002157</w:t>
            </w:r>
          </w:p>
        </w:tc>
        <w:tc>
          <w:tcPr>
            <w:tcW w:w="1980" w:type="dxa"/>
            <w:vAlign w:val="center"/>
          </w:tcPr>
          <w:p w:rsidR="003779EB" w:rsidRDefault="00815304">
            <w:pPr>
              <w:jc w:val="center"/>
            </w:pPr>
            <w:r>
              <w:rPr>
                <w:rFonts w:eastAsiaTheme="minorEastAsia"/>
                <w:szCs w:val="21"/>
              </w:rPr>
              <w:t>正邦科技</w:t>
            </w:r>
          </w:p>
        </w:tc>
        <w:tc>
          <w:tcPr>
            <w:tcW w:w="2880" w:type="dxa"/>
            <w:vAlign w:val="center"/>
          </w:tcPr>
          <w:p w:rsidR="003779EB" w:rsidRDefault="00815304">
            <w:pPr>
              <w:jc w:val="right"/>
            </w:pPr>
            <w:r>
              <w:rPr>
                <w:rFonts w:eastAsiaTheme="minorEastAsia"/>
                <w:szCs w:val="21"/>
              </w:rPr>
              <w:t>76,303,881.88</w:t>
            </w:r>
          </w:p>
        </w:tc>
        <w:tc>
          <w:tcPr>
            <w:tcW w:w="1620" w:type="dxa"/>
            <w:vAlign w:val="center"/>
          </w:tcPr>
          <w:p w:rsidR="003779EB" w:rsidRDefault="00815304">
            <w:pPr>
              <w:jc w:val="right"/>
            </w:pPr>
            <w:r>
              <w:rPr>
                <w:rFonts w:eastAsiaTheme="minorEastAsia"/>
                <w:szCs w:val="21"/>
              </w:rPr>
              <w:t>2.13</w:t>
            </w:r>
          </w:p>
        </w:tc>
      </w:tr>
      <w:tr w:rsidR="003779EB">
        <w:tc>
          <w:tcPr>
            <w:tcW w:w="870" w:type="dxa"/>
            <w:vAlign w:val="center"/>
          </w:tcPr>
          <w:p w:rsidR="003779EB" w:rsidRDefault="00815304">
            <w:pPr>
              <w:jc w:val="center"/>
            </w:pPr>
            <w:r>
              <w:rPr>
                <w:rFonts w:eastAsiaTheme="minorEastAsia"/>
                <w:szCs w:val="21"/>
              </w:rPr>
              <w:t>25</w:t>
            </w:r>
          </w:p>
        </w:tc>
        <w:tc>
          <w:tcPr>
            <w:tcW w:w="1650" w:type="dxa"/>
            <w:vAlign w:val="center"/>
          </w:tcPr>
          <w:p w:rsidR="003779EB" w:rsidRDefault="00815304">
            <w:pPr>
              <w:jc w:val="center"/>
            </w:pPr>
            <w:r>
              <w:rPr>
                <w:rFonts w:eastAsiaTheme="minorEastAsia"/>
                <w:szCs w:val="21"/>
              </w:rPr>
              <w:t>601336</w:t>
            </w:r>
          </w:p>
        </w:tc>
        <w:tc>
          <w:tcPr>
            <w:tcW w:w="1980" w:type="dxa"/>
            <w:vAlign w:val="center"/>
          </w:tcPr>
          <w:p w:rsidR="003779EB" w:rsidRDefault="00815304">
            <w:pPr>
              <w:jc w:val="center"/>
            </w:pPr>
            <w:r>
              <w:rPr>
                <w:rFonts w:eastAsiaTheme="minorEastAsia"/>
                <w:szCs w:val="21"/>
              </w:rPr>
              <w:t>新华保险</w:t>
            </w:r>
          </w:p>
        </w:tc>
        <w:tc>
          <w:tcPr>
            <w:tcW w:w="2880" w:type="dxa"/>
            <w:vAlign w:val="center"/>
          </w:tcPr>
          <w:p w:rsidR="003779EB" w:rsidRDefault="00815304">
            <w:pPr>
              <w:jc w:val="right"/>
            </w:pPr>
            <w:r>
              <w:rPr>
                <w:rFonts w:eastAsiaTheme="minorEastAsia"/>
                <w:szCs w:val="21"/>
              </w:rPr>
              <w:t>75,910,383.96</w:t>
            </w:r>
          </w:p>
        </w:tc>
        <w:tc>
          <w:tcPr>
            <w:tcW w:w="1620" w:type="dxa"/>
            <w:vAlign w:val="center"/>
          </w:tcPr>
          <w:p w:rsidR="003779EB" w:rsidRDefault="00815304">
            <w:pPr>
              <w:jc w:val="right"/>
            </w:pPr>
            <w:r>
              <w:rPr>
                <w:rFonts w:eastAsiaTheme="minorEastAsia"/>
                <w:szCs w:val="21"/>
              </w:rPr>
              <w:t>2.12</w:t>
            </w:r>
          </w:p>
        </w:tc>
      </w:tr>
      <w:tr w:rsidR="003779EB">
        <w:tc>
          <w:tcPr>
            <w:tcW w:w="870" w:type="dxa"/>
            <w:vAlign w:val="center"/>
          </w:tcPr>
          <w:p w:rsidR="003779EB" w:rsidRDefault="00815304">
            <w:pPr>
              <w:jc w:val="center"/>
            </w:pPr>
            <w:r>
              <w:rPr>
                <w:rFonts w:eastAsiaTheme="minorEastAsia"/>
                <w:szCs w:val="21"/>
              </w:rPr>
              <w:t>26</w:t>
            </w:r>
          </w:p>
        </w:tc>
        <w:tc>
          <w:tcPr>
            <w:tcW w:w="1650" w:type="dxa"/>
            <w:vAlign w:val="center"/>
          </w:tcPr>
          <w:p w:rsidR="003779EB" w:rsidRDefault="00815304">
            <w:pPr>
              <w:jc w:val="center"/>
            </w:pPr>
            <w:r>
              <w:rPr>
                <w:rFonts w:eastAsiaTheme="minorEastAsia"/>
                <w:szCs w:val="21"/>
              </w:rPr>
              <w:t>300014</w:t>
            </w:r>
          </w:p>
        </w:tc>
        <w:tc>
          <w:tcPr>
            <w:tcW w:w="1980" w:type="dxa"/>
            <w:vAlign w:val="center"/>
          </w:tcPr>
          <w:p w:rsidR="003779EB" w:rsidRDefault="00815304">
            <w:pPr>
              <w:jc w:val="center"/>
            </w:pPr>
            <w:r>
              <w:rPr>
                <w:rFonts w:eastAsiaTheme="minorEastAsia"/>
                <w:szCs w:val="21"/>
              </w:rPr>
              <w:t>亿纬锂能</w:t>
            </w:r>
          </w:p>
        </w:tc>
        <w:tc>
          <w:tcPr>
            <w:tcW w:w="2880" w:type="dxa"/>
            <w:vAlign w:val="center"/>
          </w:tcPr>
          <w:p w:rsidR="003779EB" w:rsidRDefault="00815304">
            <w:pPr>
              <w:jc w:val="right"/>
            </w:pPr>
            <w:r>
              <w:rPr>
                <w:rFonts w:eastAsiaTheme="minorEastAsia"/>
                <w:szCs w:val="21"/>
              </w:rPr>
              <w:t>74,233,745.58</w:t>
            </w:r>
          </w:p>
        </w:tc>
        <w:tc>
          <w:tcPr>
            <w:tcW w:w="1620" w:type="dxa"/>
            <w:vAlign w:val="center"/>
          </w:tcPr>
          <w:p w:rsidR="003779EB" w:rsidRDefault="00815304">
            <w:pPr>
              <w:jc w:val="right"/>
            </w:pPr>
            <w:r>
              <w:rPr>
                <w:rFonts w:eastAsiaTheme="minorEastAsia"/>
                <w:szCs w:val="21"/>
              </w:rPr>
              <w:t>2.08</w:t>
            </w:r>
          </w:p>
        </w:tc>
      </w:tr>
      <w:tr w:rsidR="003779EB">
        <w:tc>
          <w:tcPr>
            <w:tcW w:w="870" w:type="dxa"/>
            <w:vAlign w:val="center"/>
          </w:tcPr>
          <w:p w:rsidR="003779EB" w:rsidRDefault="00815304">
            <w:pPr>
              <w:jc w:val="center"/>
            </w:pPr>
            <w:r>
              <w:rPr>
                <w:rFonts w:eastAsiaTheme="minorEastAsia"/>
                <w:szCs w:val="21"/>
              </w:rPr>
              <w:t>27</w:t>
            </w:r>
          </w:p>
        </w:tc>
        <w:tc>
          <w:tcPr>
            <w:tcW w:w="1650" w:type="dxa"/>
            <w:vAlign w:val="center"/>
          </w:tcPr>
          <w:p w:rsidR="003779EB" w:rsidRDefault="00815304">
            <w:pPr>
              <w:jc w:val="center"/>
            </w:pPr>
            <w:r>
              <w:rPr>
                <w:rFonts w:eastAsiaTheme="minorEastAsia"/>
                <w:szCs w:val="21"/>
              </w:rPr>
              <w:t>600050</w:t>
            </w:r>
          </w:p>
        </w:tc>
        <w:tc>
          <w:tcPr>
            <w:tcW w:w="1980" w:type="dxa"/>
            <w:vAlign w:val="center"/>
          </w:tcPr>
          <w:p w:rsidR="003779EB" w:rsidRDefault="00815304">
            <w:pPr>
              <w:jc w:val="center"/>
            </w:pPr>
            <w:r>
              <w:rPr>
                <w:rFonts w:eastAsiaTheme="minorEastAsia"/>
                <w:szCs w:val="21"/>
              </w:rPr>
              <w:t>中国联通</w:t>
            </w:r>
          </w:p>
        </w:tc>
        <w:tc>
          <w:tcPr>
            <w:tcW w:w="2880" w:type="dxa"/>
            <w:vAlign w:val="center"/>
          </w:tcPr>
          <w:p w:rsidR="003779EB" w:rsidRDefault="00815304">
            <w:pPr>
              <w:jc w:val="right"/>
            </w:pPr>
            <w:r>
              <w:rPr>
                <w:rFonts w:eastAsiaTheme="minorEastAsia"/>
                <w:szCs w:val="21"/>
              </w:rPr>
              <w:t>71,641,612.00</w:t>
            </w:r>
          </w:p>
        </w:tc>
        <w:tc>
          <w:tcPr>
            <w:tcW w:w="1620" w:type="dxa"/>
            <w:vAlign w:val="center"/>
          </w:tcPr>
          <w:p w:rsidR="003779EB" w:rsidRDefault="00815304">
            <w:pPr>
              <w:jc w:val="right"/>
            </w:pPr>
            <w:r>
              <w:rPr>
                <w:rFonts w:eastAsiaTheme="minorEastAsia"/>
                <w:szCs w:val="21"/>
              </w:rPr>
              <w:t>2.00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3779EB">
        <w:tc>
          <w:tcPr>
            <w:tcW w:w="870" w:type="dxa"/>
            <w:vAlign w:val="center"/>
          </w:tcPr>
          <w:p w:rsidR="003779EB" w:rsidRDefault="00815304">
            <w:pPr>
              <w:jc w:val="center"/>
            </w:pPr>
            <w:r>
              <w:rPr>
                <w:rFonts w:eastAsiaTheme="minorEastAsia"/>
                <w:szCs w:val="21"/>
              </w:rPr>
              <w:t>1</w:t>
            </w:r>
          </w:p>
        </w:tc>
        <w:tc>
          <w:tcPr>
            <w:tcW w:w="1650" w:type="dxa"/>
            <w:vAlign w:val="center"/>
          </w:tcPr>
          <w:p w:rsidR="003779EB" w:rsidRDefault="00815304">
            <w:pPr>
              <w:jc w:val="center"/>
            </w:pPr>
            <w:r>
              <w:rPr>
                <w:rFonts w:eastAsiaTheme="minorEastAsia"/>
                <w:szCs w:val="21"/>
              </w:rPr>
              <w:t>002475</w:t>
            </w:r>
          </w:p>
        </w:tc>
        <w:tc>
          <w:tcPr>
            <w:tcW w:w="1980" w:type="dxa"/>
            <w:vAlign w:val="center"/>
          </w:tcPr>
          <w:p w:rsidR="003779EB" w:rsidRDefault="00815304">
            <w:pPr>
              <w:jc w:val="center"/>
            </w:pPr>
            <w:r>
              <w:rPr>
                <w:rFonts w:eastAsiaTheme="minorEastAsia"/>
                <w:szCs w:val="21"/>
              </w:rPr>
              <w:t>立讯精密</w:t>
            </w:r>
          </w:p>
        </w:tc>
        <w:tc>
          <w:tcPr>
            <w:tcW w:w="2880" w:type="dxa"/>
            <w:vAlign w:val="center"/>
          </w:tcPr>
          <w:p w:rsidR="003779EB" w:rsidRDefault="00815304">
            <w:pPr>
              <w:jc w:val="right"/>
            </w:pPr>
            <w:r>
              <w:rPr>
                <w:rFonts w:eastAsiaTheme="minorEastAsia"/>
                <w:szCs w:val="21"/>
              </w:rPr>
              <w:t>450,913,944.57</w:t>
            </w:r>
          </w:p>
        </w:tc>
        <w:tc>
          <w:tcPr>
            <w:tcW w:w="1620" w:type="dxa"/>
            <w:vAlign w:val="center"/>
          </w:tcPr>
          <w:p w:rsidR="003779EB" w:rsidRDefault="00815304">
            <w:pPr>
              <w:jc w:val="right"/>
            </w:pPr>
            <w:r>
              <w:rPr>
                <w:rFonts w:eastAsiaTheme="minorEastAsia"/>
                <w:szCs w:val="21"/>
              </w:rPr>
              <w:t>12.61</w:t>
            </w:r>
          </w:p>
        </w:tc>
      </w:tr>
      <w:tr w:rsidR="003779EB">
        <w:tc>
          <w:tcPr>
            <w:tcW w:w="870" w:type="dxa"/>
            <w:vAlign w:val="center"/>
          </w:tcPr>
          <w:p w:rsidR="003779EB" w:rsidRDefault="00815304">
            <w:pPr>
              <w:jc w:val="center"/>
            </w:pPr>
            <w:r>
              <w:rPr>
                <w:rFonts w:eastAsiaTheme="minorEastAsia"/>
                <w:szCs w:val="21"/>
              </w:rPr>
              <w:t>2</w:t>
            </w:r>
          </w:p>
        </w:tc>
        <w:tc>
          <w:tcPr>
            <w:tcW w:w="1650" w:type="dxa"/>
            <w:vAlign w:val="center"/>
          </w:tcPr>
          <w:p w:rsidR="003779EB" w:rsidRDefault="00815304">
            <w:pPr>
              <w:jc w:val="center"/>
            </w:pPr>
            <w:r>
              <w:rPr>
                <w:rFonts w:eastAsiaTheme="minorEastAsia"/>
                <w:szCs w:val="21"/>
              </w:rPr>
              <w:t>002456</w:t>
            </w:r>
          </w:p>
        </w:tc>
        <w:tc>
          <w:tcPr>
            <w:tcW w:w="1980" w:type="dxa"/>
            <w:vAlign w:val="center"/>
          </w:tcPr>
          <w:p w:rsidR="003779EB" w:rsidRDefault="00815304">
            <w:pPr>
              <w:jc w:val="center"/>
            </w:pPr>
            <w:r>
              <w:rPr>
                <w:rFonts w:eastAsiaTheme="minorEastAsia"/>
                <w:szCs w:val="21"/>
              </w:rPr>
              <w:t>欧菲光</w:t>
            </w:r>
          </w:p>
        </w:tc>
        <w:tc>
          <w:tcPr>
            <w:tcW w:w="2880" w:type="dxa"/>
            <w:vAlign w:val="center"/>
          </w:tcPr>
          <w:p w:rsidR="003779EB" w:rsidRDefault="00815304">
            <w:pPr>
              <w:jc w:val="right"/>
            </w:pPr>
            <w:r>
              <w:rPr>
                <w:rFonts w:eastAsiaTheme="minorEastAsia"/>
                <w:szCs w:val="21"/>
              </w:rPr>
              <w:t>440,724,447.19</w:t>
            </w:r>
          </w:p>
        </w:tc>
        <w:tc>
          <w:tcPr>
            <w:tcW w:w="1620" w:type="dxa"/>
            <w:vAlign w:val="center"/>
          </w:tcPr>
          <w:p w:rsidR="003779EB" w:rsidRDefault="00815304">
            <w:pPr>
              <w:jc w:val="right"/>
            </w:pPr>
            <w:r>
              <w:rPr>
                <w:rFonts w:eastAsiaTheme="minorEastAsia"/>
                <w:szCs w:val="21"/>
              </w:rPr>
              <w:t>12.33</w:t>
            </w:r>
          </w:p>
        </w:tc>
      </w:tr>
      <w:tr w:rsidR="003779EB">
        <w:tc>
          <w:tcPr>
            <w:tcW w:w="870" w:type="dxa"/>
            <w:vAlign w:val="center"/>
          </w:tcPr>
          <w:p w:rsidR="003779EB" w:rsidRDefault="00815304">
            <w:pPr>
              <w:jc w:val="center"/>
            </w:pPr>
            <w:r>
              <w:rPr>
                <w:rFonts w:eastAsiaTheme="minorEastAsia"/>
                <w:szCs w:val="21"/>
              </w:rPr>
              <w:t>3</w:t>
            </w:r>
          </w:p>
        </w:tc>
        <w:tc>
          <w:tcPr>
            <w:tcW w:w="1650" w:type="dxa"/>
            <w:vAlign w:val="center"/>
          </w:tcPr>
          <w:p w:rsidR="003779EB" w:rsidRDefault="00815304">
            <w:pPr>
              <w:jc w:val="center"/>
            </w:pPr>
            <w:r>
              <w:rPr>
                <w:rFonts w:eastAsiaTheme="minorEastAsia"/>
                <w:szCs w:val="21"/>
              </w:rPr>
              <w:t>601222</w:t>
            </w:r>
          </w:p>
        </w:tc>
        <w:tc>
          <w:tcPr>
            <w:tcW w:w="1980" w:type="dxa"/>
            <w:vAlign w:val="center"/>
          </w:tcPr>
          <w:p w:rsidR="003779EB" w:rsidRDefault="00815304">
            <w:pPr>
              <w:jc w:val="center"/>
            </w:pPr>
            <w:r>
              <w:rPr>
                <w:rFonts w:eastAsiaTheme="minorEastAsia"/>
                <w:szCs w:val="21"/>
              </w:rPr>
              <w:t>林洋能源</w:t>
            </w:r>
          </w:p>
        </w:tc>
        <w:tc>
          <w:tcPr>
            <w:tcW w:w="2880" w:type="dxa"/>
            <w:vAlign w:val="center"/>
          </w:tcPr>
          <w:p w:rsidR="003779EB" w:rsidRDefault="00815304">
            <w:pPr>
              <w:jc w:val="right"/>
            </w:pPr>
            <w:r>
              <w:rPr>
                <w:rFonts w:eastAsiaTheme="minorEastAsia"/>
                <w:szCs w:val="21"/>
              </w:rPr>
              <w:t>349,046,350.52</w:t>
            </w:r>
          </w:p>
        </w:tc>
        <w:tc>
          <w:tcPr>
            <w:tcW w:w="1620" w:type="dxa"/>
            <w:vAlign w:val="center"/>
          </w:tcPr>
          <w:p w:rsidR="003779EB" w:rsidRDefault="00815304">
            <w:pPr>
              <w:jc w:val="right"/>
            </w:pPr>
            <w:r>
              <w:rPr>
                <w:rFonts w:eastAsiaTheme="minorEastAsia"/>
                <w:szCs w:val="21"/>
              </w:rPr>
              <w:t>9.76</w:t>
            </w:r>
          </w:p>
        </w:tc>
      </w:tr>
      <w:tr w:rsidR="003779EB">
        <w:tc>
          <w:tcPr>
            <w:tcW w:w="870" w:type="dxa"/>
            <w:vAlign w:val="center"/>
          </w:tcPr>
          <w:p w:rsidR="003779EB" w:rsidRDefault="00815304">
            <w:pPr>
              <w:jc w:val="center"/>
            </w:pPr>
            <w:r>
              <w:rPr>
                <w:rFonts w:eastAsiaTheme="minorEastAsia"/>
                <w:szCs w:val="21"/>
              </w:rPr>
              <w:t>4</w:t>
            </w:r>
          </w:p>
        </w:tc>
        <w:tc>
          <w:tcPr>
            <w:tcW w:w="1650" w:type="dxa"/>
            <w:vAlign w:val="center"/>
          </w:tcPr>
          <w:p w:rsidR="003779EB" w:rsidRDefault="00815304">
            <w:pPr>
              <w:jc w:val="center"/>
            </w:pPr>
            <w:r>
              <w:rPr>
                <w:rFonts w:eastAsiaTheme="minorEastAsia"/>
                <w:szCs w:val="21"/>
              </w:rPr>
              <w:t>002035</w:t>
            </w:r>
          </w:p>
        </w:tc>
        <w:tc>
          <w:tcPr>
            <w:tcW w:w="1980" w:type="dxa"/>
            <w:vAlign w:val="center"/>
          </w:tcPr>
          <w:p w:rsidR="003779EB" w:rsidRDefault="00815304">
            <w:pPr>
              <w:jc w:val="center"/>
            </w:pPr>
            <w:r>
              <w:rPr>
                <w:rFonts w:eastAsiaTheme="minorEastAsia"/>
                <w:szCs w:val="21"/>
              </w:rPr>
              <w:t>华帝股份</w:t>
            </w:r>
          </w:p>
        </w:tc>
        <w:tc>
          <w:tcPr>
            <w:tcW w:w="2880" w:type="dxa"/>
            <w:vAlign w:val="center"/>
          </w:tcPr>
          <w:p w:rsidR="003779EB" w:rsidRDefault="00815304">
            <w:pPr>
              <w:jc w:val="right"/>
            </w:pPr>
            <w:r>
              <w:rPr>
                <w:rFonts w:eastAsiaTheme="minorEastAsia"/>
                <w:szCs w:val="21"/>
              </w:rPr>
              <w:t>320,588,344.25</w:t>
            </w:r>
          </w:p>
        </w:tc>
        <w:tc>
          <w:tcPr>
            <w:tcW w:w="1620" w:type="dxa"/>
            <w:vAlign w:val="center"/>
          </w:tcPr>
          <w:p w:rsidR="003779EB" w:rsidRDefault="00815304">
            <w:pPr>
              <w:jc w:val="right"/>
            </w:pPr>
            <w:r>
              <w:rPr>
                <w:rFonts w:eastAsiaTheme="minorEastAsia"/>
                <w:szCs w:val="21"/>
              </w:rPr>
              <w:t>8.97</w:t>
            </w:r>
          </w:p>
        </w:tc>
      </w:tr>
      <w:tr w:rsidR="003779EB">
        <w:tc>
          <w:tcPr>
            <w:tcW w:w="870" w:type="dxa"/>
            <w:vAlign w:val="center"/>
          </w:tcPr>
          <w:p w:rsidR="003779EB" w:rsidRDefault="00815304">
            <w:pPr>
              <w:jc w:val="center"/>
            </w:pPr>
            <w:r>
              <w:rPr>
                <w:rFonts w:eastAsiaTheme="minorEastAsia"/>
                <w:szCs w:val="21"/>
              </w:rPr>
              <w:t>5</w:t>
            </w:r>
          </w:p>
        </w:tc>
        <w:tc>
          <w:tcPr>
            <w:tcW w:w="1650" w:type="dxa"/>
            <w:vAlign w:val="center"/>
          </w:tcPr>
          <w:p w:rsidR="003779EB" w:rsidRDefault="00815304">
            <w:pPr>
              <w:jc w:val="center"/>
            </w:pPr>
            <w:r>
              <w:rPr>
                <w:rFonts w:eastAsiaTheme="minorEastAsia"/>
                <w:szCs w:val="21"/>
              </w:rPr>
              <w:t>002236</w:t>
            </w:r>
          </w:p>
        </w:tc>
        <w:tc>
          <w:tcPr>
            <w:tcW w:w="1980" w:type="dxa"/>
            <w:vAlign w:val="center"/>
          </w:tcPr>
          <w:p w:rsidR="003779EB" w:rsidRDefault="00815304">
            <w:pPr>
              <w:jc w:val="center"/>
            </w:pPr>
            <w:r>
              <w:rPr>
                <w:rFonts w:eastAsiaTheme="minorEastAsia"/>
                <w:szCs w:val="21"/>
              </w:rPr>
              <w:t>大华股份</w:t>
            </w:r>
          </w:p>
        </w:tc>
        <w:tc>
          <w:tcPr>
            <w:tcW w:w="2880" w:type="dxa"/>
            <w:vAlign w:val="center"/>
          </w:tcPr>
          <w:p w:rsidR="003779EB" w:rsidRDefault="00815304">
            <w:pPr>
              <w:jc w:val="right"/>
            </w:pPr>
            <w:r>
              <w:rPr>
                <w:rFonts w:eastAsiaTheme="minorEastAsia"/>
                <w:szCs w:val="21"/>
              </w:rPr>
              <w:t>319,984,709.74</w:t>
            </w:r>
          </w:p>
        </w:tc>
        <w:tc>
          <w:tcPr>
            <w:tcW w:w="1620" w:type="dxa"/>
            <w:vAlign w:val="center"/>
          </w:tcPr>
          <w:p w:rsidR="003779EB" w:rsidRDefault="00815304">
            <w:pPr>
              <w:jc w:val="right"/>
            </w:pPr>
            <w:r>
              <w:rPr>
                <w:rFonts w:eastAsiaTheme="minorEastAsia"/>
                <w:szCs w:val="21"/>
              </w:rPr>
              <w:t>8.95</w:t>
            </w:r>
          </w:p>
        </w:tc>
      </w:tr>
      <w:tr w:rsidR="003779EB">
        <w:tc>
          <w:tcPr>
            <w:tcW w:w="870" w:type="dxa"/>
            <w:vAlign w:val="center"/>
          </w:tcPr>
          <w:p w:rsidR="003779EB" w:rsidRDefault="00815304">
            <w:pPr>
              <w:jc w:val="center"/>
            </w:pPr>
            <w:r>
              <w:rPr>
                <w:rFonts w:eastAsiaTheme="minorEastAsia"/>
                <w:szCs w:val="21"/>
              </w:rPr>
              <w:t>6</w:t>
            </w:r>
          </w:p>
        </w:tc>
        <w:tc>
          <w:tcPr>
            <w:tcW w:w="1650" w:type="dxa"/>
            <w:vAlign w:val="center"/>
          </w:tcPr>
          <w:p w:rsidR="003779EB" w:rsidRDefault="00815304">
            <w:pPr>
              <w:jc w:val="center"/>
            </w:pPr>
            <w:r>
              <w:rPr>
                <w:rFonts w:eastAsiaTheme="minorEastAsia"/>
                <w:szCs w:val="21"/>
              </w:rPr>
              <w:t>002572</w:t>
            </w:r>
          </w:p>
        </w:tc>
        <w:tc>
          <w:tcPr>
            <w:tcW w:w="1980" w:type="dxa"/>
            <w:vAlign w:val="center"/>
          </w:tcPr>
          <w:p w:rsidR="003779EB" w:rsidRDefault="00815304">
            <w:pPr>
              <w:jc w:val="center"/>
            </w:pPr>
            <w:r>
              <w:rPr>
                <w:rFonts w:eastAsiaTheme="minorEastAsia"/>
                <w:szCs w:val="21"/>
              </w:rPr>
              <w:t>索菲亚</w:t>
            </w:r>
          </w:p>
        </w:tc>
        <w:tc>
          <w:tcPr>
            <w:tcW w:w="2880" w:type="dxa"/>
            <w:vAlign w:val="center"/>
          </w:tcPr>
          <w:p w:rsidR="003779EB" w:rsidRDefault="00815304">
            <w:pPr>
              <w:jc w:val="right"/>
            </w:pPr>
            <w:r>
              <w:rPr>
                <w:rFonts w:eastAsiaTheme="minorEastAsia"/>
                <w:szCs w:val="21"/>
              </w:rPr>
              <w:t>171,434,948.46</w:t>
            </w:r>
          </w:p>
        </w:tc>
        <w:tc>
          <w:tcPr>
            <w:tcW w:w="1620" w:type="dxa"/>
            <w:vAlign w:val="center"/>
          </w:tcPr>
          <w:p w:rsidR="003779EB" w:rsidRDefault="00815304">
            <w:pPr>
              <w:jc w:val="right"/>
            </w:pPr>
            <w:r>
              <w:rPr>
                <w:rFonts w:eastAsiaTheme="minorEastAsia"/>
                <w:szCs w:val="21"/>
              </w:rPr>
              <w:t>4.80</w:t>
            </w:r>
          </w:p>
        </w:tc>
      </w:tr>
      <w:tr w:rsidR="003779EB">
        <w:tc>
          <w:tcPr>
            <w:tcW w:w="870" w:type="dxa"/>
            <w:vAlign w:val="center"/>
          </w:tcPr>
          <w:p w:rsidR="003779EB" w:rsidRDefault="00815304">
            <w:pPr>
              <w:jc w:val="center"/>
            </w:pPr>
            <w:r>
              <w:rPr>
                <w:rFonts w:eastAsiaTheme="minorEastAsia"/>
                <w:szCs w:val="21"/>
              </w:rPr>
              <w:t>7</w:t>
            </w:r>
          </w:p>
        </w:tc>
        <w:tc>
          <w:tcPr>
            <w:tcW w:w="1650" w:type="dxa"/>
            <w:vAlign w:val="center"/>
          </w:tcPr>
          <w:p w:rsidR="003779EB" w:rsidRDefault="00815304">
            <w:pPr>
              <w:jc w:val="center"/>
            </w:pPr>
            <w:r>
              <w:rPr>
                <w:rFonts w:eastAsiaTheme="minorEastAsia"/>
                <w:szCs w:val="21"/>
              </w:rPr>
              <w:t>002415</w:t>
            </w:r>
          </w:p>
        </w:tc>
        <w:tc>
          <w:tcPr>
            <w:tcW w:w="1980" w:type="dxa"/>
            <w:vAlign w:val="center"/>
          </w:tcPr>
          <w:p w:rsidR="003779EB" w:rsidRDefault="00815304">
            <w:pPr>
              <w:jc w:val="center"/>
            </w:pPr>
            <w:r>
              <w:rPr>
                <w:rFonts w:eastAsiaTheme="minorEastAsia"/>
                <w:szCs w:val="21"/>
              </w:rPr>
              <w:t>海康威视</w:t>
            </w:r>
          </w:p>
        </w:tc>
        <w:tc>
          <w:tcPr>
            <w:tcW w:w="2880" w:type="dxa"/>
            <w:vAlign w:val="center"/>
          </w:tcPr>
          <w:p w:rsidR="003779EB" w:rsidRDefault="00815304">
            <w:pPr>
              <w:jc w:val="right"/>
            </w:pPr>
            <w:r>
              <w:rPr>
                <w:rFonts w:eastAsiaTheme="minorEastAsia"/>
                <w:szCs w:val="21"/>
              </w:rPr>
              <w:t>165,622,291.39</w:t>
            </w:r>
          </w:p>
        </w:tc>
        <w:tc>
          <w:tcPr>
            <w:tcW w:w="1620" w:type="dxa"/>
            <w:vAlign w:val="center"/>
          </w:tcPr>
          <w:p w:rsidR="003779EB" w:rsidRDefault="00815304">
            <w:pPr>
              <w:jc w:val="right"/>
            </w:pPr>
            <w:r>
              <w:rPr>
                <w:rFonts w:eastAsiaTheme="minorEastAsia"/>
                <w:szCs w:val="21"/>
              </w:rPr>
              <w:t>4.63</w:t>
            </w:r>
          </w:p>
        </w:tc>
      </w:tr>
      <w:tr w:rsidR="003779EB">
        <w:tc>
          <w:tcPr>
            <w:tcW w:w="870" w:type="dxa"/>
            <w:vAlign w:val="center"/>
          </w:tcPr>
          <w:p w:rsidR="003779EB" w:rsidRDefault="00815304">
            <w:pPr>
              <w:jc w:val="center"/>
            </w:pPr>
            <w:r>
              <w:rPr>
                <w:rFonts w:eastAsiaTheme="minorEastAsia"/>
                <w:szCs w:val="21"/>
              </w:rPr>
              <w:t>8</w:t>
            </w:r>
          </w:p>
        </w:tc>
        <w:tc>
          <w:tcPr>
            <w:tcW w:w="1650" w:type="dxa"/>
            <w:vAlign w:val="center"/>
          </w:tcPr>
          <w:p w:rsidR="003779EB" w:rsidRDefault="00815304">
            <w:pPr>
              <w:jc w:val="center"/>
            </w:pPr>
            <w:r>
              <w:rPr>
                <w:rFonts w:eastAsiaTheme="minorEastAsia"/>
                <w:szCs w:val="21"/>
              </w:rPr>
              <w:t>000921</w:t>
            </w:r>
          </w:p>
        </w:tc>
        <w:tc>
          <w:tcPr>
            <w:tcW w:w="1980" w:type="dxa"/>
            <w:vAlign w:val="center"/>
          </w:tcPr>
          <w:p w:rsidR="003779EB" w:rsidRDefault="00815304">
            <w:pPr>
              <w:jc w:val="center"/>
            </w:pPr>
            <w:r>
              <w:rPr>
                <w:rFonts w:eastAsiaTheme="minorEastAsia"/>
                <w:szCs w:val="21"/>
              </w:rPr>
              <w:t>海信家电</w:t>
            </w:r>
          </w:p>
        </w:tc>
        <w:tc>
          <w:tcPr>
            <w:tcW w:w="2880" w:type="dxa"/>
            <w:vAlign w:val="center"/>
          </w:tcPr>
          <w:p w:rsidR="003779EB" w:rsidRDefault="00815304">
            <w:pPr>
              <w:jc w:val="right"/>
            </w:pPr>
            <w:r>
              <w:rPr>
                <w:rFonts w:eastAsiaTheme="minorEastAsia"/>
                <w:szCs w:val="21"/>
              </w:rPr>
              <w:t>160,935,780.95</w:t>
            </w:r>
          </w:p>
        </w:tc>
        <w:tc>
          <w:tcPr>
            <w:tcW w:w="1620" w:type="dxa"/>
            <w:vAlign w:val="center"/>
          </w:tcPr>
          <w:p w:rsidR="003779EB" w:rsidRDefault="00815304">
            <w:pPr>
              <w:jc w:val="right"/>
            </w:pPr>
            <w:r>
              <w:rPr>
                <w:rFonts w:eastAsiaTheme="minorEastAsia"/>
                <w:szCs w:val="21"/>
              </w:rPr>
              <w:t>4.50</w:t>
            </w:r>
          </w:p>
        </w:tc>
      </w:tr>
      <w:tr w:rsidR="003779EB">
        <w:tc>
          <w:tcPr>
            <w:tcW w:w="870" w:type="dxa"/>
            <w:vAlign w:val="center"/>
          </w:tcPr>
          <w:p w:rsidR="003779EB" w:rsidRDefault="00815304">
            <w:pPr>
              <w:jc w:val="center"/>
            </w:pPr>
            <w:r>
              <w:rPr>
                <w:rFonts w:eastAsiaTheme="minorEastAsia"/>
                <w:szCs w:val="21"/>
              </w:rPr>
              <w:t>9</w:t>
            </w:r>
          </w:p>
        </w:tc>
        <w:tc>
          <w:tcPr>
            <w:tcW w:w="1650" w:type="dxa"/>
            <w:vAlign w:val="center"/>
          </w:tcPr>
          <w:p w:rsidR="003779EB" w:rsidRDefault="00815304">
            <w:pPr>
              <w:jc w:val="center"/>
            </w:pPr>
            <w:r>
              <w:rPr>
                <w:rFonts w:eastAsiaTheme="minorEastAsia"/>
                <w:szCs w:val="21"/>
              </w:rPr>
              <w:t>000661</w:t>
            </w:r>
          </w:p>
        </w:tc>
        <w:tc>
          <w:tcPr>
            <w:tcW w:w="1980" w:type="dxa"/>
            <w:vAlign w:val="center"/>
          </w:tcPr>
          <w:p w:rsidR="003779EB" w:rsidRDefault="00815304">
            <w:pPr>
              <w:jc w:val="center"/>
            </w:pPr>
            <w:r>
              <w:rPr>
                <w:rFonts w:eastAsiaTheme="minorEastAsia"/>
                <w:szCs w:val="21"/>
              </w:rPr>
              <w:t>长春高新</w:t>
            </w:r>
          </w:p>
        </w:tc>
        <w:tc>
          <w:tcPr>
            <w:tcW w:w="2880" w:type="dxa"/>
            <w:vAlign w:val="center"/>
          </w:tcPr>
          <w:p w:rsidR="003779EB" w:rsidRDefault="00815304">
            <w:pPr>
              <w:jc w:val="right"/>
            </w:pPr>
            <w:r>
              <w:rPr>
                <w:rFonts w:eastAsiaTheme="minorEastAsia"/>
                <w:szCs w:val="21"/>
              </w:rPr>
              <w:t>154,491,867.35</w:t>
            </w:r>
          </w:p>
        </w:tc>
        <w:tc>
          <w:tcPr>
            <w:tcW w:w="1620" w:type="dxa"/>
            <w:vAlign w:val="center"/>
          </w:tcPr>
          <w:p w:rsidR="003779EB" w:rsidRDefault="00815304">
            <w:pPr>
              <w:jc w:val="right"/>
            </w:pPr>
            <w:r>
              <w:rPr>
                <w:rFonts w:eastAsiaTheme="minorEastAsia"/>
                <w:szCs w:val="21"/>
              </w:rPr>
              <w:t>4.32</w:t>
            </w:r>
          </w:p>
        </w:tc>
      </w:tr>
      <w:tr w:rsidR="003779EB">
        <w:tc>
          <w:tcPr>
            <w:tcW w:w="870" w:type="dxa"/>
            <w:vAlign w:val="center"/>
          </w:tcPr>
          <w:p w:rsidR="003779EB" w:rsidRDefault="00815304">
            <w:pPr>
              <w:jc w:val="center"/>
            </w:pPr>
            <w:r>
              <w:rPr>
                <w:rFonts w:eastAsiaTheme="minorEastAsia"/>
                <w:szCs w:val="21"/>
              </w:rPr>
              <w:t>10</w:t>
            </w:r>
          </w:p>
        </w:tc>
        <w:tc>
          <w:tcPr>
            <w:tcW w:w="1650" w:type="dxa"/>
            <w:vAlign w:val="center"/>
          </w:tcPr>
          <w:p w:rsidR="003779EB" w:rsidRDefault="00815304">
            <w:pPr>
              <w:jc w:val="center"/>
            </w:pPr>
            <w:r>
              <w:rPr>
                <w:rFonts w:eastAsiaTheme="minorEastAsia"/>
                <w:szCs w:val="21"/>
              </w:rPr>
              <w:t>000063</w:t>
            </w:r>
          </w:p>
        </w:tc>
        <w:tc>
          <w:tcPr>
            <w:tcW w:w="1980" w:type="dxa"/>
            <w:vAlign w:val="center"/>
          </w:tcPr>
          <w:p w:rsidR="003779EB" w:rsidRDefault="00815304">
            <w:pPr>
              <w:jc w:val="center"/>
            </w:pPr>
            <w:r>
              <w:rPr>
                <w:rFonts w:eastAsiaTheme="minorEastAsia"/>
                <w:szCs w:val="21"/>
              </w:rPr>
              <w:t>中兴通讯</w:t>
            </w:r>
          </w:p>
        </w:tc>
        <w:tc>
          <w:tcPr>
            <w:tcW w:w="2880" w:type="dxa"/>
            <w:vAlign w:val="center"/>
          </w:tcPr>
          <w:p w:rsidR="003779EB" w:rsidRDefault="00815304">
            <w:pPr>
              <w:jc w:val="right"/>
            </w:pPr>
            <w:r>
              <w:rPr>
                <w:rFonts w:eastAsiaTheme="minorEastAsia"/>
                <w:szCs w:val="21"/>
              </w:rPr>
              <w:t>153,014,368.40</w:t>
            </w:r>
          </w:p>
        </w:tc>
        <w:tc>
          <w:tcPr>
            <w:tcW w:w="1620" w:type="dxa"/>
            <w:vAlign w:val="center"/>
          </w:tcPr>
          <w:p w:rsidR="003779EB" w:rsidRDefault="00815304">
            <w:pPr>
              <w:jc w:val="right"/>
            </w:pPr>
            <w:r>
              <w:rPr>
                <w:rFonts w:eastAsiaTheme="minorEastAsia"/>
                <w:szCs w:val="21"/>
              </w:rPr>
              <w:t>4.28</w:t>
            </w:r>
          </w:p>
        </w:tc>
      </w:tr>
      <w:tr w:rsidR="003779EB">
        <w:tc>
          <w:tcPr>
            <w:tcW w:w="870" w:type="dxa"/>
            <w:vAlign w:val="center"/>
          </w:tcPr>
          <w:p w:rsidR="003779EB" w:rsidRDefault="00815304">
            <w:pPr>
              <w:jc w:val="center"/>
            </w:pPr>
            <w:r>
              <w:rPr>
                <w:rFonts w:eastAsiaTheme="minorEastAsia"/>
                <w:szCs w:val="21"/>
              </w:rPr>
              <w:t>11</w:t>
            </w:r>
          </w:p>
        </w:tc>
        <w:tc>
          <w:tcPr>
            <w:tcW w:w="1650" w:type="dxa"/>
            <w:vAlign w:val="center"/>
          </w:tcPr>
          <w:p w:rsidR="003779EB" w:rsidRDefault="00815304">
            <w:pPr>
              <w:jc w:val="center"/>
            </w:pPr>
            <w:r>
              <w:rPr>
                <w:rFonts w:eastAsiaTheme="minorEastAsia"/>
                <w:szCs w:val="21"/>
              </w:rPr>
              <w:t>000651</w:t>
            </w:r>
          </w:p>
        </w:tc>
        <w:tc>
          <w:tcPr>
            <w:tcW w:w="1980" w:type="dxa"/>
            <w:vAlign w:val="center"/>
          </w:tcPr>
          <w:p w:rsidR="003779EB" w:rsidRDefault="00815304">
            <w:pPr>
              <w:jc w:val="center"/>
            </w:pPr>
            <w:r>
              <w:rPr>
                <w:rFonts w:eastAsiaTheme="minorEastAsia"/>
                <w:szCs w:val="21"/>
              </w:rPr>
              <w:t>格力电器</w:t>
            </w:r>
          </w:p>
        </w:tc>
        <w:tc>
          <w:tcPr>
            <w:tcW w:w="2880" w:type="dxa"/>
            <w:vAlign w:val="center"/>
          </w:tcPr>
          <w:p w:rsidR="003779EB" w:rsidRDefault="00815304">
            <w:pPr>
              <w:jc w:val="right"/>
            </w:pPr>
            <w:r>
              <w:rPr>
                <w:rFonts w:eastAsiaTheme="minorEastAsia"/>
                <w:szCs w:val="21"/>
              </w:rPr>
              <w:t>150,989,473.84</w:t>
            </w:r>
          </w:p>
        </w:tc>
        <w:tc>
          <w:tcPr>
            <w:tcW w:w="1620" w:type="dxa"/>
            <w:vAlign w:val="center"/>
          </w:tcPr>
          <w:p w:rsidR="003779EB" w:rsidRDefault="00815304">
            <w:pPr>
              <w:jc w:val="right"/>
            </w:pPr>
            <w:r>
              <w:rPr>
                <w:rFonts w:eastAsiaTheme="minorEastAsia"/>
                <w:szCs w:val="21"/>
              </w:rPr>
              <w:t>4.22</w:t>
            </w:r>
          </w:p>
        </w:tc>
      </w:tr>
      <w:tr w:rsidR="003779EB">
        <w:tc>
          <w:tcPr>
            <w:tcW w:w="870" w:type="dxa"/>
            <w:vAlign w:val="center"/>
          </w:tcPr>
          <w:p w:rsidR="003779EB" w:rsidRDefault="00815304">
            <w:pPr>
              <w:jc w:val="center"/>
            </w:pPr>
            <w:r>
              <w:rPr>
                <w:rFonts w:eastAsiaTheme="minorEastAsia"/>
                <w:szCs w:val="21"/>
              </w:rPr>
              <w:t>12</w:t>
            </w:r>
          </w:p>
        </w:tc>
        <w:tc>
          <w:tcPr>
            <w:tcW w:w="1650" w:type="dxa"/>
            <w:vAlign w:val="center"/>
          </w:tcPr>
          <w:p w:rsidR="003779EB" w:rsidRDefault="00815304">
            <w:pPr>
              <w:jc w:val="center"/>
            </w:pPr>
            <w:r>
              <w:rPr>
                <w:rFonts w:eastAsiaTheme="minorEastAsia"/>
                <w:szCs w:val="21"/>
              </w:rPr>
              <w:t>300136</w:t>
            </w:r>
          </w:p>
        </w:tc>
        <w:tc>
          <w:tcPr>
            <w:tcW w:w="1980" w:type="dxa"/>
            <w:vAlign w:val="center"/>
          </w:tcPr>
          <w:p w:rsidR="003779EB" w:rsidRDefault="00815304">
            <w:pPr>
              <w:jc w:val="center"/>
            </w:pPr>
            <w:r>
              <w:rPr>
                <w:rFonts w:eastAsiaTheme="minorEastAsia"/>
                <w:szCs w:val="21"/>
              </w:rPr>
              <w:t>信维通信</w:t>
            </w:r>
          </w:p>
        </w:tc>
        <w:tc>
          <w:tcPr>
            <w:tcW w:w="2880" w:type="dxa"/>
            <w:vAlign w:val="center"/>
          </w:tcPr>
          <w:p w:rsidR="003779EB" w:rsidRDefault="00815304">
            <w:pPr>
              <w:jc w:val="right"/>
            </w:pPr>
            <w:r>
              <w:rPr>
                <w:rFonts w:eastAsiaTheme="minorEastAsia"/>
                <w:szCs w:val="21"/>
              </w:rPr>
              <w:t>142,930,952.94</w:t>
            </w:r>
          </w:p>
        </w:tc>
        <w:tc>
          <w:tcPr>
            <w:tcW w:w="1620" w:type="dxa"/>
            <w:vAlign w:val="center"/>
          </w:tcPr>
          <w:p w:rsidR="003779EB" w:rsidRDefault="00815304">
            <w:pPr>
              <w:jc w:val="right"/>
            </w:pPr>
            <w:r>
              <w:rPr>
                <w:rFonts w:eastAsiaTheme="minorEastAsia"/>
                <w:szCs w:val="21"/>
              </w:rPr>
              <w:t>4.00</w:t>
            </w:r>
          </w:p>
        </w:tc>
      </w:tr>
      <w:tr w:rsidR="003779EB">
        <w:tc>
          <w:tcPr>
            <w:tcW w:w="870" w:type="dxa"/>
            <w:vAlign w:val="center"/>
          </w:tcPr>
          <w:p w:rsidR="003779EB" w:rsidRDefault="00815304">
            <w:pPr>
              <w:jc w:val="center"/>
            </w:pPr>
            <w:r>
              <w:rPr>
                <w:rFonts w:eastAsiaTheme="minorEastAsia"/>
                <w:szCs w:val="21"/>
              </w:rPr>
              <w:t>13</w:t>
            </w:r>
          </w:p>
        </w:tc>
        <w:tc>
          <w:tcPr>
            <w:tcW w:w="1650" w:type="dxa"/>
            <w:vAlign w:val="center"/>
          </w:tcPr>
          <w:p w:rsidR="003779EB" w:rsidRDefault="00815304">
            <w:pPr>
              <w:jc w:val="center"/>
            </w:pPr>
            <w:r>
              <w:rPr>
                <w:rFonts w:eastAsiaTheme="minorEastAsia"/>
                <w:szCs w:val="21"/>
              </w:rPr>
              <w:t>600337</w:t>
            </w:r>
          </w:p>
        </w:tc>
        <w:tc>
          <w:tcPr>
            <w:tcW w:w="1980" w:type="dxa"/>
            <w:vAlign w:val="center"/>
          </w:tcPr>
          <w:p w:rsidR="003779EB" w:rsidRDefault="00815304">
            <w:pPr>
              <w:jc w:val="center"/>
            </w:pPr>
            <w:r>
              <w:rPr>
                <w:rFonts w:eastAsiaTheme="minorEastAsia"/>
                <w:szCs w:val="21"/>
              </w:rPr>
              <w:t>美克家居</w:t>
            </w:r>
          </w:p>
        </w:tc>
        <w:tc>
          <w:tcPr>
            <w:tcW w:w="2880" w:type="dxa"/>
            <w:vAlign w:val="center"/>
          </w:tcPr>
          <w:p w:rsidR="003779EB" w:rsidRDefault="00815304">
            <w:pPr>
              <w:jc w:val="right"/>
            </w:pPr>
            <w:r>
              <w:rPr>
                <w:rFonts w:eastAsiaTheme="minorEastAsia"/>
                <w:szCs w:val="21"/>
              </w:rPr>
              <w:t>128,754,059.16</w:t>
            </w:r>
          </w:p>
        </w:tc>
        <w:tc>
          <w:tcPr>
            <w:tcW w:w="1620" w:type="dxa"/>
            <w:vAlign w:val="center"/>
          </w:tcPr>
          <w:p w:rsidR="003779EB" w:rsidRDefault="00815304">
            <w:pPr>
              <w:jc w:val="right"/>
            </w:pPr>
            <w:r>
              <w:rPr>
                <w:rFonts w:eastAsiaTheme="minorEastAsia"/>
                <w:szCs w:val="21"/>
              </w:rPr>
              <w:t>3.60</w:t>
            </w:r>
          </w:p>
        </w:tc>
      </w:tr>
      <w:tr w:rsidR="003779EB">
        <w:tc>
          <w:tcPr>
            <w:tcW w:w="870" w:type="dxa"/>
            <w:vAlign w:val="center"/>
          </w:tcPr>
          <w:p w:rsidR="003779EB" w:rsidRDefault="00815304">
            <w:pPr>
              <w:jc w:val="center"/>
            </w:pPr>
            <w:r>
              <w:rPr>
                <w:rFonts w:eastAsiaTheme="minorEastAsia"/>
                <w:szCs w:val="21"/>
              </w:rPr>
              <w:t>14</w:t>
            </w:r>
          </w:p>
        </w:tc>
        <w:tc>
          <w:tcPr>
            <w:tcW w:w="1650" w:type="dxa"/>
            <w:vAlign w:val="center"/>
          </w:tcPr>
          <w:p w:rsidR="003779EB" w:rsidRDefault="00815304">
            <w:pPr>
              <w:jc w:val="center"/>
            </w:pPr>
            <w:r>
              <w:rPr>
                <w:rFonts w:eastAsiaTheme="minorEastAsia"/>
                <w:szCs w:val="21"/>
              </w:rPr>
              <w:t>601288</w:t>
            </w:r>
          </w:p>
        </w:tc>
        <w:tc>
          <w:tcPr>
            <w:tcW w:w="1980" w:type="dxa"/>
            <w:vAlign w:val="center"/>
          </w:tcPr>
          <w:p w:rsidR="003779EB" w:rsidRDefault="00815304">
            <w:pPr>
              <w:jc w:val="center"/>
            </w:pPr>
            <w:r>
              <w:rPr>
                <w:rFonts w:eastAsiaTheme="minorEastAsia"/>
                <w:szCs w:val="21"/>
              </w:rPr>
              <w:t>农业银行</w:t>
            </w:r>
          </w:p>
        </w:tc>
        <w:tc>
          <w:tcPr>
            <w:tcW w:w="2880" w:type="dxa"/>
            <w:vAlign w:val="center"/>
          </w:tcPr>
          <w:p w:rsidR="003779EB" w:rsidRDefault="00815304">
            <w:pPr>
              <w:jc w:val="right"/>
            </w:pPr>
            <w:r>
              <w:rPr>
                <w:rFonts w:eastAsiaTheme="minorEastAsia"/>
                <w:szCs w:val="21"/>
              </w:rPr>
              <w:t>125,819,882.72</w:t>
            </w:r>
          </w:p>
        </w:tc>
        <w:tc>
          <w:tcPr>
            <w:tcW w:w="1620" w:type="dxa"/>
            <w:vAlign w:val="center"/>
          </w:tcPr>
          <w:p w:rsidR="003779EB" w:rsidRDefault="00815304">
            <w:pPr>
              <w:jc w:val="right"/>
            </w:pPr>
            <w:r>
              <w:rPr>
                <w:rFonts w:eastAsiaTheme="minorEastAsia"/>
                <w:szCs w:val="21"/>
              </w:rPr>
              <w:t>3.52</w:t>
            </w:r>
          </w:p>
        </w:tc>
      </w:tr>
      <w:tr w:rsidR="003779EB">
        <w:tc>
          <w:tcPr>
            <w:tcW w:w="870" w:type="dxa"/>
            <w:vAlign w:val="center"/>
          </w:tcPr>
          <w:p w:rsidR="003779EB" w:rsidRDefault="00815304">
            <w:pPr>
              <w:jc w:val="center"/>
            </w:pPr>
            <w:r>
              <w:rPr>
                <w:rFonts w:eastAsiaTheme="minorEastAsia"/>
                <w:szCs w:val="21"/>
              </w:rPr>
              <w:t>15</w:t>
            </w:r>
          </w:p>
        </w:tc>
        <w:tc>
          <w:tcPr>
            <w:tcW w:w="1650" w:type="dxa"/>
            <w:vAlign w:val="center"/>
          </w:tcPr>
          <w:p w:rsidR="003779EB" w:rsidRDefault="00815304">
            <w:pPr>
              <w:jc w:val="center"/>
            </w:pPr>
            <w:r>
              <w:rPr>
                <w:rFonts w:eastAsiaTheme="minorEastAsia"/>
                <w:szCs w:val="21"/>
              </w:rPr>
              <w:t>603816</w:t>
            </w:r>
          </w:p>
        </w:tc>
        <w:tc>
          <w:tcPr>
            <w:tcW w:w="1980" w:type="dxa"/>
            <w:vAlign w:val="center"/>
          </w:tcPr>
          <w:p w:rsidR="003779EB" w:rsidRDefault="00815304">
            <w:pPr>
              <w:jc w:val="center"/>
            </w:pPr>
            <w:r>
              <w:rPr>
                <w:rFonts w:eastAsiaTheme="minorEastAsia"/>
                <w:szCs w:val="21"/>
              </w:rPr>
              <w:t>顾家家居</w:t>
            </w:r>
          </w:p>
        </w:tc>
        <w:tc>
          <w:tcPr>
            <w:tcW w:w="2880" w:type="dxa"/>
            <w:vAlign w:val="center"/>
          </w:tcPr>
          <w:p w:rsidR="003779EB" w:rsidRDefault="00815304">
            <w:pPr>
              <w:jc w:val="right"/>
            </w:pPr>
            <w:r>
              <w:rPr>
                <w:rFonts w:eastAsiaTheme="minorEastAsia"/>
                <w:szCs w:val="21"/>
              </w:rPr>
              <w:t>112,971,052.56</w:t>
            </w:r>
          </w:p>
        </w:tc>
        <w:tc>
          <w:tcPr>
            <w:tcW w:w="1620" w:type="dxa"/>
            <w:vAlign w:val="center"/>
          </w:tcPr>
          <w:p w:rsidR="003779EB" w:rsidRDefault="00815304">
            <w:pPr>
              <w:jc w:val="right"/>
            </w:pPr>
            <w:r>
              <w:rPr>
                <w:rFonts w:eastAsiaTheme="minorEastAsia"/>
                <w:szCs w:val="21"/>
              </w:rPr>
              <w:t>3.16</w:t>
            </w:r>
          </w:p>
        </w:tc>
      </w:tr>
      <w:tr w:rsidR="003779EB">
        <w:tc>
          <w:tcPr>
            <w:tcW w:w="870" w:type="dxa"/>
            <w:vAlign w:val="center"/>
          </w:tcPr>
          <w:p w:rsidR="003779EB" w:rsidRDefault="00815304">
            <w:pPr>
              <w:jc w:val="center"/>
            </w:pPr>
            <w:r>
              <w:rPr>
                <w:rFonts w:eastAsiaTheme="minorEastAsia"/>
                <w:szCs w:val="21"/>
              </w:rPr>
              <w:t>16</w:t>
            </w:r>
          </w:p>
        </w:tc>
        <w:tc>
          <w:tcPr>
            <w:tcW w:w="1650" w:type="dxa"/>
            <w:vAlign w:val="center"/>
          </w:tcPr>
          <w:p w:rsidR="003779EB" w:rsidRDefault="00815304">
            <w:pPr>
              <w:jc w:val="center"/>
            </w:pPr>
            <w:r>
              <w:rPr>
                <w:rFonts w:eastAsiaTheme="minorEastAsia"/>
                <w:szCs w:val="21"/>
              </w:rPr>
              <w:t>601166</w:t>
            </w:r>
          </w:p>
        </w:tc>
        <w:tc>
          <w:tcPr>
            <w:tcW w:w="1980" w:type="dxa"/>
            <w:vAlign w:val="center"/>
          </w:tcPr>
          <w:p w:rsidR="003779EB" w:rsidRDefault="00815304">
            <w:pPr>
              <w:jc w:val="center"/>
            </w:pPr>
            <w:r>
              <w:rPr>
                <w:rFonts w:eastAsiaTheme="minorEastAsia"/>
                <w:szCs w:val="21"/>
              </w:rPr>
              <w:t>兴业银行</w:t>
            </w:r>
          </w:p>
        </w:tc>
        <w:tc>
          <w:tcPr>
            <w:tcW w:w="2880" w:type="dxa"/>
            <w:vAlign w:val="center"/>
          </w:tcPr>
          <w:p w:rsidR="003779EB" w:rsidRDefault="00815304">
            <w:pPr>
              <w:jc w:val="right"/>
            </w:pPr>
            <w:r>
              <w:rPr>
                <w:rFonts w:eastAsiaTheme="minorEastAsia"/>
                <w:szCs w:val="21"/>
              </w:rPr>
              <w:t>110,814,812.56</w:t>
            </w:r>
          </w:p>
        </w:tc>
        <w:tc>
          <w:tcPr>
            <w:tcW w:w="1620" w:type="dxa"/>
            <w:vAlign w:val="center"/>
          </w:tcPr>
          <w:p w:rsidR="003779EB" w:rsidRDefault="00815304">
            <w:pPr>
              <w:jc w:val="right"/>
            </w:pPr>
            <w:r>
              <w:rPr>
                <w:rFonts w:eastAsiaTheme="minorEastAsia"/>
                <w:szCs w:val="21"/>
              </w:rPr>
              <w:t>3.10</w:t>
            </w:r>
          </w:p>
        </w:tc>
      </w:tr>
      <w:tr w:rsidR="003779EB">
        <w:tc>
          <w:tcPr>
            <w:tcW w:w="870" w:type="dxa"/>
            <w:vAlign w:val="center"/>
          </w:tcPr>
          <w:p w:rsidR="003779EB" w:rsidRDefault="00815304">
            <w:pPr>
              <w:jc w:val="center"/>
            </w:pPr>
            <w:r>
              <w:rPr>
                <w:rFonts w:eastAsiaTheme="minorEastAsia"/>
                <w:szCs w:val="21"/>
              </w:rPr>
              <w:t>17</w:t>
            </w:r>
          </w:p>
        </w:tc>
        <w:tc>
          <w:tcPr>
            <w:tcW w:w="1650" w:type="dxa"/>
            <w:vAlign w:val="center"/>
          </w:tcPr>
          <w:p w:rsidR="003779EB" w:rsidRDefault="00815304">
            <w:pPr>
              <w:jc w:val="center"/>
            </w:pPr>
            <w:r>
              <w:rPr>
                <w:rFonts w:eastAsiaTheme="minorEastAsia"/>
                <w:szCs w:val="21"/>
              </w:rPr>
              <w:t>600048</w:t>
            </w:r>
          </w:p>
        </w:tc>
        <w:tc>
          <w:tcPr>
            <w:tcW w:w="1980" w:type="dxa"/>
            <w:vAlign w:val="center"/>
          </w:tcPr>
          <w:p w:rsidR="003779EB" w:rsidRDefault="00815304">
            <w:pPr>
              <w:jc w:val="center"/>
            </w:pPr>
            <w:r>
              <w:rPr>
                <w:rFonts w:eastAsiaTheme="minorEastAsia"/>
                <w:szCs w:val="21"/>
              </w:rPr>
              <w:t>保利地产</w:t>
            </w:r>
          </w:p>
        </w:tc>
        <w:tc>
          <w:tcPr>
            <w:tcW w:w="2880" w:type="dxa"/>
            <w:vAlign w:val="center"/>
          </w:tcPr>
          <w:p w:rsidR="003779EB" w:rsidRDefault="00815304">
            <w:pPr>
              <w:jc w:val="right"/>
            </w:pPr>
            <w:r>
              <w:rPr>
                <w:rFonts w:eastAsiaTheme="minorEastAsia"/>
                <w:szCs w:val="21"/>
              </w:rPr>
              <w:t>105,243,255.48</w:t>
            </w:r>
          </w:p>
        </w:tc>
        <w:tc>
          <w:tcPr>
            <w:tcW w:w="1620" w:type="dxa"/>
            <w:vAlign w:val="center"/>
          </w:tcPr>
          <w:p w:rsidR="003779EB" w:rsidRDefault="00815304">
            <w:pPr>
              <w:jc w:val="right"/>
            </w:pPr>
            <w:r>
              <w:rPr>
                <w:rFonts w:eastAsiaTheme="minorEastAsia"/>
                <w:szCs w:val="21"/>
              </w:rPr>
              <w:t>2.94</w:t>
            </w:r>
          </w:p>
        </w:tc>
      </w:tr>
      <w:tr w:rsidR="003779EB">
        <w:tc>
          <w:tcPr>
            <w:tcW w:w="870" w:type="dxa"/>
            <w:vAlign w:val="center"/>
          </w:tcPr>
          <w:p w:rsidR="003779EB" w:rsidRDefault="00815304">
            <w:pPr>
              <w:jc w:val="center"/>
            </w:pPr>
            <w:r>
              <w:rPr>
                <w:rFonts w:eastAsiaTheme="minorEastAsia"/>
                <w:szCs w:val="21"/>
              </w:rPr>
              <w:t>18</w:t>
            </w:r>
          </w:p>
        </w:tc>
        <w:tc>
          <w:tcPr>
            <w:tcW w:w="1650" w:type="dxa"/>
            <w:vAlign w:val="center"/>
          </w:tcPr>
          <w:p w:rsidR="003779EB" w:rsidRDefault="00815304">
            <w:pPr>
              <w:jc w:val="center"/>
            </w:pPr>
            <w:r>
              <w:rPr>
                <w:rFonts w:eastAsiaTheme="minorEastAsia"/>
                <w:szCs w:val="21"/>
              </w:rPr>
              <w:t>601688</w:t>
            </w:r>
          </w:p>
        </w:tc>
        <w:tc>
          <w:tcPr>
            <w:tcW w:w="1980" w:type="dxa"/>
            <w:vAlign w:val="center"/>
          </w:tcPr>
          <w:p w:rsidR="003779EB" w:rsidRDefault="00815304">
            <w:pPr>
              <w:jc w:val="center"/>
            </w:pPr>
            <w:r>
              <w:rPr>
                <w:rFonts w:eastAsiaTheme="minorEastAsia"/>
                <w:szCs w:val="21"/>
              </w:rPr>
              <w:t>华泰证券</w:t>
            </w:r>
          </w:p>
        </w:tc>
        <w:tc>
          <w:tcPr>
            <w:tcW w:w="2880" w:type="dxa"/>
            <w:vAlign w:val="center"/>
          </w:tcPr>
          <w:p w:rsidR="003779EB" w:rsidRDefault="00815304">
            <w:pPr>
              <w:jc w:val="right"/>
            </w:pPr>
            <w:r>
              <w:rPr>
                <w:rFonts w:eastAsiaTheme="minorEastAsia"/>
                <w:szCs w:val="21"/>
              </w:rPr>
              <w:t>104,409,312.76</w:t>
            </w:r>
          </w:p>
        </w:tc>
        <w:tc>
          <w:tcPr>
            <w:tcW w:w="1620" w:type="dxa"/>
            <w:vAlign w:val="center"/>
          </w:tcPr>
          <w:p w:rsidR="003779EB" w:rsidRDefault="00815304">
            <w:pPr>
              <w:jc w:val="right"/>
            </w:pPr>
            <w:r>
              <w:rPr>
                <w:rFonts w:eastAsiaTheme="minorEastAsia"/>
                <w:szCs w:val="21"/>
              </w:rPr>
              <w:t>2.92</w:t>
            </w:r>
          </w:p>
        </w:tc>
      </w:tr>
      <w:tr w:rsidR="003779EB">
        <w:tc>
          <w:tcPr>
            <w:tcW w:w="870" w:type="dxa"/>
            <w:vAlign w:val="center"/>
          </w:tcPr>
          <w:p w:rsidR="003779EB" w:rsidRDefault="00815304">
            <w:pPr>
              <w:jc w:val="center"/>
            </w:pPr>
            <w:r>
              <w:rPr>
                <w:rFonts w:eastAsiaTheme="minorEastAsia"/>
                <w:szCs w:val="21"/>
              </w:rPr>
              <w:t>19</w:t>
            </w:r>
          </w:p>
        </w:tc>
        <w:tc>
          <w:tcPr>
            <w:tcW w:w="1650" w:type="dxa"/>
            <w:vAlign w:val="center"/>
          </w:tcPr>
          <w:p w:rsidR="003779EB" w:rsidRDefault="00815304">
            <w:pPr>
              <w:jc w:val="center"/>
            </w:pPr>
            <w:r>
              <w:rPr>
                <w:rFonts w:eastAsiaTheme="minorEastAsia"/>
                <w:szCs w:val="21"/>
              </w:rPr>
              <w:t>002468</w:t>
            </w:r>
          </w:p>
        </w:tc>
        <w:tc>
          <w:tcPr>
            <w:tcW w:w="1980" w:type="dxa"/>
            <w:vAlign w:val="center"/>
          </w:tcPr>
          <w:p w:rsidR="003779EB" w:rsidRDefault="00815304">
            <w:pPr>
              <w:jc w:val="center"/>
            </w:pPr>
            <w:r>
              <w:rPr>
                <w:rFonts w:eastAsiaTheme="minorEastAsia"/>
                <w:szCs w:val="21"/>
              </w:rPr>
              <w:t>申通快递</w:t>
            </w:r>
          </w:p>
        </w:tc>
        <w:tc>
          <w:tcPr>
            <w:tcW w:w="2880" w:type="dxa"/>
            <w:vAlign w:val="center"/>
          </w:tcPr>
          <w:p w:rsidR="003779EB" w:rsidRDefault="00815304">
            <w:pPr>
              <w:jc w:val="right"/>
            </w:pPr>
            <w:r>
              <w:rPr>
                <w:rFonts w:eastAsiaTheme="minorEastAsia"/>
                <w:szCs w:val="21"/>
              </w:rPr>
              <w:t>99,787,152.67</w:t>
            </w:r>
          </w:p>
        </w:tc>
        <w:tc>
          <w:tcPr>
            <w:tcW w:w="1620" w:type="dxa"/>
            <w:vAlign w:val="center"/>
          </w:tcPr>
          <w:p w:rsidR="003779EB" w:rsidRDefault="00815304">
            <w:pPr>
              <w:jc w:val="right"/>
            </w:pPr>
            <w:r>
              <w:rPr>
                <w:rFonts w:eastAsiaTheme="minorEastAsia"/>
                <w:szCs w:val="21"/>
              </w:rPr>
              <w:t>2.79</w:t>
            </w:r>
          </w:p>
        </w:tc>
      </w:tr>
      <w:tr w:rsidR="003779EB">
        <w:tc>
          <w:tcPr>
            <w:tcW w:w="870" w:type="dxa"/>
            <w:vAlign w:val="center"/>
          </w:tcPr>
          <w:p w:rsidR="003779EB" w:rsidRDefault="00815304">
            <w:pPr>
              <w:jc w:val="center"/>
            </w:pPr>
            <w:r>
              <w:rPr>
                <w:rFonts w:eastAsiaTheme="minorEastAsia"/>
                <w:szCs w:val="21"/>
              </w:rPr>
              <w:t>20</w:t>
            </w:r>
          </w:p>
        </w:tc>
        <w:tc>
          <w:tcPr>
            <w:tcW w:w="1650" w:type="dxa"/>
            <w:vAlign w:val="center"/>
          </w:tcPr>
          <w:p w:rsidR="003779EB" w:rsidRDefault="00815304">
            <w:pPr>
              <w:jc w:val="center"/>
            </w:pPr>
            <w:r>
              <w:rPr>
                <w:rFonts w:eastAsiaTheme="minorEastAsia"/>
                <w:szCs w:val="21"/>
              </w:rPr>
              <w:t>300383</w:t>
            </w:r>
          </w:p>
        </w:tc>
        <w:tc>
          <w:tcPr>
            <w:tcW w:w="1980" w:type="dxa"/>
            <w:vAlign w:val="center"/>
          </w:tcPr>
          <w:p w:rsidR="003779EB" w:rsidRDefault="00815304">
            <w:pPr>
              <w:jc w:val="center"/>
            </w:pPr>
            <w:r>
              <w:rPr>
                <w:rFonts w:eastAsiaTheme="minorEastAsia"/>
                <w:szCs w:val="21"/>
              </w:rPr>
              <w:t>光环新网</w:t>
            </w:r>
          </w:p>
        </w:tc>
        <w:tc>
          <w:tcPr>
            <w:tcW w:w="2880" w:type="dxa"/>
            <w:vAlign w:val="center"/>
          </w:tcPr>
          <w:p w:rsidR="003779EB" w:rsidRDefault="00815304">
            <w:pPr>
              <w:jc w:val="right"/>
            </w:pPr>
            <w:r>
              <w:rPr>
                <w:rFonts w:eastAsiaTheme="minorEastAsia"/>
                <w:szCs w:val="21"/>
              </w:rPr>
              <w:t>99,395,595.95</w:t>
            </w:r>
          </w:p>
        </w:tc>
        <w:tc>
          <w:tcPr>
            <w:tcW w:w="1620" w:type="dxa"/>
            <w:vAlign w:val="center"/>
          </w:tcPr>
          <w:p w:rsidR="003779EB" w:rsidRDefault="00815304">
            <w:pPr>
              <w:jc w:val="right"/>
            </w:pPr>
            <w:r>
              <w:rPr>
                <w:rFonts w:eastAsiaTheme="minorEastAsia"/>
                <w:szCs w:val="21"/>
              </w:rPr>
              <w:t>2.78</w:t>
            </w:r>
          </w:p>
        </w:tc>
      </w:tr>
      <w:tr w:rsidR="003779EB">
        <w:tc>
          <w:tcPr>
            <w:tcW w:w="870" w:type="dxa"/>
            <w:vAlign w:val="center"/>
          </w:tcPr>
          <w:p w:rsidR="003779EB" w:rsidRDefault="00815304">
            <w:pPr>
              <w:jc w:val="center"/>
            </w:pPr>
            <w:r>
              <w:rPr>
                <w:rFonts w:eastAsiaTheme="minorEastAsia"/>
                <w:szCs w:val="21"/>
              </w:rPr>
              <w:t>21</w:t>
            </w:r>
          </w:p>
        </w:tc>
        <w:tc>
          <w:tcPr>
            <w:tcW w:w="1650" w:type="dxa"/>
            <w:vAlign w:val="center"/>
          </w:tcPr>
          <w:p w:rsidR="003779EB" w:rsidRDefault="00815304">
            <w:pPr>
              <w:jc w:val="center"/>
            </w:pPr>
            <w:r>
              <w:rPr>
                <w:rFonts w:eastAsiaTheme="minorEastAsia"/>
                <w:szCs w:val="21"/>
              </w:rPr>
              <w:t>601328</w:t>
            </w:r>
          </w:p>
        </w:tc>
        <w:tc>
          <w:tcPr>
            <w:tcW w:w="1980" w:type="dxa"/>
            <w:vAlign w:val="center"/>
          </w:tcPr>
          <w:p w:rsidR="003779EB" w:rsidRDefault="00815304">
            <w:pPr>
              <w:jc w:val="center"/>
            </w:pPr>
            <w:r>
              <w:rPr>
                <w:rFonts w:eastAsiaTheme="minorEastAsia"/>
                <w:szCs w:val="21"/>
              </w:rPr>
              <w:t>交通银</w:t>
            </w:r>
            <w:r w:rsidR="000362A8">
              <w:rPr>
                <w:rFonts w:eastAsiaTheme="minorEastAsia" w:hint="eastAsia"/>
                <w:szCs w:val="21"/>
              </w:rPr>
              <w:t>行</w:t>
            </w:r>
          </w:p>
        </w:tc>
        <w:tc>
          <w:tcPr>
            <w:tcW w:w="2880" w:type="dxa"/>
            <w:vAlign w:val="center"/>
          </w:tcPr>
          <w:p w:rsidR="003779EB" w:rsidRDefault="00815304">
            <w:pPr>
              <w:jc w:val="right"/>
            </w:pPr>
            <w:r>
              <w:rPr>
                <w:rFonts w:eastAsiaTheme="minorEastAsia"/>
                <w:szCs w:val="21"/>
              </w:rPr>
              <w:t>96,757,754.29</w:t>
            </w:r>
          </w:p>
        </w:tc>
        <w:tc>
          <w:tcPr>
            <w:tcW w:w="1620" w:type="dxa"/>
            <w:vAlign w:val="center"/>
          </w:tcPr>
          <w:p w:rsidR="003779EB" w:rsidRDefault="00815304">
            <w:pPr>
              <w:jc w:val="right"/>
            </w:pPr>
            <w:r>
              <w:rPr>
                <w:rFonts w:eastAsiaTheme="minorEastAsia"/>
                <w:szCs w:val="21"/>
              </w:rPr>
              <w:t>2.71</w:t>
            </w:r>
          </w:p>
        </w:tc>
      </w:tr>
      <w:tr w:rsidR="003779EB">
        <w:tc>
          <w:tcPr>
            <w:tcW w:w="870" w:type="dxa"/>
            <w:vAlign w:val="center"/>
          </w:tcPr>
          <w:p w:rsidR="003779EB" w:rsidRDefault="00815304">
            <w:pPr>
              <w:jc w:val="center"/>
            </w:pPr>
            <w:r>
              <w:rPr>
                <w:rFonts w:eastAsiaTheme="minorEastAsia"/>
                <w:szCs w:val="21"/>
              </w:rPr>
              <w:t>22</w:t>
            </w:r>
          </w:p>
        </w:tc>
        <w:tc>
          <w:tcPr>
            <w:tcW w:w="1650" w:type="dxa"/>
            <w:vAlign w:val="center"/>
          </w:tcPr>
          <w:p w:rsidR="003779EB" w:rsidRDefault="00815304">
            <w:pPr>
              <w:jc w:val="center"/>
            </w:pPr>
            <w:r>
              <w:rPr>
                <w:rFonts w:eastAsiaTheme="minorEastAsia"/>
                <w:szCs w:val="21"/>
              </w:rPr>
              <w:t>601939</w:t>
            </w:r>
          </w:p>
        </w:tc>
        <w:tc>
          <w:tcPr>
            <w:tcW w:w="1980" w:type="dxa"/>
            <w:vAlign w:val="center"/>
          </w:tcPr>
          <w:p w:rsidR="003779EB" w:rsidRDefault="00815304">
            <w:pPr>
              <w:jc w:val="center"/>
            </w:pPr>
            <w:r>
              <w:rPr>
                <w:rFonts w:eastAsiaTheme="minorEastAsia"/>
                <w:szCs w:val="21"/>
              </w:rPr>
              <w:t>建设银行</w:t>
            </w:r>
          </w:p>
        </w:tc>
        <w:tc>
          <w:tcPr>
            <w:tcW w:w="2880" w:type="dxa"/>
            <w:vAlign w:val="center"/>
          </w:tcPr>
          <w:p w:rsidR="003779EB" w:rsidRDefault="00815304">
            <w:pPr>
              <w:jc w:val="right"/>
            </w:pPr>
            <w:r>
              <w:rPr>
                <w:rFonts w:eastAsiaTheme="minorEastAsia"/>
                <w:szCs w:val="21"/>
              </w:rPr>
              <w:t>90,608,461.11</w:t>
            </w:r>
          </w:p>
        </w:tc>
        <w:tc>
          <w:tcPr>
            <w:tcW w:w="1620" w:type="dxa"/>
            <w:vAlign w:val="center"/>
          </w:tcPr>
          <w:p w:rsidR="003779EB" w:rsidRDefault="00815304">
            <w:pPr>
              <w:jc w:val="right"/>
            </w:pPr>
            <w:r>
              <w:rPr>
                <w:rFonts w:eastAsiaTheme="minorEastAsia"/>
                <w:szCs w:val="21"/>
              </w:rPr>
              <w:t>2.53</w:t>
            </w:r>
          </w:p>
        </w:tc>
      </w:tr>
      <w:tr w:rsidR="003779EB">
        <w:tc>
          <w:tcPr>
            <w:tcW w:w="870" w:type="dxa"/>
            <w:vAlign w:val="center"/>
          </w:tcPr>
          <w:p w:rsidR="003779EB" w:rsidRDefault="00815304">
            <w:pPr>
              <w:jc w:val="center"/>
            </w:pPr>
            <w:r>
              <w:rPr>
                <w:rFonts w:eastAsiaTheme="minorEastAsia"/>
                <w:szCs w:val="21"/>
              </w:rPr>
              <w:t>23</w:t>
            </w:r>
          </w:p>
        </w:tc>
        <w:tc>
          <w:tcPr>
            <w:tcW w:w="1650" w:type="dxa"/>
            <w:vAlign w:val="center"/>
          </w:tcPr>
          <w:p w:rsidR="003779EB" w:rsidRDefault="00815304">
            <w:pPr>
              <w:jc w:val="center"/>
            </w:pPr>
            <w:r>
              <w:rPr>
                <w:rFonts w:eastAsiaTheme="minorEastAsia"/>
                <w:szCs w:val="21"/>
              </w:rPr>
              <w:t>000002</w:t>
            </w:r>
          </w:p>
        </w:tc>
        <w:tc>
          <w:tcPr>
            <w:tcW w:w="1980" w:type="dxa"/>
            <w:vAlign w:val="center"/>
          </w:tcPr>
          <w:p w:rsidR="003779EB" w:rsidRDefault="00815304">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2880" w:type="dxa"/>
            <w:vAlign w:val="center"/>
          </w:tcPr>
          <w:p w:rsidR="003779EB" w:rsidRDefault="00815304">
            <w:pPr>
              <w:jc w:val="right"/>
            </w:pPr>
            <w:r>
              <w:rPr>
                <w:rFonts w:eastAsiaTheme="minorEastAsia"/>
                <w:szCs w:val="21"/>
              </w:rPr>
              <w:t>83,760,475.52</w:t>
            </w:r>
          </w:p>
        </w:tc>
        <w:tc>
          <w:tcPr>
            <w:tcW w:w="1620" w:type="dxa"/>
            <w:vAlign w:val="center"/>
          </w:tcPr>
          <w:p w:rsidR="003779EB" w:rsidRDefault="00815304">
            <w:pPr>
              <w:jc w:val="right"/>
            </w:pPr>
            <w:r>
              <w:rPr>
                <w:rFonts w:eastAsiaTheme="minorEastAsia"/>
                <w:szCs w:val="21"/>
              </w:rPr>
              <w:t>2.34</w:t>
            </w:r>
          </w:p>
        </w:tc>
      </w:tr>
      <w:tr w:rsidR="003779EB">
        <w:tc>
          <w:tcPr>
            <w:tcW w:w="870" w:type="dxa"/>
            <w:vAlign w:val="center"/>
          </w:tcPr>
          <w:p w:rsidR="003779EB" w:rsidRDefault="00815304">
            <w:pPr>
              <w:jc w:val="center"/>
            </w:pPr>
            <w:r>
              <w:rPr>
                <w:rFonts w:eastAsiaTheme="minorEastAsia"/>
                <w:szCs w:val="21"/>
              </w:rPr>
              <w:t>24</w:t>
            </w:r>
          </w:p>
        </w:tc>
        <w:tc>
          <w:tcPr>
            <w:tcW w:w="1650" w:type="dxa"/>
            <w:vAlign w:val="center"/>
          </w:tcPr>
          <w:p w:rsidR="003779EB" w:rsidRDefault="00815304">
            <w:pPr>
              <w:jc w:val="center"/>
            </w:pPr>
            <w:r>
              <w:rPr>
                <w:rFonts w:eastAsiaTheme="minorEastAsia"/>
                <w:szCs w:val="21"/>
              </w:rPr>
              <w:t>600438</w:t>
            </w:r>
          </w:p>
        </w:tc>
        <w:tc>
          <w:tcPr>
            <w:tcW w:w="1980" w:type="dxa"/>
            <w:vAlign w:val="center"/>
          </w:tcPr>
          <w:p w:rsidR="003779EB" w:rsidRDefault="00815304">
            <w:pPr>
              <w:jc w:val="center"/>
            </w:pPr>
            <w:r>
              <w:rPr>
                <w:rFonts w:eastAsiaTheme="minorEastAsia"/>
                <w:szCs w:val="21"/>
              </w:rPr>
              <w:t>通威股份</w:t>
            </w:r>
          </w:p>
        </w:tc>
        <w:tc>
          <w:tcPr>
            <w:tcW w:w="2880" w:type="dxa"/>
            <w:vAlign w:val="center"/>
          </w:tcPr>
          <w:p w:rsidR="003779EB" w:rsidRDefault="00815304">
            <w:pPr>
              <w:jc w:val="right"/>
            </w:pPr>
            <w:r>
              <w:rPr>
                <w:rFonts w:eastAsiaTheme="minorEastAsia"/>
                <w:szCs w:val="21"/>
              </w:rPr>
              <w:t>78,675,513.62</w:t>
            </w:r>
          </w:p>
        </w:tc>
        <w:tc>
          <w:tcPr>
            <w:tcW w:w="1620" w:type="dxa"/>
            <w:vAlign w:val="center"/>
          </w:tcPr>
          <w:p w:rsidR="003779EB" w:rsidRDefault="00815304">
            <w:pPr>
              <w:jc w:val="right"/>
            </w:pPr>
            <w:r>
              <w:rPr>
                <w:rFonts w:eastAsiaTheme="minorEastAsia"/>
                <w:szCs w:val="21"/>
              </w:rPr>
              <w:t>2.20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5,524,267,212.89</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6,169,296,911.80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4" w:name="_Toc234814104"/>
      <w:bookmarkStart w:id="65" w:name="_Toc39042126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64"/>
      <w:bookmarkEnd w:id="65"/>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6" w:name="_Toc390421262"/>
      <w:r w:rsidRPr="00C56F63">
        <w:rPr>
          <w:rFonts w:ascii="Times New Roman" w:eastAsiaTheme="minorEastAsia" w:hAnsi="Times New Roman"/>
          <w:kern w:val="0"/>
          <w:sz w:val="21"/>
          <w:szCs w:val="21"/>
        </w:rPr>
        <w:t>7.6</w:t>
      </w:r>
      <w:bookmarkStart w:id="6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66"/>
      <w:bookmarkEnd w:id="67"/>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8" w:name="_Toc39042126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w:t>
      </w:r>
      <w:r w:rsidR="00952F5E">
        <w:rPr>
          <w:rFonts w:ascii="Times New Roman" w:eastAsiaTheme="minorEastAsia" w:hAnsi="Times New Roman" w:hint="eastAsia"/>
          <w:kern w:val="0"/>
          <w:sz w:val="21"/>
          <w:szCs w:val="21"/>
        </w:rPr>
        <w:t>前十名</w:t>
      </w:r>
      <w:r w:rsidRPr="00C56F63">
        <w:rPr>
          <w:rFonts w:ascii="Times New Roman" w:eastAsiaTheme="minorEastAsia" w:hAnsi="Times New Roman"/>
          <w:kern w:val="0"/>
          <w:sz w:val="21"/>
          <w:szCs w:val="21"/>
        </w:rPr>
        <w:t>资产支持证券投资明细</w:t>
      </w:r>
      <w:bookmarkEnd w:id="6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9" w:name="_Toc39042126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69"/>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0" w:name="_Toc39042126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70"/>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1" w:name="_Toc39042126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71"/>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2" w:name="_Toc39042126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72"/>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3" w:name="_Toc390421268"/>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73"/>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报告期内本基金投资的前十名股票没有超出基金合同规定的备选股票库。</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2,175,583.41</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125,859.92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1,244,311.02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3,545,754.35</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w:t>
      </w:r>
      <w:r w:rsidRPr="00C56F63">
        <w:rPr>
          <w:rFonts w:eastAsiaTheme="minorEastAsia"/>
          <w:color w:val="000000"/>
          <w:szCs w:val="21"/>
        </w:rPr>
        <w:t>,</w:t>
      </w:r>
      <w:r w:rsidRPr="00C56F63">
        <w:rPr>
          <w:rFonts w:eastAsiaTheme="minorEastAsia"/>
          <w:color w:val="000000"/>
          <w:szCs w:val="21"/>
        </w:rPr>
        <w:t>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4" w:name="_Toc374540579"/>
      <w:bookmarkStart w:id="75" w:name="_Toc22550005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74"/>
      <w:bookmarkEnd w:id="75"/>
    </w:p>
    <w:p w:rsidR="006B65E1" w:rsidRPr="00C56F63" w:rsidRDefault="00945F2E">
      <w:pPr>
        <w:pStyle w:val="2"/>
        <w:spacing w:before="0" w:after="0"/>
        <w:rPr>
          <w:rFonts w:ascii="Times New Roman" w:eastAsiaTheme="minorEastAsia" w:hAnsi="Times New Roman"/>
          <w:kern w:val="0"/>
          <w:sz w:val="21"/>
          <w:szCs w:val="21"/>
        </w:rPr>
      </w:pPr>
      <w:bookmarkStart w:id="76" w:name="_Toc390421270"/>
      <w:bookmarkStart w:id="77" w:name="_Toc22550005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76"/>
      <w:bookmarkEnd w:id="77"/>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952F5E" w:rsidRPr="00C56F63" w:rsidTr="00952F5E">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3779EB" w:rsidRDefault="00815304">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952F5E" w:rsidRPr="00C56F63" w:rsidTr="00952F5E">
        <w:tc>
          <w:tcPr>
            <w:tcW w:w="1627" w:type="dxa"/>
            <w:vMerge/>
            <w:tcBorders>
              <w:top w:val="single" w:sz="8" w:space="0" w:color="000000"/>
              <w:left w:val="single" w:sz="8" w:space="0" w:color="000000"/>
              <w:bottom w:val="single" w:sz="8" w:space="0" w:color="000000"/>
              <w:right w:val="single" w:sz="8" w:space="0" w:color="000000"/>
            </w:tcBorders>
            <w:vAlign w:val="center"/>
          </w:tcPr>
          <w:p w:rsidR="003779EB" w:rsidRDefault="003779E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952F5E" w:rsidRPr="00C56F63" w:rsidTr="00952F5E">
        <w:tc>
          <w:tcPr>
            <w:tcW w:w="1627" w:type="dxa"/>
            <w:vMerge/>
            <w:tcBorders>
              <w:top w:val="single" w:sz="8" w:space="0" w:color="000000"/>
              <w:left w:val="single" w:sz="8" w:space="0" w:color="000000"/>
              <w:bottom w:val="single" w:sz="8" w:space="0" w:color="000000"/>
              <w:right w:val="single" w:sz="8" w:space="0" w:color="000000"/>
            </w:tcBorders>
            <w:vAlign w:val="center"/>
          </w:tcPr>
          <w:p w:rsidR="003779EB" w:rsidRDefault="003779E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952F5E" w:rsidRPr="00C56F63" w:rsidTr="00952F5E">
        <w:tc>
          <w:tcPr>
            <w:tcW w:w="1627" w:type="dxa"/>
            <w:tcBorders>
              <w:top w:val="single" w:sz="8" w:space="0" w:color="000000"/>
              <w:left w:val="single" w:sz="8" w:space="0" w:color="000000"/>
              <w:bottom w:val="single" w:sz="8" w:space="0" w:color="000000"/>
              <w:right w:val="single" w:sz="8" w:space="0" w:color="000000"/>
            </w:tcBorders>
            <w:vAlign w:val="center"/>
          </w:tcPr>
          <w:p w:rsidR="003779EB" w:rsidRDefault="00815304">
            <w:pPr>
              <w:jc w:val="center"/>
            </w:pPr>
            <w:r>
              <w:rPr>
                <w:rFonts w:eastAsiaTheme="minorEastAsia"/>
                <w:bCs/>
                <w:color w:val="000000"/>
                <w:szCs w:val="21"/>
              </w:rPr>
              <w:t>218,542</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11,709.88</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501,563,503.47</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19.60%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2,057,537,807.31</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80.40%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8" w:name="_Toc39042127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78"/>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723,445.98</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0.0283%</w:t>
            </w:r>
          </w:p>
        </w:tc>
      </w:tr>
    </w:tbl>
    <w:p w:rsidR="006B65E1" w:rsidRPr="00C56F63" w:rsidRDefault="00945F2E">
      <w:pPr>
        <w:pStyle w:val="2"/>
        <w:spacing w:before="0" w:after="0" w:line="240" w:lineRule="auto"/>
        <w:rPr>
          <w:rFonts w:ascii="Times New Roman" w:eastAsiaTheme="minorEastAsia" w:hAnsi="Times New Roman"/>
          <w:sz w:val="21"/>
          <w:szCs w:val="21"/>
        </w:rPr>
      </w:pPr>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374540584"/>
      <w:bookmarkStart w:id="80" w:name="_Toc225500053"/>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79"/>
      <w:bookmarkEnd w:id="80"/>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2014</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10</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1,192,543,995.57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2,989,835,084.90</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505,258,041.33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935,991,815.45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2,559,101,310.78</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81" w:name="_Toc374540585"/>
      <w:bookmarkStart w:id="82" w:name="_Toc225500054"/>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81"/>
      <w:bookmarkEnd w:id="82"/>
    </w:p>
    <w:p w:rsidR="003E40F9" w:rsidRPr="00690ED2" w:rsidRDefault="003E40F9" w:rsidP="003E40F9">
      <w:pPr>
        <w:pStyle w:val="2"/>
        <w:spacing w:before="29" w:after="0" w:line="288" w:lineRule="auto"/>
        <w:rPr>
          <w:rFonts w:ascii="Times New Roman" w:hAnsi="Times New Roman"/>
          <w:kern w:val="0"/>
          <w:sz w:val="21"/>
          <w:szCs w:val="21"/>
        </w:rPr>
      </w:pPr>
      <w:bookmarkStart w:id="83" w:name="_Toc374438161"/>
      <w:bookmarkStart w:id="84" w:name="_Toc361324894"/>
      <w:bookmarkStart w:id="8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3"/>
      <w:bookmarkEnd w:id="8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86" w:name="_Toc374438162"/>
      <w:bookmarkStart w:id="87" w:name="_Toc361324895"/>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86"/>
      <w:bookmarkEnd w:id="87"/>
    </w:p>
    <w:p w:rsidR="003779EB" w:rsidRDefault="00815304">
      <w:pPr>
        <w:tabs>
          <w:tab w:val="left" w:pos="426"/>
        </w:tabs>
        <w:spacing w:before="29" w:line="288" w:lineRule="auto"/>
        <w:jc w:val="left"/>
        <w:rPr>
          <w:kern w:val="0"/>
          <w:szCs w:val="21"/>
        </w:rPr>
      </w:pPr>
      <w:r>
        <w:rPr>
          <w:kern w:val="0"/>
          <w:szCs w:val="21"/>
        </w:rPr>
        <w:t>基金管理人：</w:t>
      </w:r>
    </w:p>
    <w:p w:rsidR="003779EB" w:rsidRDefault="00815304">
      <w:pPr>
        <w:tabs>
          <w:tab w:val="left" w:pos="426"/>
        </w:tabs>
        <w:spacing w:before="29" w:line="288" w:lineRule="auto"/>
        <w:jc w:val="left"/>
        <w:rPr>
          <w:kern w:val="0"/>
          <w:szCs w:val="21"/>
        </w:rPr>
      </w:pPr>
      <w:r>
        <w:rPr>
          <w:kern w:val="0"/>
          <w:szCs w:val="21"/>
        </w:rPr>
        <w:t>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3779EB" w:rsidRDefault="00815304">
      <w:pPr>
        <w:tabs>
          <w:tab w:val="left" w:pos="426"/>
        </w:tabs>
        <w:spacing w:before="29" w:line="288" w:lineRule="auto"/>
        <w:jc w:val="left"/>
        <w:rPr>
          <w:kern w:val="0"/>
          <w:szCs w:val="21"/>
        </w:rPr>
      </w:pPr>
      <w:r>
        <w:rPr>
          <w:kern w:val="0"/>
          <w:szCs w:val="21"/>
        </w:rPr>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2019</w:t>
      </w:r>
      <w:r w:rsidRPr="00690ED2">
        <w:rPr>
          <w:kern w:val="0"/>
          <w:szCs w:val="21"/>
        </w:rPr>
        <w:t>年</w:t>
      </w:r>
      <w:r w:rsidRPr="00690ED2">
        <w:rPr>
          <w:kern w:val="0"/>
          <w:szCs w:val="21"/>
        </w:rPr>
        <w:t>5</w:t>
      </w:r>
      <w:r w:rsidRPr="00690ED2">
        <w:rPr>
          <w:kern w:val="0"/>
          <w:szCs w:val="21"/>
        </w:rPr>
        <w:t>月，陈四清先生因工作调动，辞去中国银行股份有限公司董事长职务。上述人事变动已按相关规定备案、公告。</w:t>
      </w:r>
    </w:p>
    <w:p w:rsidR="003E40F9" w:rsidRPr="00690ED2" w:rsidRDefault="003E40F9" w:rsidP="003E40F9">
      <w:pPr>
        <w:pStyle w:val="2"/>
        <w:spacing w:before="29" w:after="0" w:line="288" w:lineRule="auto"/>
        <w:rPr>
          <w:rFonts w:ascii="Times New Roman" w:hAnsi="Times New Roman"/>
          <w:kern w:val="0"/>
          <w:sz w:val="21"/>
          <w:szCs w:val="21"/>
        </w:rPr>
      </w:pPr>
      <w:bookmarkStart w:id="88" w:name="_Toc374438163"/>
      <w:bookmarkStart w:id="89" w:name="_Toc361324896"/>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88"/>
      <w:bookmarkEnd w:id="89"/>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90" w:name="_Toc374438164"/>
      <w:bookmarkStart w:id="91" w:name="_Toc361324897"/>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0"/>
      <w:bookmarkEnd w:id="9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92" w:name="_Toc409100103"/>
      <w:bookmarkStart w:id="93" w:name="_Toc40910046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2"/>
      <w:bookmarkEnd w:id="9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94" w:name="_Toc361324899"/>
      <w:bookmarkStart w:id="95" w:name="_Toc409100467"/>
      <w:bookmarkStart w:id="96" w:name="_Toc409100104"/>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94"/>
      <w:bookmarkEnd w:id="95"/>
      <w:bookmarkEnd w:id="96"/>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97" w:name="_Toc409100105"/>
      <w:bookmarkStart w:id="98" w:name="_Toc409100468"/>
      <w:bookmarkStart w:id="99" w:name="_Toc361324900"/>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97"/>
      <w:bookmarkEnd w:id="98"/>
      <w:bookmarkEnd w:id="99"/>
    </w:p>
    <w:p w:rsidR="003E40F9" w:rsidRPr="00690ED2" w:rsidRDefault="003E40F9" w:rsidP="003E40F9">
      <w:pPr>
        <w:tabs>
          <w:tab w:val="left" w:pos="426"/>
        </w:tabs>
        <w:spacing w:before="29" w:line="288" w:lineRule="auto"/>
        <w:jc w:val="left"/>
        <w:rPr>
          <w:b/>
          <w:kern w:val="0"/>
          <w:szCs w:val="21"/>
        </w:rPr>
      </w:pPr>
      <w:bookmarkStart w:id="100" w:name="_Toc249760070"/>
      <w:r w:rsidRPr="00690ED2">
        <w:rPr>
          <w:b/>
          <w:kern w:val="0"/>
          <w:szCs w:val="21"/>
        </w:rPr>
        <w:t>10.7.1</w:t>
      </w:r>
      <w:r w:rsidRPr="00690ED2">
        <w:rPr>
          <w:rFonts w:hint="eastAsia"/>
          <w:b/>
          <w:kern w:val="0"/>
          <w:szCs w:val="21"/>
        </w:rPr>
        <w:t>基金租用证券公司交易单元进行股票投资及佣金支付情况</w:t>
      </w:r>
      <w:bookmarkEnd w:id="100"/>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01"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3779EB">
        <w:tc>
          <w:tcPr>
            <w:tcW w:w="1560" w:type="dxa"/>
            <w:vAlign w:val="center"/>
          </w:tcPr>
          <w:p w:rsidR="003779EB" w:rsidRDefault="00815304">
            <w:pPr>
              <w:jc w:val="left"/>
            </w:pPr>
            <w:r>
              <w:rPr>
                <w:rFonts w:eastAsiaTheme="minorEastAsia"/>
                <w:szCs w:val="21"/>
              </w:rPr>
              <w:t>天风证券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2,685,467,563.06</w:t>
            </w:r>
          </w:p>
        </w:tc>
        <w:tc>
          <w:tcPr>
            <w:tcW w:w="1080" w:type="dxa"/>
            <w:vAlign w:val="center"/>
          </w:tcPr>
          <w:p w:rsidR="003779EB" w:rsidRDefault="00815304">
            <w:pPr>
              <w:jc w:val="right"/>
            </w:pPr>
            <w:r>
              <w:rPr>
                <w:rFonts w:eastAsiaTheme="minorEastAsia"/>
                <w:szCs w:val="21"/>
              </w:rPr>
              <w:t>22.98%</w:t>
            </w:r>
          </w:p>
        </w:tc>
        <w:tc>
          <w:tcPr>
            <w:tcW w:w="1620" w:type="dxa"/>
            <w:vAlign w:val="center"/>
          </w:tcPr>
          <w:p w:rsidR="003779EB" w:rsidRDefault="00815304">
            <w:pPr>
              <w:jc w:val="right"/>
            </w:pPr>
            <w:r>
              <w:rPr>
                <w:rFonts w:eastAsiaTheme="minorEastAsia"/>
                <w:szCs w:val="21"/>
              </w:rPr>
              <w:t>2,500,976.93</w:t>
            </w:r>
          </w:p>
        </w:tc>
        <w:tc>
          <w:tcPr>
            <w:tcW w:w="1080" w:type="dxa"/>
            <w:vAlign w:val="center"/>
          </w:tcPr>
          <w:p w:rsidR="003779EB" w:rsidRDefault="00815304">
            <w:pPr>
              <w:jc w:val="right"/>
            </w:pPr>
            <w:r>
              <w:rPr>
                <w:rFonts w:eastAsiaTheme="minorEastAsia"/>
                <w:szCs w:val="21"/>
              </w:rPr>
              <w:t>22.98%</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国泰君安</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2,621,136,206.97</w:t>
            </w:r>
          </w:p>
        </w:tc>
        <w:tc>
          <w:tcPr>
            <w:tcW w:w="1080" w:type="dxa"/>
            <w:vAlign w:val="center"/>
          </w:tcPr>
          <w:p w:rsidR="003779EB" w:rsidRDefault="00815304">
            <w:pPr>
              <w:jc w:val="right"/>
            </w:pPr>
            <w:r>
              <w:rPr>
                <w:rFonts w:eastAsiaTheme="minorEastAsia"/>
                <w:szCs w:val="21"/>
              </w:rPr>
              <w:t>22.43%</w:t>
            </w:r>
          </w:p>
        </w:tc>
        <w:tc>
          <w:tcPr>
            <w:tcW w:w="1620" w:type="dxa"/>
            <w:vAlign w:val="center"/>
          </w:tcPr>
          <w:p w:rsidR="003779EB" w:rsidRDefault="00815304">
            <w:pPr>
              <w:jc w:val="right"/>
            </w:pPr>
            <w:r>
              <w:rPr>
                <w:rFonts w:eastAsiaTheme="minorEastAsia"/>
                <w:szCs w:val="21"/>
              </w:rPr>
              <w:t>2,441,048.80</w:t>
            </w:r>
          </w:p>
        </w:tc>
        <w:tc>
          <w:tcPr>
            <w:tcW w:w="1080" w:type="dxa"/>
            <w:vAlign w:val="center"/>
          </w:tcPr>
          <w:p w:rsidR="003779EB" w:rsidRDefault="00815304">
            <w:pPr>
              <w:jc w:val="right"/>
            </w:pPr>
            <w:r>
              <w:rPr>
                <w:rFonts w:eastAsiaTheme="minorEastAsia"/>
                <w:szCs w:val="21"/>
              </w:rPr>
              <w:t>22.43%</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中信证券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1,926,893,614.37</w:t>
            </w:r>
          </w:p>
        </w:tc>
        <w:tc>
          <w:tcPr>
            <w:tcW w:w="1080" w:type="dxa"/>
            <w:vAlign w:val="center"/>
          </w:tcPr>
          <w:p w:rsidR="003779EB" w:rsidRDefault="00815304">
            <w:pPr>
              <w:jc w:val="right"/>
            </w:pPr>
            <w:r>
              <w:rPr>
                <w:rFonts w:eastAsiaTheme="minorEastAsia"/>
                <w:szCs w:val="21"/>
              </w:rPr>
              <w:t>16.49%</w:t>
            </w:r>
          </w:p>
        </w:tc>
        <w:tc>
          <w:tcPr>
            <w:tcW w:w="1620" w:type="dxa"/>
            <w:vAlign w:val="center"/>
          </w:tcPr>
          <w:p w:rsidR="003779EB" w:rsidRDefault="00815304">
            <w:pPr>
              <w:jc w:val="right"/>
            </w:pPr>
            <w:r>
              <w:rPr>
                <w:rFonts w:eastAsiaTheme="minorEastAsia"/>
                <w:szCs w:val="21"/>
              </w:rPr>
              <w:t>1,794,520.06</w:t>
            </w:r>
          </w:p>
        </w:tc>
        <w:tc>
          <w:tcPr>
            <w:tcW w:w="1080" w:type="dxa"/>
            <w:vAlign w:val="center"/>
          </w:tcPr>
          <w:p w:rsidR="003779EB" w:rsidRDefault="00815304">
            <w:pPr>
              <w:jc w:val="right"/>
            </w:pPr>
            <w:r>
              <w:rPr>
                <w:rFonts w:eastAsiaTheme="minorEastAsia"/>
                <w:szCs w:val="21"/>
              </w:rPr>
              <w:t>16.49%</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长江证券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1,901,113,013.24</w:t>
            </w:r>
          </w:p>
        </w:tc>
        <w:tc>
          <w:tcPr>
            <w:tcW w:w="1080" w:type="dxa"/>
            <w:vAlign w:val="center"/>
          </w:tcPr>
          <w:p w:rsidR="003779EB" w:rsidRDefault="00815304">
            <w:pPr>
              <w:jc w:val="right"/>
            </w:pPr>
            <w:r>
              <w:rPr>
                <w:rFonts w:eastAsiaTheme="minorEastAsia"/>
                <w:szCs w:val="21"/>
              </w:rPr>
              <w:t>16.27%</w:t>
            </w:r>
          </w:p>
        </w:tc>
        <w:tc>
          <w:tcPr>
            <w:tcW w:w="1620" w:type="dxa"/>
            <w:vAlign w:val="center"/>
          </w:tcPr>
          <w:p w:rsidR="003779EB" w:rsidRDefault="00815304">
            <w:pPr>
              <w:jc w:val="right"/>
            </w:pPr>
            <w:r>
              <w:rPr>
                <w:rFonts w:eastAsiaTheme="minorEastAsia"/>
                <w:szCs w:val="21"/>
              </w:rPr>
              <w:t>1,770,502.62</w:t>
            </w:r>
          </w:p>
        </w:tc>
        <w:tc>
          <w:tcPr>
            <w:tcW w:w="1080" w:type="dxa"/>
            <w:vAlign w:val="center"/>
          </w:tcPr>
          <w:p w:rsidR="003779EB" w:rsidRDefault="00815304">
            <w:pPr>
              <w:jc w:val="right"/>
            </w:pPr>
            <w:r>
              <w:rPr>
                <w:rFonts w:eastAsiaTheme="minorEastAsia"/>
                <w:szCs w:val="21"/>
              </w:rPr>
              <w:t>16.27%</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广发证券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1,742,311,831.22</w:t>
            </w:r>
          </w:p>
        </w:tc>
        <w:tc>
          <w:tcPr>
            <w:tcW w:w="1080" w:type="dxa"/>
            <w:vAlign w:val="center"/>
          </w:tcPr>
          <w:p w:rsidR="003779EB" w:rsidRDefault="00815304">
            <w:pPr>
              <w:jc w:val="right"/>
            </w:pPr>
            <w:r>
              <w:rPr>
                <w:rFonts w:eastAsiaTheme="minorEastAsia"/>
                <w:szCs w:val="21"/>
              </w:rPr>
              <w:t>14.91%</w:t>
            </w:r>
          </w:p>
        </w:tc>
        <w:tc>
          <w:tcPr>
            <w:tcW w:w="1620" w:type="dxa"/>
            <w:vAlign w:val="center"/>
          </w:tcPr>
          <w:p w:rsidR="003779EB" w:rsidRDefault="00815304">
            <w:pPr>
              <w:jc w:val="right"/>
            </w:pPr>
            <w:r>
              <w:rPr>
                <w:rFonts w:eastAsiaTheme="minorEastAsia"/>
                <w:szCs w:val="21"/>
              </w:rPr>
              <w:t>1,622,615.40</w:t>
            </w:r>
          </w:p>
        </w:tc>
        <w:tc>
          <w:tcPr>
            <w:tcW w:w="1080" w:type="dxa"/>
            <w:vAlign w:val="center"/>
          </w:tcPr>
          <w:p w:rsidR="003779EB" w:rsidRDefault="00815304">
            <w:pPr>
              <w:jc w:val="right"/>
            </w:pPr>
            <w:r>
              <w:rPr>
                <w:rFonts w:eastAsiaTheme="minorEastAsia"/>
                <w:szCs w:val="21"/>
              </w:rPr>
              <w:t>14.91%</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华金证券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727,880,880.96</w:t>
            </w:r>
          </w:p>
        </w:tc>
        <w:tc>
          <w:tcPr>
            <w:tcW w:w="1080" w:type="dxa"/>
            <w:vAlign w:val="center"/>
          </w:tcPr>
          <w:p w:rsidR="003779EB" w:rsidRDefault="00815304">
            <w:pPr>
              <w:jc w:val="right"/>
            </w:pPr>
            <w:r>
              <w:rPr>
                <w:rFonts w:eastAsiaTheme="minorEastAsia"/>
                <w:szCs w:val="21"/>
              </w:rPr>
              <w:t>6.23%</w:t>
            </w:r>
          </w:p>
        </w:tc>
        <w:tc>
          <w:tcPr>
            <w:tcW w:w="1620" w:type="dxa"/>
            <w:vAlign w:val="center"/>
          </w:tcPr>
          <w:p w:rsidR="003779EB" w:rsidRDefault="00815304">
            <w:pPr>
              <w:jc w:val="right"/>
            </w:pPr>
            <w:r>
              <w:rPr>
                <w:rFonts w:eastAsiaTheme="minorEastAsia"/>
                <w:szCs w:val="21"/>
              </w:rPr>
              <w:t>677,875.53</w:t>
            </w:r>
          </w:p>
        </w:tc>
        <w:tc>
          <w:tcPr>
            <w:tcW w:w="1080" w:type="dxa"/>
            <w:vAlign w:val="center"/>
          </w:tcPr>
          <w:p w:rsidR="003779EB" w:rsidRDefault="00815304">
            <w:pPr>
              <w:jc w:val="right"/>
            </w:pPr>
            <w:r>
              <w:rPr>
                <w:rFonts w:eastAsiaTheme="minorEastAsia"/>
                <w:szCs w:val="21"/>
              </w:rPr>
              <w:t>6.23%</w:t>
            </w:r>
          </w:p>
        </w:tc>
        <w:tc>
          <w:tcPr>
            <w:tcW w:w="1080" w:type="dxa"/>
            <w:vAlign w:val="center"/>
          </w:tcPr>
          <w:p w:rsidR="003779EB" w:rsidRDefault="00815304">
            <w:pPr>
              <w:jc w:val="lef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西南证券</w:t>
            </w:r>
          </w:p>
        </w:tc>
        <w:tc>
          <w:tcPr>
            <w:tcW w:w="780" w:type="dxa"/>
            <w:vAlign w:val="center"/>
          </w:tcPr>
          <w:p w:rsidR="003779EB" w:rsidRDefault="00815304">
            <w:pPr>
              <w:jc w:val="right"/>
            </w:pPr>
            <w:r>
              <w:rPr>
                <w:rFonts w:eastAsiaTheme="minorEastAsia"/>
                <w:szCs w:val="21"/>
              </w:rPr>
              <w:t>1</w:t>
            </w:r>
          </w:p>
        </w:tc>
        <w:tc>
          <w:tcPr>
            <w:tcW w:w="1800" w:type="dxa"/>
            <w:vAlign w:val="center"/>
          </w:tcPr>
          <w:p w:rsidR="003779EB" w:rsidRDefault="00815304">
            <w:pPr>
              <w:jc w:val="right"/>
            </w:pPr>
            <w:r>
              <w:rPr>
                <w:rFonts w:eastAsiaTheme="minorEastAsia"/>
                <w:szCs w:val="21"/>
              </w:rPr>
              <w:t>83,005,050.73</w:t>
            </w:r>
          </w:p>
        </w:tc>
        <w:tc>
          <w:tcPr>
            <w:tcW w:w="1080" w:type="dxa"/>
            <w:vAlign w:val="center"/>
          </w:tcPr>
          <w:p w:rsidR="003779EB" w:rsidRDefault="00815304">
            <w:pPr>
              <w:jc w:val="right"/>
            </w:pPr>
            <w:r>
              <w:rPr>
                <w:rFonts w:eastAsiaTheme="minorEastAsia"/>
                <w:szCs w:val="21"/>
              </w:rPr>
              <w:t>0.71%</w:t>
            </w:r>
          </w:p>
        </w:tc>
        <w:tc>
          <w:tcPr>
            <w:tcW w:w="1620" w:type="dxa"/>
            <w:vAlign w:val="center"/>
          </w:tcPr>
          <w:p w:rsidR="003779EB" w:rsidRDefault="00815304">
            <w:pPr>
              <w:jc w:val="right"/>
            </w:pPr>
            <w:r>
              <w:rPr>
                <w:rFonts w:eastAsiaTheme="minorEastAsia"/>
                <w:szCs w:val="21"/>
              </w:rPr>
              <w:t>77,302.84</w:t>
            </w:r>
          </w:p>
        </w:tc>
        <w:tc>
          <w:tcPr>
            <w:tcW w:w="1080" w:type="dxa"/>
            <w:vAlign w:val="center"/>
          </w:tcPr>
          <w:p w:rsidR="003779EB" w:rsidRDefault="00815304">
            <w:pPr>
              <w:jc w:val="right"/>
            </w:pPr>
            <w:r>
              <w:rPr>
                <w:rFonts w:eastAsiaTheme="minorEastAsia"/>
                <w:szCs w:val="21"/>
              </w:rPr>
              <w:t>0.71%</w:t>
            </w:r>
          </w:p>
        </w:tc>
        <w:tc>
          <w:tcPr>
            <w:tcW w:w="1080" w:type="dxa"/>
            <w:vAlign w:val="center"/>
          </w:tcPr>
          <w:p w:rsidR="003779EB" w:rsidRDefault="00815304">
            <w:pPr>
              <w:jc w:val="left"/>
            </w:pPr>
            <w:r>
              <w:rPr>
                <w:rFonts w:eastAsiaTheme="minorEastAsia"/>
                <w:szCs w:val="21"/>
              </w:rPr>
              <w:t>-</w:t>
            </w:r>
          </w:p>
        </w:tc>
      </w:tr>
    </w:tbl>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3779EB" w:rsidRDefault="0081530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02" w:name="_Toc249707408"/>
      <w:bookmarkEnd w:id="101"/>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0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3779EB">
        <w:tc>
          <w:tcPr>
            <w:tcW w:w="1560" w:type="dxa"/>
            <w:vAlign w:val="center"/>
          </w:tcPr>
          <w:p w:rsidR="003779EB" w:rsidRDefault="00815304">
            <w:pPr>
              <w:jc w:val="left"/>
            </w:pPr>
            <w:r>
              <w:rPr>
                <w:rFonts w:eastAsiaTheme="minorEastAsia"/>
                <w:szCs w:val="21"/>
              </w:rPr>
              <w:t>天风证券</w:t>
            </w:r>
          </w:p>
        </w:tc>
        <w:tc>
          <w:tcPr>
            <w:tcW w:w="1320" w:type="dxa"/>
            <w:vAlign w:val="center"/>
          </w:tcPr>
          <w:p w:rsidR="003779EB" w:rsidRDefault="00815304">
            <w:pPr>
              <w:jc w:val="right"/>
            </w:pPr>
            <w:r>
              <w:rPr>
                <w:rFonts w:eastAsiaTheme="minorEastAsia"/>
                <w:szCs w:val="21"/>
              </w:rPr>
              <w:t>2,121,263.08</w:t>
            </w:r>
          </w:p>
        </w:tc>
        <w:tc>
          <w:tcPr>
            <w:tcW w:w="1080" w:type="dxa"/>
            <w:vAlign w:val="center"/>
          </w:tcPr>
          <w:p w:rsidR="003779EB" w:rsidRDefault="00815304">
            <w:pPr>
              <w:jc w:val="right"/>
            </w:pPr>
            <w:r>
              <w:rPr>
                <w:rFonts w:eastAsiaTheme="minorEastAsia"/>
                <w:szCs w:val="21"/>
              </w:rPr>
              <w:t>100.00%</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国泰君安</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561,800,000.00</w:t>
            </w:r>
          </w:p>
        </w:tc>
        <w:tc>
          <w:tcPr>
            <w:tcW w:w="1197" w:type="dxa"/>
            <w:vAlign w:val="center"/>
          </w:tcPr>
          <w:p w:rsidR="003779EB" w:rsidRDefault="00815304">
            <w:pPr>
              <w:jc w:val="right"/>
            </w:pPr>
            <w:r>
              <w:rPr>
                <w:rFonts w:eastAsiaTheme="minorEastAsia"/>
                <w:szCs w:val="21"/>
              </w:rPr>
              <w:t>35.91%</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中信证券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长江证券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786,800,000.00</w:t>
            </w:r>
          </w:p>
        </w:tc>
        <w:tc>
          <w:tcPr>
            <w:tcW w:w="1197" w:type="dxa"/>
            <w:vAlign w:val="center"/>
          </w:tcPr>
          <w:p w:rsidR="003779EB" w:rsidRDefault="00815304">
            <w:pPr>
              <w:jc w:val="right"/>
            </w:pPr>
            <w:r>
              <w:rPr>
                <w:rFonts w:eastAsiaTheme="minorEastAsia"/>
                <w:szCs w:val="21"/>
              </w:rPr>
              <w:t>50.29%</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广发证券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华金证券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215,900,000.00</w:t>
            </w:r>
          </w:p>
        </w:tc>
        <w:tc>
          <w:tcPr>
            <w:tcW w:w="1197" w:type="dxa"/>
            <w:vAlign w:val="center"/>
          </w:tcPr>
          <w:p w:rsidR="003779EB" w:rsidRDefault="00815304">
            <w:pPr>
              <w:jc w:val="right"/>
            </w:pPr>
            <w:r>
              <w:rPr>
                <w:rFonts w:eastAsiaTheme="minorEastAsia"/>
                <w:szCs w:val="21"/>
              </w:rPr>
              <w:t>13.80%</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r w:rsidR="003779EB">
        <w:tc>
          <w:tcPr>
            <w:tcW w:w="1560" w:type="dxa"/>
            <w:vAlign w:val="center"/>
          </w:tcPr>
          <w:p w:rsidR="003779EB" w:rsidRDefault="00815304">
            <w:pPr>
              <w:jc w:val="left"/>
            </w:pPr>
            <w:r>
              <w:rPr>
                <w:rFonts w:eastAsiaTheme="minorEastAsia"/>
                <w:szCs w:val="21"/>
              </w:rPr>
              <w:t>西南证券</w:t>
            </w:r>
          </w:p>
        </w:tc>
        <w:tc>
          <w:tcPr>
            <w:tcW w:w="1320" w:type="dxa"/>
            <w:vAlign w:val="center"/>
          </w:tcPr>
          <w:p w:rsidR="003779EB" w:rsidRDefault="00815304">
            <w:pPr>
              <w:jc w:val="right"/>
            </w:pPr>
            <w:r>
              <w:rPr>
                <w:rFonts w:eastAsiaTheme="minorEastAsia"/>
                <w:szCs w:val="21"/>
              </w:rPr>
              <w:t>-</w:t>
            </w:r>
          </w:p>
        </w:tc>
        <w:tc>
          <w:tcPr>
            <w:tcW w:w="1080" w:type="dxa"/>
            <w:vAlign w:val="center"/>
          </w:tcPr>
          <w:p w:rsidR="003779EB" w:rsidRDefault="00815304">
            <w:pPr>
              <w:jc w:val="right"/>
            </w:pPr>
            <w:r>
              <w:rPr>
                <w:rFonts w:eastAsiaTheme="minorEastAsia"/>
                <w:szCs w:val="21"/>
              </w:rPr>
              <w:t>-</w:t>
            </w:r>
          </w:p>
        </w:tc>
        <w:tc>
          <w:tcPr>
            <w:tcW w:w="1143" w:type="dxa"/>
            <w:vAlign w:val="center"/>
          </w:tcPr>
          <w:p w:rsidR="003779EB" w:rsidRDefault="00815304">
            <w:pPr>
              <w:jc w:val="right"/>
            </w:pPr>
            <w:r>
              <w:rPr>
                <w:rFonts w:eastAsiaTheme="minorEastAsia"/>
                <w:szCs w:val="21"/>
              </w:rPr>
              <w:t>-</w:t>
            </w:r>
          </w:p>
        </w:tc>
        <w:tc>
          <w:tcPr>
            <w:tcW w:w="1197" w:type="dxa"/>
            <w:vAlign w:val="center"/>
          </w:tcPr>
          <w:p w:rsidR="003779EB" w:rsidRDefault="00815304">
            <w:pPr>
              <w:jc w:val="right"/>
            </w:pPr>
            <w:r>
              <w:rPr>
                <w:rFonts w:eastAsiaTheme="minorEastAsia"/>
                <w:szCs w:val="21"/>
              </w:rPr>
              <w:t>-</w:t>
            </w:r>
          </w:p>
        </w:tc>
        <w:tc>
          <w:tcPr>
            <w:tcW w:w="1497" w:type="dxa"/>
            <w:vAlign w:val="center"/>
          </w:tcPr>
          <w:p w:rsidR="003779EB" w:rsidRDefault="00815304">
            <w:pPr>
              <w:jc w:val="right"/>
            </w:pPr>
            <w:r>
              <w:rPr>
                <w:rFonts w:eastAsiaTheme="minorEastAsia"/>
                <w:szCs w:val="21"/>
              </w:rPr>
              <w:t>-</w:t>
            </w:r>
          </w:p>
        </w:tc>
        <w:tc>
          <w:tcPr>
            <w:tcW w:w="1203" w:type="dxa"/>
            <w:vAlign w:val="center"/>
          </w:tcPr>
          <w:p w:rsidR="003779EB" w:rsidRDefault="00815304">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03" w:name="_Toc374540595"/>
      <w:bookmarkEnd w:id="85"/>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03"/>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55" w:rsidRDefault="00E52755" w:rsidP="006B65E1">
      <w:r>
        <w:separator/>
      </w:r>
    </w:p>
  </w:endnote>
  <w:endnote w:type="continuationSeparator" w:id="0">
    <w:p w:rsidR="00E52755" w:rsidRDefault="00E52755"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C15E25">
      <w:rPr>
        <w:noProof/>
        <w:kern w:val="0"/>
        <w:szCs w:val="21"/>
      </w:rPr>
      <w:t>28</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C15E25">
      <w:rPr>
        <w:noProof/>
        <w:kern w:val="0"/>
        <w:szCs w:val="21"/>
      </w:rPr>
      <w:t>28</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55" w:rsidRDefault="00E52755" w:rsidP="006B65E1">
      <w:r>
        <w:separator/>
      </w:r>
    </w:p>
  </w:footnote>
  <w:footnote w:type="continuationSeparator" w:id="0">
    <w:p w:rsidR="00E52755" w:rsidRDefault="00E52755" w:rsidP="006B65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上投摩根核心成长股票型证券投资基金</w:t>
    </w:r>
    <w:r>
      <w:t>2019</w:t>
    </w:r>
    <w:r>
      <w:t>年半年度报告</w:t>
    </w:r>
    <w:r w:rsidR="00952F5E">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2A8"/>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779EB"/>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304"/>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2F5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A30"/>
    <w:rsid w:val="00C152FE"/>
    <w:rsid w:val="00C15D1B"/>
    <w:rsid w:val="00C15E25"/>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9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3B075-224C-40BB-8EB4-0201C021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3287</Words>
  <Characters>18741</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Jasmine.Dai@Risk</cp:lastModifiedBy>
  <cp:revision>502</cp:revision>
  <cp:lastPrinted>2007-07-19T00:46:00Z</cp:lastPrinted>
  <dcterms:created xsi:type="dcterms:W3CDTF">2013-08-19T07:44:00Z</dcterms:created>
  <dcterms:modified xsi:type="dcterms:W3CDTF">2019-08-21T02:11:00Z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