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96A1B" w:rsidRDefault="00696A1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696A1B" w:rsidRDefault="00696A1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96A1B" w:rsidRDefault="00696A1B">
      <w:pPr>
        <w:spacing w:line="360" w:lineRule="auto"/>
        <w:jc w:val="center"/>
        <w:rPr>
          <w:rFonts w:hint="eastAsia"/>
        </w:rPr>
      </w:pPr>
      <w:r>
        <w:rPr>
          <w:rFonts w:ascii="宋体" w:hAnsi="宋体" w:hint="eastAsia"/>
          <w:b/>
          <w:bCs/>
          <w:color w:val="000000" w:themeColor="text1"/>
          <w:sz w:val="48"/>
          <w:szCs w:val="30"/>
        </w:rPr>
        <w:t>摩根双债增利债券型证券投资基金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96A1B" w:rsidRDefault="00696A1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96A1B" w:rsidRDefault="00696A1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6A1B" w:rsidRDefault="00696A1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96A1B" w:rsidRDefault="00696A1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中国农业银行股份有限公</w:t>
      </w:r>
      <w:r>
        <w:rPr>
          <w:rFonts w:ascii="宋体" w:hAnsi="宋体" w:hint="eastAsia"/>
          <w:b/>
          <w:bCs/>
          <w:sz w:val="28"/>
          <w:szCs w:val="30"/>
        </w:rPr>
        <w:t>司</w:t>
      </w:r>
    </w:p>
    <w:p w:rsidR="00696A1B" w:rsidRDefault="00696A1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96A1B" w:rsidRDefault="00696A1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696A1B" w:rsidRDefault="00696A1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基金托管人中国农业银行股份有限公司根据本基金合同约定，于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96A1B" w:rsidRDefault="00696A1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25"/>
        <w:gridCol w:w="1616"/>
        <w:gridCol w:w="1816"/>
      </w:tblGrid>
      <w:tr w:rsidR="00000000">
        <w:trPr>
          <w:divId w:val="73343239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696A1B" w:rsidRDefault="00696A1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szCs w:val="24"/>
                <w:lang w:eastAsia="zh-Hans"/>
              </w:rPr>
              <w:t>摩根双债增利债</w:t>
            </w:r>
            <w:r>
              <w:rPr>
                <w:rFonts w:ascii="宋体" w:hAnsi="宋体" w:hint="eastAsia"/>
                <w:szCs w:val="24"/>
                <w:lang w:eastAsia="zh-Hans"/>
              </w:rPr>
              <w:t>券</w:t>
            </w:r>
            <w:r>
              <w:rPr>
                <w:rFonts w:ascii="宋体" w:hAnsi="宋体" w:hint="eastAsia"/>
                <w:lang w:eastAsia="zh-Hans"/>
              </w:rPr>
              <w:t xml:space="preserve"> </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00037</w:t>
            </w:r>
            <w:r>
              <w:rPr>
                <w:rFonts w:ascii="宋体" w:hAnsi="宋体" w:hint="eastAsia"/>
                <w:lang w:eastAsia="zh-Hans"/>
              </w:rPr>
              <w:t>7</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契约型开放</w:t>
            </w:r>
            <w:r>
              <w:rPr>
                <w:rFonts w:ascii="宋体" w:hAnsi="宋体" w:hint="eastAsia"/>
                <w:lang w:eastAsia="zh-Hans"/>
              </w:rPr>
              <w:t>式</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2013</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12,696,845,557.1</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本基金以信用债和可转债为主要投资对象，在有效控制风险的基础上，力争获取超越业绩比较基准的投资收益</w:t>
            </w:r>
            <w:r>
              <w:rPr>
                <w:rFonts w:ascii="宋体" w:hAnsi="宋体" w:hint="eastAsia"/>
                <w:lang w:eastAsia="zh-Hans"/>
              </w:rPr>
              <w:t>。</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1</w:t>
            </w:r>
            <w:r>
              <w:rPr>
                <w:rFonts w:ascii="宋体" w:hAnsi="宋体" w:hint="eastAsia"/>
                <w:lang w:eastAsia="zh-Hans"/>
              </w:rPr>
              <w:t>、大类资产配置策略</w:t>
            </w:r>
            <w:r>
              <w:rPr>
                <w:rFonts w:ascii="宋体" w:hAnsi="宋体" w:hint="eastAsia"/>
                <w:lang w:eastAsia="zh-Hans"/>
              </w:rPr>
              <w:br/>
            </w:r>
            <w:r>
              <w:rPr>
                <w:rFonts w:ascii="宋体" w:hAnsi="宋体" w:hint="eastAsia"/>
                <w:lang w:eastAsia="zh-Hans"/>
              </w:rPr>
              <w:t>本基金将判断宏观经济周期所处阶段，并依据经济周期理论，结合对证券市场的系统性风险以及未来一段时期内各大类资产风险和预期收益率的评估，制定本基金在股票、债券、现金等大类资产之间的配置比例、调整原则。</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对不同类型固定收益品种的信用风险、税赋水平、市场流动性、市场风险等因素进行分析，研究同期限的国债、金融债、企业债、交易所和银行间市场投资品种的利差和变化趋势，评估不同债券板块之间的相对投资价值，确定债券类属配置策略，并根据市场变化及时进行调整。</w:t>
            </w:r>
            <w:r>
              <w:rPr>
                <w:rFonts w:ascii="宋体" w:hAnsi="宋体" w:hint="eastAsia"/>
                <w:lang w:eastAsia="zh-Hans"/>
              </w:rPr>
              <w:br/>
            </w:r>
            <w:r>
              <w:rPr>
                <w:rFonts w:ascii="宋体" w:hAnsi="宋体" w:hint="eastAsia"/>
                <w:lang w:eastAsia="zh-Hans"/>
              </w:rPr>
              <w:t>其他债券投资策略包括久期管理策略、收益率曲线策略、信用策略、可转债投资策略、回购策略、中小企业私募债券投资策略、资产支持证券投资策略。</w:t>
            </w:r>
            <w:r>
              <w:rPr>
                <w:rFonts w:ascii="宋体" w:hAnsi="宋体" w:hint="eastAsia"/>
                <w:lang w:eastAsia="zh-Hans"/>
              </w:rPr>
              <w:br/>
              <w:t>3</w:t>
            </w:r>
            <w:r>
              <w:rPr>
                <w:rFonts w:ascii="宋体" w:hAnsi="宋体" w:hint="eastAsia"/>
                <w:lang w:eastAsia="zh-Hans"/>
              </w:rPr>
              <w:t>、其他投资策略：包括股票投资策略、存托凭证投资策略</w:t>
            </w:r>
            <w:r>
              <w:rPr>
                <w:rFonts w:ascii="宋体" w:hAnsi="宋体" w:hint="eastAsia"/>
                <w:lang w:eastAsia="zh-Hans"/>
              </w:rPr>
              <w:t>。</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中证综合债券指</w:t>
            </w:r>
            <w:r>
              <w:rPr>
                <w:rFonts w:ascii="宋体" w:hAnsi="宋体" w:hint="eastAsia"/>
                <w:lang w:eastAsia="zh-Hans"/>
              </w:rPr>
              <w:t>数</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本基金为债券型基金，属于证券投资基金中的较低风险品种，预期风险和预期收益高于货币市场基金，低于混合型基金和股票型基金。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73343239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lang w:eastAsia="zh-Hans"/>
              </w:rPr>
              <w:t>中国农业银行股份有限公</w:t>
            </w:r>
            <w:r>
              <w:rPr>
                <w:rFonts w:ascii="宋体" w:hAnsi="宋体" w:hint="eastAsia"/>
                <w:lang w:eastAsia="zh-Hans"/>
              </w:rPr>
              <w:t>司</w:t>
            </w:r>
          </w:p>
        </w:tc>
      </w:tr>
      <w:tr w:rsidR="00000000">
        <w:trPr>
          <w:divId w:val="73343239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C</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D</w:t>
            </w:r>
            <w:r>
              <w:rPr>
                <w:rFonts w:ascii="宋体" w:hAnsi="宋体" w:hint="eastAsia"/>
                <w:kern w:val="0"/>
                <w:sz w:val="20"/>
                <w:lang w:eastAsia="zh-Hans"/>
              </w:rPr>
              <w:t xml:space="preserve"> </w:t>
            </w:r>
          </w:p>
        </w:tc>
      </w:tr>
      <w:tr w:rsidR="00000000">
        <w:trPr>
          <w:divId w:val="73343239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00037</w:t>
            </w:r>
            <w:r>
              <w:rPr>
                <w:rFonts w:ascii="宋体" w:hAnsi="宋体" w:hint="eastAsia"/>
                <w:lang w:eastAsia="zh-Hans"/>
              </w:rPr>
              <w:t>7</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00037</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lang w:eastAsia="zh-Hans"/>
              </w:rPr>
              <w:t>02381</w:t>
            </w:r>
            <w:r>
              <w:rPr>
                <w:rFonts w:ascii="宋体" w:hAnsi="宋体" w:hint="eastAsia"/>
                <w:lang w:eastAsia="zh-Hans"/>
              </w:rPr>
              <w:t>3</w:t>
            </w:r>
            <w:r>
              <w:rPr>
                <w:rFonts w:ascii="宋体" w:hAnsi="宋体" w:hint="eastAsia"/>
                <w:kern w:val="0"/>
                <w:sz w:val="20"/>
                <w:lang w:eastAsia="zh-Hans"/>
              </w:rPr>
              <w:t xml:space="preserve"> </w:t>
            </w:r>
          </w:p>
        </w:tc>
      </w:tr>
      <w:bookmarkEnd w:id="32"/>
      <w:bookmarkEnd w:id="33"/>
      <w:tr w:rsidR="00000000">
        <w:trPr>
          <w:divId w:val="73343239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696A1B" w:rsidRDefault="00696A1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2,070,022,699.4</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438,009,042.9</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10,188,813,814.7</w:t>
            </w:r>
            <w:r>
              <w:rPr>
                <w:rFonts w:ascii="宋体" w:hAnsi="宋体" w:hint="eastAsia"/>
                <w:lang w:eastAsia="zh-Hans"/>
              </w:rPr>
              <w:t>9</w:t>
            </w:r>
            <w:r>
              <w:rPr>
                <w:rFonts w:hint="eastAsia"/>
              </w:rPr>
              <w:t>份</w:t>
            </w:r>
            <w:r>
              <w:rPr>
                <w:rFonts w:ascii="宋体" w:hAnsi="宋体" w:hint="eastAsia"/>
                <w:lang w:eastAsia="zh-Hans"/>
              </w:rPr>
              <w:t xml:space="preserve"> </w:t>
            </w:r>
          </w:p>
        </w:tc>
      </w:tr>
    </w:tbl>
    <w:p w:rsidR="00696A1B" w:rsidRDefault="00696A1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696A1B" w:rsidRDefault="00696A1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696A1B" w:rsidRDefault="00696A1B">
      <w:pPr>
        <w:jc w:val="right"/>
        <w:divId w:val="149672917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2"/>
        <w:gridCol w:w="1971"/>
        <w:gridCol w:w="1971"/>
        <w:gridCol w:w="1971"/>
      </w:tblGrid>
      <w:tr w:rsidR="00000000">
        <w:trPr>
          <w:divId w:val="149672917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96A1B" w:rsidRDefault="00696A1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696A1B" w:rsidRDefault="00696A1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49672917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6A1B" w:rsidRDefault="00696A1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96A1B" w:rsidRDefault="00696A1B">
            <w:pPr>
              <w:jc w:val="center"/>
              <w:rPr>
                <w:rFonts w:hint="eastAsia"/>
              </w:rPr>
            </w:pPr>
            <w:r>
              <w:rPr>
                <w:rFonts w:ascii="宋体" w:hAnsi="宋体" w:hint="eastAsia"/>
                <w:szCs w:val="24"/>
                <w:lang w:eastAsia="zh-Hans"/>
              </w:rPr>
              <w:t>摩根双债增利债券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96A1B" w:rsidRDefault="00696A1B">
            <w:pPr>
              <w:jc w:val="center"/>
            </w:pPr>
            <w:r>
              <w:rPr>
                <w:rFonts w:ascii="宋体" w:hAnsi="宋体" w:hint="eastAsia"/>
                <w:szCs w:val="24"/>
                <w:lang w:eastAsia="zh-Hans"/>
              </w:rPr>
              <w:t>摩根双债增利债券</w:t>
            </w:r>
            <w:r>
              <w:rPr>
                <w:rFonts w:ascii="宋体" w:hAnsi="宋体" w:hint="eastAsia"/>
                <w:szCs w:val="24"/>
                <w:lang w:eastAsia="zh-Hans"/>
              </w:rPr>
              <w:t>C</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696A1B" w:rsidRDefault="00696A1B">
            <w:pPr>
              <w:jc w:val="center"/>
            </w:pPr>
            <w:r>
              <w:rPr>
                <w:rFonts w:ascii="宋体" w:hAnsi="宋体" w:hint="eastAsia"/>
                <w:szCs w:val="24"/>
                <w:lang w:eastAsia="zh-Hans"/>
              </w:rPr>
              <w:t>摩根双债增利债券</w:t>
            </w:r>
            <w:r>
              <w:rPr>
                <w:rFonts w:ascii="宋体" w:hAnsi="宋体" w:hint="eastAsia"/>
                <w:szCs w:val="24"/>
                <w:lang w:eastAsia="zh-Hans"/>
              </w:rPr>
              <w:t>D</w:t>
            </w:r>
          </w:p>
        </w:tc>
      </w:tr>
      <w:tr w:rsidR="00000000">
        <w:trPr>
          <w:divId w:val="14967291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rPr>
                <w:rFonts w:hint="eastAsia"/>
              </w:rPr>
            </w:pPr>
            <w:r>
              <w:rPr>
                <w:rFonts w:ascii="宋体" w:hAnsi="宋体" w:hint="eastAsia"/>
                <w:szCs w:val="24"/>
                <w:lang w:eastAsia="zh-Hans"/>
              </w:rPr>
              <w:t>24,028,409.5</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4,893,384.0</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118,251,344.1</w:t>
            </w:r>
            <w:r>
              <w:rPr>
                <w:rFonts w:ascii="宋体" w:hAnsi="宋体" w:hint="eastAsia"/>
                <w:szCs w:val="24"/>
                <w:lang w:eastAsia="zh-Hans"/>
              </w:rPr>
              <w:t>6</w:t>
            </w:r>
          </w:p>
        </w:tc>
      </w:tr>
      <w:tr w:rsidR="00000000">
        <w:trPr>
          <w:divId w:val="14967291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rPr>
                <w:rFonts w:hint="eastAsia"/>
              </w:rPr>
            </w:pPr>
            <w:r>
              <w:rPr>
                <w:rFonts w:ascii="宋体" w:hAnsi="宋体" w:hint="eastAsia"/>
                <w:szCs w:val="24"/>
                <w:lang w:eastAsia="zh-Hans"/>
              </w:rPr>
              <w:t>22,111,912.3</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2,968,648.1</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113,149,898.4</w:t>
            </w:r>
            <w:r>
              <w:rPr>
                <w:rFonts w:ascii="宋体" w:hAnsi="宋体" w:hint="eastAsia"/>
                <w:szCs w:val="24"/>
                <w:lang w:eastAsia="zh-Hans"/>
              </w:rPr>
              <w:t>2</w:t>
            </w:r>
          </w:p>
        </w:tc>
      </w:tr>
      <w:tr w:rsidR="00000000">
        <w:trPr>
          <w:divId w:val="14967291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rPr>
                <w:rFonts w:hint="eastAsia"/>
              </w:rPr>
            </w:pPr>
            <w:r>
              <w:rPr>
                <w:rFonts w:ascii="宋体" w:hAnsi="宋体" w:hint="eastAsia"/>
                <w:szCs w:val="24"/>
                <w:lang w:eastAsia="zh-Hans"/>
              </w:rPr>
              <w:t>0.014</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0.008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0.015</w:t>
            </w:r>
            <w:r>
              <w:rPr>
                <w:rFonts w:ascii="宋体" w:hAnsi="宋体" w:hint="eastAsia"/>
                <w:szCs w:val="24"/>
                <w:lang w:eastAsia="zh-Hans"/>
              </w:rPr>
              <w:t>2</w:t>
            </w:r>
          </w:p>
        </w:tc>
      </w:tr>
      <w:tr w:rsidR="00000000">
        <w:trPr>
          <w:divId w:val="14967291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rPr>
                <w:rFonts w:hint="eastAsia"/>
              </w:rPr>
            </w:pPr>
            <w:r>
              <w:rPr>
                <w:rFonts w:ascii="宋体" w:hAnsi="宋体" w:hint="eastAsia"/>
                <w:szCs w:val="24"/>
                <w:lang w:eastAsia="zh-Hans"/>
              </w:rPr>
              <w:t>2,539,423,515.0</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532,585,922.5</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12,499,845,441.0</w:t>
            </w:r>
            <w:r>
              <w:rPr>
                <w:rFonts w:ascii="宋体" w:hAnsi="宋体" w:hint="eastAsia"/>
                <w:szCs w:val="24"/>
                <w:lang w:eastAsia="zh-Hans"/>
              </w:rPr>
              <w:t>0</w:t>
            </w:r>
          </w:p>
        </w:tc>
      </w:tr>
      <w:tr w:rsidR="00000000">
        <w:trPr>
          <w:divId w:val="14967291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rPr>
                <w:rFonts w:hint="eastAsia"/>
              </w:rPr>
            </w:pPr>
            <w:r>
              <w:rPr>
                <w:rFonts w:ascii="宋体" w:hAnsi="宋体" w:hint="eastAsia"/>
                <w:szCs w:val="24"/>
                <w:lang w:eastAsia="zh-Hans"/>
              </w:rPr>
              <w:t>1.226</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1.215</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696A1B" w:rsidRDefault="00696A1B">
            <w:pPr>
              <w:jc w:val="right"/>
            </w:pPr>
            <w:r>
              <w:rPr>
                <w:rFonts w:ascii="宋体" w:hAnsi="宋体" w:hint="eastAsia"/>
                <w:szCs w:val="24"/>
                <w:lang w:eastAsia="zh-Hans"/>
              </w:rPr>
              <w:t>1.226</w:t>
            </w:r>
            <w:r>
              <w:rPr>
                <w:rFonts w:ascii="宋体" w:hAnsi="宋体" w:hint="eastAsia"/>
                <w:szCs w:val="24"/>
                <w:lang w:eastAsia="zh-Hans"/>
              </w:rPr>
              <w:t>8</w:t>
            </w:r>
          </w:p>
        </w:tc>
      </w:tr>
    </w:tbl>
    <w:p w:rsidR="00696A1B" w:rsidRDefault="00696A1B">
      <w:pPr>
        <w:wordWrap w:val="0"/>
        <w:spacing w:line="360" w:lineRule="auto"/>
        <w:jc w:val="left"/>
        <w:divId w:val="331760588"/>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696A1B" w:rsidRDefault="00696A1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696A1B" w:rsidRDefault="00696A1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696A1B" w:rsidRDefault="00696A1B">
      <w:pPr>
        <w:spacing w:line="360" w:lineRule="auto"/>
        <w:jc w:val="center"/>
        <w:divId w:val="1832482299"/>
        <w:rPr>
          <w:rFonts w:hint="eastAsia"/>
        </w:rPr>
      </w:pPr>
      <w:r>
        <w:rPr>
          <w:rFonts w:ascii="宋体" w:hAnsi="宋体" w:hint="eastAsia"/>
        </w:rPr>
        <w:t>摩根双债增利债券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3248229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②－④</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2.1</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1</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3.7</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8.2</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6.6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16.7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3.6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8</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16.8</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23.6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-6.7</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24.8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33.4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-8.6</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8</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25.7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48.3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-22.6</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18324822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88.5</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74.6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13.9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r>
    </w:tbl>
    <w:p w:rsidR="00696A1B" w:rsidRDefault="00696A1B">
      <w:pPr>
        <w:spacing w:line="360" w:lineRule="auto"/>
        <w:jc w:val="center"/>
        <w:divId w:val="538006153"/>
      </w:pPr>
      <w:r>
        <w:rPr>
          <w:rFonts w:ascii="宋体" w:hAnsi="宋体" w:hint="eastAsia"/>
        </w:rPr>
        <w:t>摩根双债增利债券</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3800615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0.8</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1.5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7.8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6.2</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15.3</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2.2</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8</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14.4</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23.6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-9.1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21.2</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33.4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-12.1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8</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20.5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48.3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-27.8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r w:rsidR="00000000">
        <w:trPr>
          <w:divId w:val="53800615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79.8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74.6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5.2</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0.3</w:t>
            </w:r>
            <w:r>
              <w:rPr>
                <w:rFonts w:ascii="宋体" w:hAnsi="宋体" w:hint="eastAsia"/>
              </w:rPr>
              <w:t>1</w:t>
            </w:r>
            <w:r>
              <w:rPr>
                <w:rFonts w:ascii="宋体" w:hAnsi="宋体" w:hint="eastAsia"/>
              </w:rPr>
              <w:t>%</w:t>
            </w:r>
            <w:r>
              <w:rPr>
                <w:rFonts w:ascii="宋体" w:hAnsi="宋体" w:hint="eastAsia"/>
              </w:rPr>
              <w:t xml:space="preserve"> </w:t>
            </w:r>
          </w:p>
        </w:tc>
      </w:tr>
    </w:tbl>
    <w:p w:rsidR="00696A1B" w:rsidRDefault="00696A1B">
      <w:pPr>
        <w:spacing w:line="360" w:lineRule="auto"/>
        <w:jc w:val="center"/>
        <w:divId w:val="545680625"/>
      </w:pPr>
      <w:r>
        <w:rPr>
          <w:rFonts w:ascii="宋体" w:hAnsi="宋体" w:hint="eastAsia"/>
        </w:rPr>
        <w:t>摩根双债增利债券</w:t>
      </w:r>
      <w:r>
        <w:rPr>
          <w:rFonts w:ascii="宋体" w:hAnsi="宋体" w:hint="eastAsia"/>
        </w:rPr>
        <w:t>D</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54568062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5456806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2.1</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1</w:t>
            </w:r>
            <w:r>
              <w:rPr>
                <w:rFonts w:ascii="宋体" w:hAnsi="宋体" w:hint="eastAsia"/>
              </w:rPr>
              <w:t>%</w:t>
            </w:r>
            <w:r>
              <w:rPr>
                <w:rFonts w:ascii="宋体" w:hAnsi="宋体" w:hint="eastAsia"/>
              </w:rPr>
              <w:t xml:space="preserve"> </w:t>
            </w:r>
          </w:p>
        </w:tc>
      </w:tr>
      <w:tr w:rsidR="00000000">
        <w:trPr>
          <w:divId w:val="5456806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3.7</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1.7</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r>
      <w:tr w:rsidR="00000000">
        <w:trPr>
          <w:divId w:val="5456806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8.2</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6.6</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r>
      <w:tr w:rsidR="00000000">
        <w:trPr>
          <w:divId w:val="54568062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11.6</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3.4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696A1B" w:rsidRDefault="00696A1B">
            <w:pPr>
              <w:spacing w:line="360" w:lineRule="auto"/>
              <w:jc w:val="right"/>
            </w:pPr>
            <w:r>
              <w:rPr>
                <w:rFonts w:ascii="宋体" w:hAnsi="宋体" w:hint="eastAsia"/>
              </w:rPr>
              <w:t>8.1</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bl>
    <w:p w:rsidR="00696A1B" w:rsidRDefault="00696A1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696A1B" w:rsidRDefault="00696A1B">
      <w:pPr>
        <w:spacing w:line="360" w:lineRule="auto"/>
        <w:jc w:val="left"/>
        <w:divId w:val="693574437"/>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96A1B" w:rsidRDefault="00696A1B">
      <w:pPr>
        <w:spacing w:line="360" w:lineRule="auto"/>
        <w:jc w:val="left"/>
        <w:divId w:val="164836490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96A1B" w:rsidRDefault="00696A1B">
      <w:pPr>
        <w:spacing w:line="360" w:lineRule="auto"/>
        <w:jc w:val="left"/>
        <w:divId w:val="954753820"/>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696A1B" w:rsidRDefault="00696A1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2013</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2025</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日起增加</w:t>
      </w:r>
      <w:r>
        <w:rPr>
          <w:rFonts w:ascii="宋体" w:hAnsi="宋体" w:hint="eastAsia"/>
          <w:lang w:eastAsia="zh-Hans"/>
        </w:rPr>
        <w:t>D</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696A1B" w:rsidRDefault="00696A1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696A1B" w:rsidRDefault="00696A1B">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9430845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9430845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6A1B" w:rsidRDefault="00696A1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6A1B" w:rsidRDefault="00696A1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6A1B" w:rsidRDefault="00696A1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6A1B" w:rsidRDefault="00696A1B">
            <w:pPr>
              <w:widowControl/>
              <w:jc w:val="left"/>
            </w:pPr>
          </w:p>
        </w:tc>
      </w:tr>
      <w:tr w:rsidR="00000000">
        <w:trPr>
          <w:divId w:val="69430845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周梦</w:t>
            </w:r>
            <w:r>
              <w:rPr>
                <w:rFonts w:ascii="宋体" w:hAnsi="宋体" w:hint="eastAsia"/>
                <w:szCs w:val="24"/>
                <w:lang w:eastAsia="zh-Hans"/>
              </w:rPr>
              <w:t>婕</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16</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szCs w:val="24"/>
                <w:lang w:eastAsia="zh-Hans"/>
              </w:rPr>
              <w:t>周梦婕女士曾任东方证券资产管理有限公司产品经理，长江证券股份有限公司投资经理助理，长江证券（上海）资产管理公司固定收益研究员、交易员，中海基金管理有限公司担任基金经理助理、基金经理。</w:t>
            </w: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月加入摩根基金管理（中国）有限公司（原上投摩根基金管理有限公司），现任基金经理</w:t>
            </w:r>
            <w:r>
              <w:rPr>
                <w:rFonts w:ascii="宋体" w:hAnsi="宋体" w:hint="eastAsia"/>
                <w:szCs w:val="24"/>
                <w:lang w:eastAsia="zh-Hans"/>
              </w:rPr>
              <w:t>。</w:t>
            </w:r>
          </w:p>
        </w:tc>
      </w:tr>
      <w:tr w:rsidR="00000000">
        <w:trPr>
          <w:divId w:val="69430845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任</w:t>
            </w:r>
            <w:r>
              <w:rPr>
                <w:rFonts w:ascii="宋体" w:hAnsi="宋体" w:hint="eastAsia"/>
                <w:szCs w:val="24"/>
                <w:lang w:eastAsia="zh-Hans"/>
              </w:rPr>
              <w:t>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szCs w:val="24"/>
                <w:lang w:eastAsia="zh-Hans"/>
              </w:rPr>
              <w:t>任翔先生曾任德勤华永会计师事务所有限公司高级审计师，汇丰银行（中国）有限公司客户审计经理。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起加入摩根基金管理（中国）有限公司（原上投摩根基金管理有限公司），历任研究员、投资经理助理、投资经理兼债券研究部副总监、投资经理兼固收研究部总监、债券投资部资深基金经理兼固收研究部总监，现任债券投资部资深基金经理</w:t>
            </w:r>
            <w:r>
              <w:rPr>
                <w:rFonts w:ascii="宋体" w:hAnsi="宋体" w:hint="eastAsia"/>
                <w:szCs w:val="24"/>
                <w:lang w:eastAsia="zh-Hans"/>
              </w:rPr>
              <w:t>。</w:t>
            </w:r>
          </w:p>
        </w:tc>
      </w:tr>
    </w:tbl>
    <w:p w:rsidR="00696A1B" w:rsidRDefault="00696A1B">
      <w:pPr>
        <w:wordWrap w:val="0"/>
        <w:spacing w:line="360" w:lineRule="auto"/>
        <w:jc w:val="left"/>
        <w:divId w:val="29945681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96A1B" w:rsidRDefault="00696A1B">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696A1B" w:rsidRDefault="00696A1B">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96A1B" w:rsidRDefault="00696A1B">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696A1B" w:rsidRDefault="00696A1B">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696A1B" w:rsidRDefault="00696A1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696A1B" w:rsidRDefault="00696A1B">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696A1B" w:rsidRDefault="00696A1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96A1B" w:rsidRDefault="00696A1B">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年二季度，债券市场在经济弱修复与流动性合理充裕的支撑下震荡走强。</w:t>
      </w:r>
      <w:r>
        <w:rPr>
          <w:rFonts w:ascii="宋体" w:hAnsi="宋体" w:cs="宋体" w:hint="eastAsia"/>
          <w:color w:val="000000"/>
          <w:kern w:val="0"/>
        </w:rPr>
        <w:t>4-5</w:t>
      </w:r>
      <w:r>
        <w:rPr>
          <w:rFonts w:ascii="宋体" w:hAnsi="宋体" w:cs="宋体" w:hint="eastAsia"/>
          <w:color w:val="000000"/>
          <w:kern w:val="0"/>
        </w:rPr>
        <w:t>月，通胀预期降温与实体融资偏弱共振，大行资金融出充裕，流动性自发宽裕驱动收益率全面下行，期限利差深度压缩，券商、基金偏好长久期，中小行则持续止盈。</w:t>
      </w:r>
      <w:r>
        <w:rPr>
          <w:rFonts w:ascii="宋体" w:hAnsi="宋体" w:cs="宋体" w:hint="eastAsia"/>
          <w:color w:val="000000"/>
          <w:kern w:val="0"/>
        </w:rPr>
        <w:t>6</w:t>
      </w:r>
      <w:r>
        <w:rPr>
          <w:rFonts w:ascii="宋体" w:hAnsi="宋体" w:cs="宋体" w:hint="eastAsia"/>
          <w:color w:val="000000"/>
          <w:kern w:val="0"/>
        </w:rPr>
        <w:t>月以来，随着年中缴税及监管影响，资金面边际收敛，</w:t>
      </w:r>
      <w:r>
        <w:rPr>
          <w:rFonts w:ascii="宋体" w:hAnsi="宋体" w:cs="宋体" w:hint="eastAsia"/>
          <w:color w:val="000000"/>
          <w:kern w:val="0"/>
        </w:rPr>
        <w:t>DR001</w:t>
      </w:r>
      <w:r>
        <w:rPr>
          <w:rFonts w:ascii="宋体" w:hAnsi="宋体" w:cs="宋体" w:hint="eastAsia"/>
          <w:color w:val="000000"/>
          <w:kern w:val="0"/>
        </w:rPr>
        <w:t>及</w:t>
      </w:r>
      <w:r>
        <w:rPr>
          <w:rFonts w:ascii="宋体" w:hAnsi="宋体" w:cs="宋体" w:hint="eastAsia"/>
          <w:color w:val="000000"/>
          <w:kern w:val="0"/>
        </w:rPr>
        <w:t>DR007</w:t>
      </w:r>
      <w:r>
        <w:rPr>
          <w:rFonts w:ascii="宋体" w:hAnsi="宋体" w:cs="宋体" w:hint="eastAsia"/>
          <w:color w:val="000000"/>
          <w:kern w:val="0"/>
        </w:rPr>
        <w:t>向政策利率靠拢；但央行通过公开市场操作“削峰填谷”精准呵护跨季流动性，叠加海外主要央行利率决议落地、国内物价数据小幅波动，市场多空力量形成均衡，</w:t>
      </w:r>
      <w:r>
        <w:rPr>
          <w:rFonts w:ascii="宋体" w:hAnsi="宋体" w:cs="宋体" w:hint="eastAsia"/>
          <w:color w:val="000000"/>
          <w:kern w:val="0"/>
        </w:rPr>
        <w:t>10</w:t>
      </w:r>
      <w:r>
        <w:rPr>
          <w:rFonts w:ascii="宋体" w:hAnsi="宋体" w:cs="宋体" w:hint="eastAsia"/>
          <w:color w:val="000000"/>
          <w:kern w:val="0"/>
        </w:rPr>
        <w:t>年期国债利率最终维持在</w:t>
      </w:r>
      <w:r>
        <w:rPr>
          <w:rFonts w:ascii="宋体" w:hAnsi="宋体" w:cs="宋体" w:hint="eastAsia"/>
          <w:color w:val="000000"/>
          <w:kern w:val="0"/>
        </w:rPr>
        <w:t>1.70%-1.75%</w:t>
      </w:r>
      <w:r>
        <w:rPr>
          <w:rFonts w:ascii="宋体" w:hAnsi="宋体" w:cs="宋体" w:hint="eastAsia"/>
          <w:color w:val="000000"/>
          <w:kern w:val="0"/>
        </w:rPr>
        <w:t>的区间窄幅震荡。</w:t>
      </w:r>
      <w:r>
        <w:rPr>
          <w:rFonts w:ascii="宋体" w:hAnsi="宋体" w:cs="宋体" w:hint="eastAsia"/>
          <w:color w:val="000000"/>
          <w:kern w:val="0"/>
        </w:rPr>
        <w:br/>
      </w:r>
      <w:r>
        <w:rPr>
          <w:rFonts w:ascii="宋体" w:hAnsi="宋体" w:cs="宋体" w:hint="eastAsia"/>
          <w:color w:val="000000"/>
          <w:kern w:val="0"/>
        </w:rPr>
        <w:t xml:space="preserve">　　权益市场则深度映射了基本面的</w:t>
      </w:r>
      <w:r>
        <w:rPr>
          <w:rFonts w:ascii="宋体" w:hAnsi="宋体" w:cs="宋体" w:hint="eastAsia"/>
          <w:color w:val="000000"/>
          <w:kern w:val="0"/>
        </w:rPr>
        <w:t>K</w:t>
      </w:r>
      <w:r>
        <w:rPr>
          <w:rFonts w:ascii="宋体" w:hAnsi="宋体" w:cs="宋体" w:hint="eastAsia"/>
          <w:color w:val="000000"/>
          <w:kern w:val="0"/>
        </w:rPr>
        <w:t>型分化。增量资金向具备全球化壁垒与高景气的科技创新链条高度集聚，传统经济板块面临存量抽血，结构分化机制导致微观脆弱性有所累积。</w:t>
      </w:r>
      <w:r>
        <w:rPr>
          <w:rFonts w:ascii="宋体" w:hAnsi="宋体" w:cs="宋体" w:hint="eastAsia"/>
          <w:color w:val="000000"/>
          <w:kern w:val="0"/>
        </w:rPr>
        <w:br/>
      </w:r>
      <w:r>
        <w:rPr>
          <w:rFonts w:ascii="宋体" w:hAnsi="宋体" w:cs="宋体" w:hint="eastAsia"/>
          <w:color w:val="000000"/>
          <w:kern w:val="0"/>
        </w:rPr>
        <w:t xml:space="preserve">　　本基金在</w:t>
      </w:r>
      <w:r>
        <w:rPr>
          <w:rFonts w:ascii="宋体" w:hAnsi="宋体" w:cs="宋体" w:hint="eastAsia"/>
          <w:color w:val="000000"/>
          <w:kern w:val="0"/>
        </w:rPr>
        <w:t>2026</w:t>
      </w:r>
      <w:r>
        <w:rPr>
          <w:rFonts w:ascii="宋体" w:hAnsi="宋体" w:cs="宋体" w:hint="eastAsia"/>
          <w:color w:val="000000"/>
          <w:kern w:val="0"/>
        </w:rPr>
        <w:t>年二季度保持股票和债券的均衡配置，投资组合保持流动性充足。</w:t>
      </w:r>
      <w:r>
        <w:rPr>
          <w:rFonts w:ascii="宋体" w:hAnsi="宋体" w:cs="宋体" w:hint="eastAsia"/>
          <w:color w:val="000000"/>
          <w:kern w:val="0"/>
        </w:rPr>
        <w:br/>
      </w:r>
      <w:r>
        <w:rPr>
          <w:rFonts w:ascii="宋体" w:hAnsi="宋体" w:cs="宋体" w:hint="eastAsia"/>
          <w:color w:val="000000"/>
          <w:kern w:val="0"/>
        </w:rPr>
        <w:t xml:space="preserve">　　展望后市，经济增长韧性与传统部门筑底并存。实体债务融资需求难以趋势性扭转，决定了宽货币政策不具备大幅转向的基础；但受制于银行息差，利率下探亦有清晰的微观边界，低位区间拉锯将是常态。本基金将继续保持当前的股票和债券配置，力争为组合提供稳健的资产配置</w:t>
      </w:r>
      <w:r>
        <w:rPr>
          <w:rFonts w:ascii="宋体" w:hAnsi="宋体" w:cs="宋体" w:hint="eastAsia"/>
          <w:color w:val="000000"/>
          <w:kern w:val="0"/>
        </w:rPr>
        <w:t>。</w:t>
      </w:r>
    </w:p>
    <w:p w:rsidR="00696A1B" w:rsidRDefault="00696A1B">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696A1B" w:rsidRDefault="00696A1B">
      <w:pPr>
        <w:spacing w:line="360" w:lineRule="auto"/>
        <w:ind w:firstLineChars="200" w:firstLine="420"/>
        <w:rPr>
          <w:rFonts w:hint="eastAsia"/>
        </w:rPr>
      </w:pPr>
      <w:r>
        <w:rPr>
          <w:rFonts w:ascii="宋体" w:hAnsi="宋体" w:hint="eastAsia"/>
        </w:rPr>
        <w:t>本报告期摩根双债增利债券</w:t>
      </w:r>
      <w:r>
        <w:rPr>
          <w:rFonts w:ascii="宋体" w:hAnsi="宋体" w:hint="eastAsia"/>
        </w:rPr>
        <w:t>A</w:t>
      </w:r>
      <w:r>
        <w:rPr>
          <w:rFonts w:ascii="宋体" w:hAnsi="宋体" w:hint="eastAsia"/>
        </w:rPr>
        <w:t>份额净值增长率为：</w:t>
      </w:r>
      <w:r>
        <w:rPr>
          <w:rFonts w:ascii="宋体" w:hAnsi="宋体" w:hint="eastAsia"/>
        </w:rPr>
        <w:t>2.16%</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摩根双债增利债券</w:t>
      </w:r>
      <w:r>
        <w:rPr>
          <w:rFonts w:ascii="宋体" w:hAnsi="宋体" w:hint="eastAsia"/>
        </w:rPr>
        <w:t>C</w:t>
      </w:r>
      <w:r>
        <w:rPr>
          <w:rFonts w:ascii="宋体" w:hAnsi="宋体" w:hint="eastAsia"/>
        </w:rPr>
        <w:t>份额净值增长率为：</w:t>
      </w:r>
      <w:r>
        <w:rPr>
          <w:rFonts w:ascii="宋体" w:hAnsi="宋体" w:hint="eastAsia"/>
        </w:rPr>
        <w:t>2.06%</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摩根双债增利债券</w:t>
      </w:r>
      <w:r>
        <w:rPr>
          <w:rFonts w:ascii="宋体" w:hAnsi="宋体" w:hint="eastAsia"/>
        </w:rPr>
        <w:t>D</w:t>
      </w:r>
      <w:r>
        <w:rPr>
          <w:rFonts w:ascii="宋体" w:hAnsi="宋体" w:hint="eastAsia"/>
        </w:rPr>
        <w:t>份额净值增长率为：</w:t>
      </w:r>
      <w:r>
        <w:rPr>
          <w:rFonts w:ascii="宋体" w:hAnsi="宋体" w:hint="eastAsia"/>
        </w:rPr>
        <w:t>2.16%</w:t>
      </w:r>
      <w:r>
        <w:rPr>
          <w:rFonts w:ascii="宋体" w:hAnsi="宋体" w:hint="eastAsia"/>
        </w:rPr>
        <w:t>，同期业绩比较基准收益率为：</w:t>
      </w:r>
      <w:r>
        <w:rPr>
          <w:rFonts w:ascii="宋体" w:hAnsi="宋体" w:hint="eastAsia"/>
        </w:rPr>
        <w:t>1.20%</w:t>
      </w:r>
      <w:r>
        <w:rPr>
          <w:rFonts w:ascii="宋体" w:hAnsi="宋体" w:hint="eastAsia"/>
        </w:rPr>
        <w:t>。</w:t>
      </w:r>
    </w:p>
    <w:p w:rsidR="00696A1B" w:rsidRDefault="00696A1B">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96A1B" w:rsidRDefault="00696A1B">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696A1B" w:rsidRDefault="00696A1B">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1,989,485,814.4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12.6</w:t>
            </w:r>
            <w:r>
              <w:rPr>
                <w:rFonts w:ascii="宋体" w:hAnsi="宋体" w:hint="eastAsia"/>
                <w:szCs w:val="24"/>
                <w:lang w:eastAsia="zh-Hans"/>
              </w:rPr>
              <w:t>2</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1,989,485,814.4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12.6</w:t>
            </w:r>
            <w:r>
              <w:rPr>
                <w:rFonts w:ascii="宋体" w:hAnsi="宋体" w:hint="eastAsia"/>
                <w:szCs w:val="24"/>
                <w:lang w:eastAsia="zh-Hans"/>
              </w:rPr>
              <w:t>2</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12,526,790,396.3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79.4</w:t>
            </w:r>
            <w:r>
              <w:rPr>
                <w:rFonts w:ascii="宋体" w:hAnsi="宋体" w:hint="eastAsia"/>
                <w:szCs w:val="24"/>
                <w:lang w:eastAsia="zh-Hans"/>
              </w:rPr>
              <w:t>8</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12,526,790,396.3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79.4</w:t>
            </w:r>
            <w:r>
              <w:rPr>
                <w:rFonts w:ascii="宋体" w:hAnsi="宋体" w:hint="eastAsia"/>
                <w:szCs w:val="24"/>
                <w:lang w:eastAsia="zh-Hans"/>
              </w:rPr>
              <w:t>8</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959,915,233.8</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6.0</w:t>
            </w:r>
            <w:r>
              <w:rPr>
                <w:rFonts w:ascii="宋体" w:hAnsi="宋体" w:hint="eastAsia"/>
                <w:szCs w:val="24"/>
                <w:lang w:eastAsia="zh-Hans"/>
              </w:rPr>
              <w:t>9</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283,797,816.3</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1.8</w:t>
            </w:r>
            <w:r>
              <w:rPr>
                <w:rFonts w:ascii="宋体" w:hAnsi="宋体" w:hint="eastAsia"/>
                <w:szCs w:val="24"/>
                <w:lang w:eastAsia="zh-Hans"/>
              </w:rPr>
              <w:t>0</w:t>
            </w:r>
          </w:p>
        </w:tc>
      </w:tr>
      <w:tr w:rsidR="00000000">
        <w:trPr>
          <w:divId w:val="211675321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96A1B" w:rsidRDefault="00696A1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15,759,989,260.8</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100.0</w:t>
            </w:r>
            <w:r>
              <w:rPr>
                <w:rFonts w:ascii="宋体" w:hAnsi="宋体" w:hint="eastAsia"/>
                <w:szCs w:val="24"/>
                <w:lang w:eastAsia="zh-Hans"/>
              </w:rPr>
              <w:t>0</w:t>
            </w:r>
          </w:p>
        </w:tc>
      </w:tr>
    </w:tbl>
    <w:p w:rsidR="00696A1B" w:rsidRDefault="00696A1B">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696A1B" w:rsidRDefault="00696A1B">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059864121"/>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696A1B" w:rsidRDefault="00696A1B">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696A1B" w:rsidRDefault="00696A1B">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182,782,300.6</w:t>
            </w:r>
            <w:r>
              <w:rPr>
                <w:rFonts w:ascii="宋体" w:hAnsi="宋体" w:hint="eastAsia"/>
                <w:szCs w:val="24"/>
                <w:lang w:eastAsia="zh-Hans"/>
              </w:rPr>
              <w:t>5</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1.1</w:t>
            </w:r>
            <w:r>
              <w:rPr>
                <w:rFonts w:ascii="宋体" w:hAnsi="宋体" w:hint="eastAsia"/>
                <w:szCs w:val="24"/>
                <w:lang w:eastAsia="zh-Hans"/>
              </w:rPr>
              <w:t>7</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1,467,657,055.1</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9.4</w:t>
            </w:r>
            <w:r>
              <w:rPr>
                <w:rFonts w:ascii="宋体" w:hAnsi="宋体" w:hint="eastAsia"/>
                <w:szCs w:val="24"/>
                <w:lang w:eastAsia="zh-Hans"/>
              </w:rPr>
              <w:t>3</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42,510,000.0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0.2</w:t>
            </w:r>
            <w:r>
              <w:rPr>
                <w:rFonts w:ascii="宋体" w:hAnsi="宋体" w:hint="eastAsia"/>
                <w:szCs w:val="24"/>
                <w:lang w:eastAsia="zh-Hans"/>
              </w:rPr>
              <w:t>7</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35,140,000.0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0.2</w:t>
            </w:r>
            <w:r>
              <w:rPr>
                <w:rFonts w:ascii="宋体" w:hAnsi="宋体" w:hint="eastAsia"/>
                <w:szCs w:val="24"/>
                <w:lang w:eastAsia="zh-Hans"/>
              </w:rPr>
              <w:t>3</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95,449,600.0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0.6</w:t>
            </w:r>
            <w:r>
              <w:rPr>
                <w:rFonts w:ascii="宋体" w:hAnsi="宋体" w:hint="eastAsia"/>
                <w:szCs w:val="24"/>
                <w:lang w:eastAsia="zh-Hans"/>
              </w:rPr>
              <w:t>1</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141,044,858.6</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0.9</w:t>
            </w:r>
            <w:r>
              <w:rPr>
                <w:rFonts w:ascii="宋体" w:hAnsi="宋体" w:hint="eastAsia"/>
                <w:szCs w:val="24"/>
                <w:lang w:eastAsia="zh-Hans"/>
              </w:rPr>
              <w:t>1</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24,902,000.0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0.1</w:t>
            </w:r>
            <w:r>
              <w:rPr>
                <w:rFonts w:ascii="宋体" w:hAnsi="宋体" w:hint="eastAsia"/>
                <w:szCs w:val="24"/>
                <w:lang w:eastAsia="zh-Hans"/>
              </w:rPr>
              <w:t>6</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w:t>
            </w:r>
          </w:p>
        </w:tc>
      </w:tr>
      <w:tr w:rsidR="00000000">
        <w:trPr>
          <w:divId w:val="1059864121"/>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696A1B" w:rsidRDefault="00696A1B">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696A1B" w:rsidRDefault="00696A1B">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696A1B" w:rsidRDefault="00696A1B">
            <w:pPr>
              <w:jc w:val="right"/>
            </w:pPr>
            <w:r>
              <w:rPr>
                <w:rFonts w:ascii="宋体" w:hAnsi="宋体" w:hint="eastAsia"/>
                <w:szCs w:val="24"/>
                <w:lang w:eastAsia="zh-Hans"/>
              </w:rPr>
              <w:t>1,989,485,814.4</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696A1B" w:rsidRDefault="00696A1B">
            <w:pPr>
              <w:jc w:val="right"/>
            </w:pPr>
            <w:r>
              <w:rPr>
                <w:rFonts w:ascii="宋体" w:hAnsi="宋体" w:hint="eastAsia"/>
                <w:szCs w:val="24"/>
                <w:lang w:eastAsia="zh-Hans"/>
              </w:rPr>
              <w:t>12.7</w:t>
            </w:r>
            <w:r>
              <w:rPr>
                <w:rFonts w:ascii="宋体" w:hAnsi="宋体" w:hint="eastAsia"/>
                <w:szCs w:val="24"/>
                <w:lang w:eastAsia="zh-Hans"/>
              </w:rPr>
              <w:t>8</w:t>
            </w:r>
          </w:p>
        </w:tc>
      </w:tr>
    </w:tbl>
    <w:p w:rsidR="00696A1B" w:rsidRDefault="00696A1B">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696A1B" w:rsidRDefault="00696A1B">
      <w:pPr>
        <w:spacing w:line="360" w:lineRule="auto"/>
        <w:ind w:firstLineChars="200" w:firstLine="420"/>
        <w:divId w:val="94588810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696A1B" w:rsidRDefault="00696A1B">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696A1B" w:rsidRDefault="00696A1B">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65151451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58,951,500.0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8</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52,470,000.0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4</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60160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中国太</w:t>
            </w:r>
            <w:r>
              <w:rPr>
                <w:rFonts w:ascii="宋体" w:hAnsi="宋体" w:hint="eastAsia"/>
                <w:szCs w:val="24"/>
                <w:lang w:eastAsia="zh-Hans"/>
              </w:rPr>
              <w:t>保</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1,800,00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51,336,000.0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32,00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51,057,600.0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40,00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50,800,000.0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3</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60113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工业富</w:t>
            </w:r>
            <w:r>
              <w:rPr>
                <w:rFonts w:ascii="宋体" w:hAnsi="宋体" w:hint="eastAsia"/>
                <w:szCs w:val="24"/>
                <w:lang w:eastAsia="zh-Hans"/>
              </w:rPr>
              <w:t>联</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50,505,000.0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2</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60030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万华化</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729,93</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49,935,058.5</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2</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00033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潍柴动</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46,325,000.0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135,00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46,091,700.0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65151451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00259</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比亚</w:t>
            </w:r>
            <w:r>
              <w:rPr>
                <w:rFonts w:ascii="宋体" w:hAnsi="宋体" w:hint="eastAsia"/>
                <w:szCs w:val="24"/>
                <w:lang w:eastAsia="zh-Hans"/>
              </w:rPr>
              <w:t>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549,98</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43,833,406.0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0.2</w:t>
            </w:r>
            <w:r>
              <w:rPr>
                <w:rFonts w:ascii="宋体" w:hAnsi="宋体" w:hint="eastAsia"/>
                <w:szCs w:val="24"/>
                <w:lang w:eastAsia="zh-Hans"/>
              </w:rPr>
              <w:t>8</w:t>
            </w:r>
          </w:p>
        </w:tc>
      </w:tr>
    </w:tbl>
    <w:p w:rsidR="00696A1B" w:rsidRDefault="00696A1B">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138,578,287.8</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0.8</w:t>
            </w:r>
            <w:r>
              <w:rPr>
                <w:rFonts w:ascii="宋体" w:hAnsi="宋体" w:hint="eastAsia"/>
                <w:szCs w:val="24"/>
                <w:lang w:eastAsia="zh-Hans"/>
              </w:rPr>
              <w:t>9</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10,410,633,688.2</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66.8</w:t>
            </w:r>
            <w:r>
              <w:rPr>
                <w:rFonts w:ascii="宋体" w:hAnsi="宋体" w:hint="eastAsia"/>
                <w:szCs w:val="24"/>
                <w:lang w:eastAsia="zh-Hans"/>
              </w:rPr>
              <w:t>6</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342,097,687.6</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2.2</w:t>
            </w:r>
            <w:r>
              <w:rPr>
                <w:rFonts w:ascii="宋体" w:hAnsi="宋体" w:hint="eastAsia"/>
                <w:szCs w:val="24"/>
                <w:lang w:eastAsia="zh-Hans"/>
              </w:rPr>
              <w:t>0</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309,166,725.4</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1.9</w:t>
            </w:r>
            <w:r>
              <w:rPr>
                <w:rFonts w:ascii="宋体" w:hAnsi="宋体" w:hint="eastAsia"/>
                <w:szCs w:val="24"/>
                <w:lang w:eastAsia="zh-Hans"/>
              </w:rPr>
              <w:t>9</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365,634,852.6</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2.3</w:t>
            </w:r>
            <w:r>
              <w:rPr>
                <w:rFonts w:ascii="宋体" w:hAnsi="宋体" w:hint="eastAsia"/>
                <w:szCs w:val="24"/>
                <w:lang w:eastAsia="zh-Hans"/>
              </w:rPr>
              <w:t>5</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1,209,266,258.5</w:t>
            </w:r>
            <w:r>
              <w:rPr>
                <w:rFonts w:ascii="宋体" w:hAnsi="宋体" w:hint="eastAsia"/>
                <w:szCs w:val="24"/>
                <w:lang w:eastAsia="zh-Hans"/>
              </w:rPr>
              <w:t>2</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7.7</w:t>
            </w:r>
            <w:r>
              <w:rPr>
                <w:rFonts w:ascii="宋体" w:hAnsi="宋体" w:hint="eastAsia"/>
                <w:szCs w:val="24"/>
                <w:lang w:eastAsia="zh-Hans"/>
              </w:rPr>
              <w:t>7</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93,510,583.6</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0.6</w:t>
            </w:r>
            <w:r>
              <w:rPr>
                <w:rFonts w:ascii="宋体" w:hAnsi="宋体" w:hint="eastAsia"/>
                <w:szCs w:val="24"/>
                <w:lang w:eastAsia="zh-Hans"/>
              </w:rPr>
              <w:t>0</w:t>
            </w:r>
          </w:p>
        </w:tc>
      </w:tr>
      <w:tr w:rsidR="00000000">
        <w:trPr>
          <w:divId w:val="577666923"/>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696A1B" w:rsidRDefault="00696A1B">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12,526,790,396.3</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696A1B" w:rsidRDefault="00696A1B">
            <w:pPr>
              <w:jc w:val="right"/>
            </w:pPr>
            <w:r>
              <w:rPr>
                <w:rFonts w:ascii="宋体" w:hAnsi="宋体" w:hint="eastAsia"/>
                <w:szCs w:val="24"/>
                <w:lang w:eastAsia="zh-Hans"/>
              </w:rPr>
              <w:t>80.4</w:t>
            </w:r>
            <w:r>
              <w:rPr>
                <w:rFonts w:ascii="宋体" w:hAnsi="宋体" w:hint="eastAsia"/>
                <w:szCs w:val="24"/>
                <w:lang w:eastAsia="zh-Hans"/>
              </w:rPr>
              <w:t>5</w:t>
            </w:r>
          </w:p>
        </w:tc>
      </w:tr>
    </w:tbl>
    <w:p w:rsidR="00696A1B" w:rsidRDefault="00696A1B">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42961472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42961472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24268000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26</w:t>
            </w:r>
            <w:r>
              <w:rPr>
                <w:rFonts w:ascii="宋体" w:hAnsi="宋体" w:hint="eastAsia"/>
                <w:szCs w:val="24"/>
                <w:lang w:eastAsia="zh-Hans"/>
              </w:rPr>
              <w:t>招商银行永续债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3,100,00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313,380,443.8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2.0</w:t>
            </w:r>
            <w:r>
              <w:rPr>
                <w:rFonts w:ascii="宋体" w:hAnsi="宋体" w:hint="eastAsia"/>
                <w:szCs w:val="24"/>
                <w:lang w:eastAsia="zh-Hans"/>
              </w:rPr>
              <w:t>1</w:t>
            </w:r>
          </w:p>
        </w:tc>
      </w:tr>
      <w:tr w:rsidR="00000000">
        <w:trPr>
          <w:divId w:val="142961472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09228008</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22</w:t>
            </w:r>
            <w:r>
              <w:rPr>
                <w:rFonts w:ascii="宋体" w:hAnsi="宋体" w:hint="eastAsia"/>
                <w:szCs w:val="24"/>
                <w:lang w:eastAsia="zh-Hans"/>
              </w:rPr>
              <w:t>光大银行二级资本债</w:t>
            </w:r>
            <w:r>
              <w:rPr>
                <w:rFonts w:ascii="宋体" w:hAnsi="宋体" w:hint="eastAsia"/>
                <w:szCs w:val="24"/>
                <w:lang w:eastAsia="zh-Hans"/>
              </w:rPr>
              <w:t>01</w:t>
            </w:r>
            <w:r>
              <w:rPr>
                <w:rFonts w:ascii="宋体" w:hAnsi="宋体" w:hint="eastAsia"/>
                <w:szCs w:val="24"/>
                <w:lang w:eastAsia="zh-Hans"/>
              </w:rPr>
              <w:t>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2,600,00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271,463,720.5</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1.7</w:t>
            </w:r>
            <w:r>
              <w:rPr>
                <w:rFonts w:ascii="宋体" w:hAnsi="宋体" w:hint="eastAsia"/>
                <w:szCs w:val="24"/>
                <w:lang w:eastAsia="zh-Hans"/>
              </w:rPr>
              <w:t>4</w:t>
            </w:r>
          </w:p>
        </w:tc>
      </w:tr>
      <w:tr w:rsidR="00000000">
        <w:trPr>
          <w:divId w:val="142961472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09228006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22</w:t>
            </w:r>
            <w:r>
              <w:rPr>
                <w:rFonts w:ascii="宋体" w:hAnsi="宋体" w:hint="eastAsia"/>
                <w:szCs w:val="24"/>
                <w:lang w:eastAsia="zh-Hans"/>
              </w:rPr>
              <w:t>华夏银行二级资本债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261,065,753.4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1.6</w:t>
            </w:r>
            <w:r>
              <w:rPr>
                <w:rFonts w:ascii="宋体" w:hAnsi="宋体" w:hint="eastAsia"/>
                <w:szCs w:val="24"/>
                <w:lang w:eastAsia="zh-Hans"/>
              </w:rPr>
              <w:t>8</w:t>
            </w:r>
          </w:p>
        </w:tc>
      </w:tr>
      <w:tr w:rsidR="00000000">
        <w:trPr>
          <w:divId w:val="142961472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212802</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21</w:t>
            </w:r>
            <w:r>
              <w:rPr>
                <w:rFonts w:ascii="宋体" w:hAnsi="宋体" w:hint="eastAsia"/>
                <w:szCs w:val="24"/>
                <w:lang w:eastAsia="zh-Hans"/>
              </w:rPr>
              <w:t>邮储银行二级</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258,055,986.3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1.6</w:t>
            </w:r>
            <w:r>
              <w:rPr>
                <w:rFonts w:ascii="宋体" w:hAnsi="宋体" w:hint="eastAsia"/>
                <w:szCs w:val="24"/>
                <w:lang w:eastAsia="zh-Hans"/>
              </w:rPr>
              <w:t>6</w:t>
            </w:r>
          </w:p>
        </w:tc>
      </w:tr>
      <w:tr w:rsidR="00000000">
        <w:trPr>
          <w:divId w:val="142961472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222801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szCs w:val="24"/>
                <w:lang w:eastAsia="zh-Hans"/>
              </w:rPr>
              <w:t>22</w:t>
            </w:r>
            <w:r>
              <w:rPr>
                <w:rFonts w:ascii="宋体" w:hAnsi="宋体" w:hint="eastAsia"/>
                <w:szCs w:val="24"/>
                <w:lang w:eastAsia="zh-Hans"/>
              </w:rPr>
              <w:t>邮储银行二级</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256,255,684.9</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1.6</w:t>
            </w:r>
            <w:r>
              <w:rPr>
                <w:rFonts w:ascii="宋体" w:hAnsi="宋体" w:hint="eastAsia"/>
                <w:szCs w:val="24"/>
                <w:lang w:eastAsia="zh-Hans"/>
              </w:rPr>
              <w:t>5</w:t>
            </w:r>
          </w:p>
        </w:tc>
      </w:tr>
    </w:tbl>
    <w:p w:rsidR="00696A1B" w:rsidRDefault="00696A1B">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96A1B" w:rsidRDefault="00696A1B">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696A1B" w:rsidRDefault="00696A1B">
      <w:pPr>
        <w:spacing w:line="360" w:lineRule="auto"/>
        <w:ind w:firstLineChars="200" w:firstLine="420"/>
        <w:divId w:val="210275006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96A1B" w:rsidRDefault="00696A1B">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696A1B" w:rsidRDefault="00696A1B">
      <w:pPr>
        <w:spacing w:line="360" w:lineRule="auto"/>
        <w:ind w:firstLineChars="200" w:firstLine="420"/>
        <w:divId w:val="357202272"/>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96A1B" w:rsidRDefault="00696A1B">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696A1B" w:rsidRDefault="00696A1B">
      <w:pPr>
        <w:spacing w:line="360" w:lineRule="auto"/>
        <w:ind w:firstLineChars="200" w:firstLine="420"/>
        <w:divId w:val="214631279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96A1B" w:rsidRDefault="00696A1B">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696A1B" w:rsidRDefault="00696A1B">
      <w:pPr>
        <w:spacing w:line="360" w:lineRule="auto"/>
        <w:ind w:firstLineChars="200" w:firstLine="420"/>
        <w:divId w:val="1778139872"/>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696A1B" w:rsidRDefault="00696A1B">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696A1B" w:rsidRDefault="00696A1B">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696A1B" w:rsidRDefault="00696A1B">
      <w:pPr>
        <w:spacing w:line="360" w:lineRule="auto"/>
        <w:ind w:firstLineChars="200" w:firstLine="420"/>
        <w:rPr>
          <w:rFonts w:hint="eastAsia"/>
        </w:rPr>
      </w:pPr>
      <w:r>
        <w:rPr>
          <w:rFonts w:ascii="宋体" w:hAnsi="宋体" w:hint="eastAsia"/>
        </w:rPr>
        <w:t>本基金投资的前十名证券的发行主体中，中国邮政储蓄银行股份有限公司报告编制日前一年内曾受到国家金融监督管理总局的处罚，中国光大银行股份有限公司报告编制日前一年内曾受到国家外汇管理局北京市分局、国家金融监督管理总局的处罚，中国民生银行股份有限公司报告编制日前一年内曾受到国家金融监督管理总局宁波监管局、国家金融监督管理总局的处罚，交通银行股份有限公司报告编制日前一年内曾受到国家金融监督管理总局、央行的处罚，招商银行股份有限公司报告编制日前一年内曾受到国家金融监督管理总局的处罚，华夏银行股份有限公司报告编制日前一年内曾受到央行、国家金融监督管理总局的处罚，中国建设银行股份有限公司报告编制日前一年内曾受到国家金融监督管理总局、央行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696A1B" w:rsidRDefault="00696A1B">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696A1B" w:rsidRDefault="00696A1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96A1B" w:rsidRDefault="00696A1B">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9991539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6A1B" w:rsidRDefault="00696A1B">
            <w:pPr>
              <w:jc w:val="center"/>
            </w:pPr>
            <w:r>
              <w:rPr>
                <w:rFonts w:ascii="宋体" w:hAnsi="宋体" w:hint="eastAsia"/>
              </w:rPr>
              <w:t>金额（元</w:t>
            </w:r>
            <w:r>
              <w:rPr>
                <w:rFonts w:ascii="宋体" w:hAnsi="宋体" w:hint="eastAsia"/>
              </w:rPr>
              <w:t>）</w:t>
            </w:r>
            <w:r>
              <w:t xml:space="preserve"> </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1,044,020.9</w:t>
            </w:r>
            <w:r>
              <w:rPr>
                <w:rFonts w:ascii="宋体" w:hAnsi="宋体" w:hint="eastAsia"/>
              </w:rPr>
              <w:t>5</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282,753,795.3</w:t>
            </w:r>
            <w:r>
              <w:rPr>
                <w:rFonts w:ascii="宋体" w:hAnsi="宋体" w:hint="eastAsia"/>
              </w:rPr>
              <w:t>5</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p>
        </w:tc>
      </w:tr>
      <w:tr w:rsidR="00000000">
        <w:trPr>
          <w:divId w:val="19999153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283,797,816.3</w:t>
            </w:r>
            <w:r>
              <w:rPr>
                <w:rFonts w:ascii="宋体" w:hAnsi="宋体" w:hint="eastAsia"/>
              </w:rPr>
              <w:t>0</w:t>
            </w:r>
          </w:p>
        </w:tc>
      </w:tr>
    </w:tbl>
    <w:p w:rsidR="00696A1B" w:rsidRDefault="00696A1B">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000000">
        <w:trPr>
          <w:divId w:val="39960068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696A1B" w:rsidRDefault="00696A1B">
            <w:pPr>
              <w:jc w:val="center"/>
              <w:rPr>
                <w:rFonts w:hint="eastAsia"/>
              </w:rP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696A1B" w:rsidRDefault="00696A1B">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696A1B" w:rsidRDefault="00696A1B">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696A1B" w:rsidRDefault="00696A1B">
            <w:pPr>
              <w:jc w:val="center"/>
            </w:pPr>
            <w:r>
              <w:rPr>
                <w:rFonts w:ascii="宋体" w:hAnsi="宋体" w:hint="eastAsia"/>
                <w:szCs w:val="21"/>
              </w:rPr>
              <w:t>公允价值（元</w:t>
            </w:r>
            <w:r>
              <w:rPr>
                <w:rFonts w:ascii="宋体" w:hAnsi="宋体" w:hint="eastAsia"/>
                <w:szCs w:val="21"/>
              </w:rPr>
              <w:t>）</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rsidR="00696A1B" w:rsidRDefault="00696A1B">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11305</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兴业转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115,087,643.8</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0.7</w:t>
            </w:r>
            <w:r>
              <w:rPr>
                <w:rFonts w:ascii="宋体" w:hAnsi="宋体" w:hint="eastAsia"/>
                <w:kern w:val="0"/>
                <w:szCs w:val="21"/>
                <w:lang w:eastAsia="zh-Hans"/>
              </w:rPr>
              <w:t>4</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11305</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重银转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108,374,112.3</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0.7</w:t>
            </w:r>
            <w:r>
              <w:rPr>
                <w:rFonts w:ascii="宋体" w:hAnsi="宋体" w:hint="eastAsia"/>
                <w:kern w:val="0"/>
                <w:szCs w:val="21"/>
                <w:lang w:eastAsia="zh-Hans"/>
              </w:rPr>
              <w:t>0</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12711</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广核转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59,261,841.5</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0.3</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11803</w:t>
            </w:r>
            <w:r>
              <w:rPr>
                <w:rFonts w:ascii="宋体" w:hAnsi="宋体" w:hint="eastAsia"/>
                <w:kern w:val="0"/>
                <w:szCs w:val="21"/>
                <w:lang w:eastAsia="zh-Hans"/>
              </w:rPr>
              <w:t>4</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晶能转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57,263,356.1</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0.3</w:t>
            </w:r>
            <w:r>
              <w:rPr>
                <w:rFonts w:ascii="宋体" w:hAnsi="宋体" w:hint="eastAsia"/>
                <w:kern w:val="0"/>
                <w:szCs w:val="21"/>
                <w:lang w:eastAsia="zh-Hans"/>
              </w:rPr>
              <w:t>7</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11009</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福能转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49,148,543.8</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0.3</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12710</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太能转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42,139,852.4</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0.2</w:t>
            </w:r>
            <w:r>
              <w:rPr>
                <w:rFonts w:ascii="宋体" w:hAnsi="宋体" w:hint="eastAsia"/>
                <w:kern w:val="0"/>
                <w:szCs w:val="21"/>
                <w:lang w:eastAsia="zh-Hans"/>
              </w:rPr>
              <w:t>7</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12708</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晶澳转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37,825,347.5</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0.2</w:t>
            </w:r>
            <w:r>
              <w:rPr>
                <w:rFonts w:ascii="宋体" w:hAnsi="宋体" w:hint="eastAsia"/>
                <w:kern w:val="0"/>
                <w:szCs w:val="21"/>
                <w:lang w:eastAsia="zh-Hans"/>
              </w:rPr>
              <w:t>4</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8</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11365</w:t>
            </w:r>
            <w:r>
              <w:rPr>
                <w:rFonts w:ascii="宋体" w:hAnsi="宋体" w:hint="eastAsia"/>
                <w:kern w:val="0"/>
                <w:szCs w:val="21"/>
                <w:lang w:eastAsia="zh-Hans"/>
              </w:rPr>
              <w:t>5</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欧</w:t>
            </w:r>
            <w:r>
              <w:rPr>
                <w:rFonts w:ascii="宋体" w:hAnsi="宋体" w:hint="eastAsia"/>
                <w:kern w:val="0"/>
                <w:szCs w:val="21"/>
                <w:lang w:eastAsia="zh-Hans"/>
              </w:rPr>
              <w:t>22</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29,221,748.9</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9</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9</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11304</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晶科转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29,074,867.1</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9</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0</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11007</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洪城转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28,588,130.1</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12708</w:t>
            </w:r>
            <w:r>
              <w:rPr>
                <w:rFonts w:ascii="宋体" w:hAnsi="宋体" w:hint="eastAsia"/>
                <w:kern w:val="0"/>
                <w:szCs w:val="21"/>
                <w:lang w:eastAsia="zh-Hans"/>
              </w:rPr>
              <w:t>5</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韵达转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27,555,449.3</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1</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和邦转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26,951,421.9</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7</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11364</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巨星转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25,874,290.4</w:t>
            </w:r>
            <w:r>
              <w:rPr>
                <w:rFonts w:ascii="宋体" w:hAnsi="宋体" w:hint="eastAsia"/>
                <w:kern w:val="0"/>
                <w:szCs w:val="21"/>
                <w:lang w:eastAsia="zh-Hans"/>
              </w:rPr>
              <w:t>1</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7</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11365</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伟</w:t>
            </w:r>
            <w:r>
              <w:rPr>
                <w:rFonts w:ascii="宋体" w:hAnsi="宋体" w:hint="eastAsia"/>
                <w:kern w:val="0"/>
                <w:szCs w:val="21"/>
                <w:lang w:eastAsia="zh-Hans"/>
              </w:rPr>
              <w:t>22</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25,718,191.7</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7</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12708</w:t>
            </w:r>
            <w:r>
              <w:rPr>
                <w:rFonts w:ascii="宋体" w:hAnsi="宋体" w:hint="eastAsia"/>
                <w:kern w:val="0"/>
                <w:szCs w:val="21"/>
                <w:lang w:eastAsia="zh-Hans"/>
              </w:rPr>
              <w:t>4</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柳工转</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24,751,010.9</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6</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12321</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科顺转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24,246,175.4</w:t>
            </w:r>
            <w:r>
              <w:rPr>
                <w:rFonts w:ascii="宋体" w:hAnsi="宋体" w:hint="eastAsia"/>
                <w:kern w:val="0"/>
                <w:szCs w:val="21"/>
                <w:lang w:eastAsia="zh-Hans"/>
              </w:rPr>
              <w:t>0</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6</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12706</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恒逸转</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23,127,956.6</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5</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8</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11803</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睿创转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22,928,473.9</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5</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w:t>
            </w:r>
            <w:r>
              <w:rPr>
                <w:rFonts w:ascii="宋体" w:hAnsi="宋体" w:hint="eastAsia"/>
                <w:kern w:val="0"/>
                <w:szCs w:val="21"/>
                <w:lang w:eastAsia="zh-Hans"/>
              </w:rPr>
              <w:t>9</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11304</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上银转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22,918,134.8</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5</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0</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13202</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G</w:t>
            </w:r>
            <w:r>
              <w:rPr>
                <w:rFonts w:ascii="宋体" w:hAnsi="宋体" w:hint="eastAsia"/>
                <w:kern w:val="0"/>
                <w:szCs w:val="21"/>
                <w:lang w:eastAsia="zh-Hans"/>
              </w:rPr>
              <w:t>三峡</w:t>
            </w:r>
            <w:r>
              <w:rPr>
                <w:rFonts w:ascii="宋体" w:hAnsi="宋体" w:hint="eastAsia"/>
                <w:kern w:val="0"/>
                <w:szCs w:val="21"/>
                <w:lang w:eastAsia="zh-Hans"/>
              </w:rPr>
              <w:t>EB</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22,066,728.0</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4</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11306</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燃</w:t>
            </w:r>
            <w:r>
              <w:rPr>
                <w:rFonts w:ascii="宋体" w:hAnsi="宋体" w:hint="eastAsia"/>
                <w:kern w:val="0"/>
                <w:szCs w:val="21"/>
                <w:lang w:eastAsia="zh-Hans"/>
              </w:rPr>
              <w:t>23</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22,059,793.9</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4</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11008</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天业转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20,267,665.4</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3</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12310</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温氏转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18,873,749.3</w:t>
            </w:r>
            <w:r>
              <w:rPr>
                <w:rFonts w:ascii="宋体" w:hAnsi="宋体" w:hint="eastAsia"/>
                <w:kern w:val="0"/>
                <w:szCs w:val="21"/>
                <w:lang w:eastAsia="zh-Hans"/>
              </w:rPr>
              <w:t>1</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11307</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渝水转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18,570,250.6</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11365</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莱克转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17,776,471.2</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1</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7</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应流转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17,221,910.2</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1</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12321</w:t>
            </w:r>
            <w:r>
              <w:rPr>
                <w:rFonts w:ascii="宋体" w:hAnsi="宋体" w:hint="eastAsia"/>
                <w:kern w:val="0"/>
                <w:szCs w:val="21"/>
                <w:lang w:eastAsia="zh-Hans"/>
              </w:rPr>
              <w:t>5</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铭利转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17,201,473.9</w:t>
            </w:r>
            <w:r>
              <w:rPr>
                <w:rFonts w:ascii="宋体" w:hAnsi="宋体" w:hint="eastAsia"/>
                <w:kern w:val="0"/>
                <w:szCs w:val="21"/>
                <w:lang w:eastAsia="zh-Hans"/>
              </w:rPr>
              <w:t>7</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1</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8</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12710</w:t>
            </w:r>
            <w:r>
              <w:rPr>
                <w:rFonts w:ascii="宋体" w:hAnsi="宋体" w:hint="eastAsia"/>
                <w:kern w:val="0"/>
                <w:szCs w:val="21"/>
                <w:lang w:eastAsia="zh-Hans"/>
              </w:rPr>
              <w:t>3</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东南转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15,846,856.1</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0</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2</w:t>
            </w:r>
            <w:r>
              <w:rPr>
                <w:rFonts w:ascii="宋体" w:hAnsi="宋体" w:hint="eastAsia"/>
                <w:kern w:val="0"/>
                <w:szCs w:val="21"/>
                <w:lang w:eastAsia="zh-Hans"/>
              </w:rPr>
              <w:t>9</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12325</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锦浪转</w:t>
            </w:r>
            <w:r>
              <w:rPr>
                <w:rFonts w:ascii="宋体" w:hAnsi="宋体" w:hint="eastAsia"/>
                <w:kern w:val="0"/>
                <w:szCs w:val="21"/>
                <w:lang w:eastAsia="zh-Hans"/>
              </w:rPr>
              <w:t>0</w:t>
            </w:r>
            <w:r>
              <w:rPr>
                <w:rFonts w:ascii="宋体" w:hAnsi="宋体" w:hint="eastAsia"/>
                <w:kern w:val="0"/>
                <w:szCs w:val="21"/>
                <w:lang w:eastAsia="zh-Hans"/>
              </w:rPr>
              <w:t>2</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14,960,212.6</w:t>
            </w:r>
            <w:r>
              <w:rPr>
                <w:rFonts w:ascii="宋体" w:hAnsi="宋体" w:hint="eastAsia"/>
                <w:kern w:val="0"/>
                <w:szCs w:val="21"/>
                <w:lang w:eastAsia="zh-Hans"/>
              </w:rPr>
              <w:t>0</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0</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0</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12318</w:t>
            </w:r>
            <w:r>
              <w:rPr>
                <w:rFonts w:ascii="宋体" w:hAnsi="宋体" w:hint="eastAsia"/>
                <w:kern w:val="0"/>
                <w:szCs w:val="21"/>
                <w:lang w:eastAsia="zh-Hans"/>
              </w:rPr>
              <w:t>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晓鸣转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14,955,923.0</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0.1</w:t>
            </w:r>
            <w:r>
              <w:rPr>
                <w:rFonts w:ascii="宋体" w:hAnsi="宋体" w:hint="eastAsia"/>
                <w:kern w:val="0"/>
                <w:szCs w:val="21"/>
                <w:lang w:eastAsia="zh-Hans"/>
              </w:rPr>
              <w:t>0</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11008</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精工转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14,159,539.7</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9</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11366</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爱玛转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14,003,848.8</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9</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11366</w:t>
            </w:r>
            <w:r>
              <w:rPr>
                <w:rFonts w:ascii="宋体" w:hAnsi="宋体" w:hint="eastAsia"/>
                <w:kern w:val="0"/>
                <w:szCs w:val="21"/>
                <w:lang w:eastAsia="zh-Hans"/>
              </w:rPr>
              <w:t>1</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福</w:t>
            </w:r>
            <w:r>
              <w:rPr>
                <w:rFonts w:ascii="宋体" w:hAnsi="宋体" w:hint="eastAsia"/>
                <w:kern w:val="0"/>
                <w:szCs w:val="21"/>
                <w:lang w:eastAsia="zh-Hans"/>
              </w:rPr>
              <w:t>22</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13,988,657.5</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9</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12319</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科思转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12,263,217.8</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5</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11802</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锂科转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11,750,465.7</w:t>
            </w:r>
            <w:r>
              <w:rPr>
                <w:rFonts w:ascii="宋体" w:hAnsi="宋体" w:hint="eastAsia"/>
                <w:kern w:val="0"/>
                <w:szCs w:val="21"/>
                <w:lang w:eastAsia="zh-Hans"/>
              </w:rPr>
              <w:t>5</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6</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伯</w:t>
            </w:r>
            <w:r>
              <w:rPr>
                <w:rFonts w:ascii="宋体" w:hAnsi="宋体" w:hint="eastAsia"/>
                <w:kern w:val="0"/>
                <w:szCs w:val="21"/>
                <w:lang w:eastAsia="zh-Hans"/>
              </w:rPr>
              <w:t>25</w:t>
            </w:r>
            <w:r>
              <w:rPr>
                <w:rFonts w:ascii="宋体" w:hAnsi="宋体" w:hint="eastAsia"/>
                <w:kern w:val="0"/>
                <w:szCs w:val="21"/>
                <w:lang w:eastAsia="zh-Hans"/>
              </w:rPr>
              <w:t>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11,711,700.0</w:t>
            </w:r>
            <w:r>
              <w:rPr>
                <w:rFonts w:ascii="宋体" w:hAnsi="宋体" w:hint="eastAsia"/>
                <w:kern w:val="0"/>
                <w:szCs w:val="21"/>
                <w:lang w:eastAsia="zh-Hans"/>
              </w:rPr>
              <w:t>0</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8</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7</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11009</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南药转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9,194,706.6</w:t>
            </w:r>
            <w:r>
              <w:rPr>
                <w:rFonts w:ascii="宋体" w:hAnsi="宋体" w:hint="eastAsia"/>
                <w:kern w:val="0"/>
                <w:szCs w:val="21"/>
                <w:lang w:eastAsia="zh-Hans"/>
              </w:rPr>
              <w:t>6</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6</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8</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11306</w:t>
            </w:r>
            <w:r>
              <w:rPr>
                <w:rFonts w:ascii="宋体" w:hAnsi="宋体" w:hint="eastAsia"/>
                <w:kern w:val="0"/>
                <w:szCs w:val="21"/>
                <w:lang w:eastAsia="zh-Hans"/>
              </w:rPr>
              <w:t>6</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平煤转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8,480,485.4</w:t>
            </w:r>
            <w:r>
              <w:rPr>
                <w:rFonts w:ascii="宋体" w:hAnsi="宋体" w:hint="eastAsia"/>
                <w:kern w:val="0"/>
                <w:szCs w:val="21"/>
                <w:lang w:eastAsia="zh-Hans"/>
              </w:rPr>
              <w:t>8</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5</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3</w:t>
            </w:r>
            <w:r>
              <w:rPr>
                <w:rFonts w:ascii="宋体" w:hAnsi="宋体" w:hint="eastAsia"/>
                <w:kern w:val="0"/>
                <w:szCs w:val="21"/>
                <w:lang w:eastAsia="zh-Hans"/>
              </w:rPr>
              <w:t>9</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3</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志邦转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8,077,897.2</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5</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r>
              <w:rPr>
                <w:rFonts w:ascii="宋体" w:hAnsi="宋体" w:hint="eastAsia"/>
                <w:kern w:val="0"/>
                <w:szCs w:val="21"/>
                <w:lang w:eastAsia="zh-Hans"/>
              </w:rPr>
              <w:t>0</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4</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清源转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2,923,175.5</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11100</w:t>
            </w:r>
            <w:r>
              <w:rPr>
                <w:rFonts w:ascii="宋体" w:hAnsi="宋体" w:hint="eastAsia"/>
                <w:kern w:val="0"/>
                <w:szCs w:val="21"/>
                <w:lang w:eastAsia="zh-Hans"/>
              </w:rPr>
              <w:t>0</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起帆转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2,793,803.2</w:t>
            </w:r>
            <w:r>
              <w:rPr>
                <w:rFonts w:ascii="宋体" w:hAnsi="宋体" w:hint="eastAsia"/>
                <w:kern w:val="0"/>
                <w:szCs w:val="21"/>
                <w:lang w:eastAsia="zh-Hans"/>
              </w:rPr>
              <w:t>3</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r>
              <w:rPr>
                <w:rFonts w:ascii="宋体" w:hAnsi="宋体" w:hint="eastAsia"/>
                <w:kern w:val="0"/>
                <w:szCs w:val="21"/>
                <w:lang w:eastAsia="zh-Hans"/>
              </w:rPr>
              <w:t>2</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11368</w:t>
            </w:r>
            <w:r>
              <w:rPr>
                <w:rFonts w:ascii="宋体" w:hAnsi="宋体" w:hint="eastAsia"/>
                <w:kern w:val="0"/>
                <w:szCs w:val="21"/>
                <w:lang w:eastAsia="zh-Hans"/>
              </w:rPr>
              <w:t>2</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益丰转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2,462,016.4</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r>
              <w:rPr>
                <w:rFonts w:ascii="宋体" w:hAnsi="宋体" w:hint="eastAsia"/>
                <w:kern w:val="0"/>
                <w:szCs w:val="21"/>
                <w:lang w:eastAsia="zh-Hans"/>
              </w:rPr>
              <w:t>3</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11305</w:t>
            </w:r>
            <w:r>
              <w:rPr>
                <w:rFonts w:ascii="宋体" w:hAnsi="宋体" w:hint="eastAsia"/>
                <w:kern w:val="0"/>
                <w:szCs w:val="21"/>
                <w:lang w:eastAsia="zh-Hans"/>
              </w:rPr>
              <w:t>4</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绿动转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2,371,741.9</w:t>
            </w:r>
            <w:r>
              <w:rPr>
                <w:rFonts w:ascii="宋体" w:hAnsi="宋体" w:hint="eastAsia"/>
                <w:kern w:val="0"/>
                <w:szCs w:val="21"/>
                <w:lang w:eastAsia="zh-Hans"/>
              </w:rPr>
              <w:t>2</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2</w:t>
            </w:r>
          </w:p>
        </w:tc>
      </w:tr>
      <w:tr w:rsidR="00000000">
        <w:trPr>
          <w:divId w:val="39960068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4</w:t>
            </w:r>
            <w:r>
              <w:rPr>
                <w:rFonts w:ascii="宋体" w:hAnsi="宋体" w:hint="eastAsia"/>
                <w:kern w:val="0"/>
                <w:szCs w:val="21"/>
                <w:lang w:eastAsia="zh-Hans"/>
              </w:rPr>
              <w:t>4</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11369</w:t>
            </w:r>
            <w:r>
              <w:rPr>
                <w:rFonts w:ascii="宋体" w:hAnsi="宋体" w:hint="eastAsia"/>
                <w:kern w:val="0"/>
                <w:szCs w:val="21"/>
                <w:lang w:eastAsia="zh-Hans"/>
              </w:rPr>
              <w:t>8</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kern w:val="0"/>
                <w:szCs w:val="21"/>
                <w:lang w:eastAsia="zh-Hans"/>
              </w:rPr>
              <w:t>凯众转</w:t>
            </w:r>
            <w:r>
              <w:rPr>
                <w:rFonts w:ascii="宋体" w:hAnsi="宋体" w:hint="eastAsia"/>
                <w:kern w:val="0"/>
                <w:szCs w:val="21"/>
                <w:lang w:eastAsia="zh-Hans"/>
              </w:rPr>
              <w:t>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1,380,002.7</w:t>
            </w:r>
            <w:r>
              <w:rPr>
                <w:rFonts w:ascii="宋体" w:hAnsi="宋体" w:hint="eastAsia"/>
                <w:kern w:val="0"/>
                <w:szCs w:val="21"/>
                <w:lang w:eastAsia="zh-Hans"/>
              </w:rPr>
              <w:t>4</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1"/>
                <w:lang w:eastAsia="zh-Hans"/>
              </w:rPr>
              <w:t>0.0</w:t>
            </w:r>
            <w:r>
              <w:rPr>
                <w:rFonts w:ascii="宋体" w:hAnsi="宋体" w:hint="eastAsia"/>
                <w:kern w:val="0"/>
                <w:szCs w:val="21"/>
                <w:lang w:eastAsia="zh-Hans"/>
              </w:rPr>
              <w:t>1</w:t>
            </w:r>
          </w:p>
        </w:tc>
      </w:tr>
    </w:tbl>
    <w:p w:rsidR="00696A1B" w:rsidRDefault="00696A1B">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696A1B" w:rsidRDefault="00696A1B">
      <w:pPr>
        <w:spacing w:line="360" w:lineRule="auto"/>
        <w:ind w:firstLineChars="200" w:firstLine="420"/>
        <w:jc w:val="left"/>
        <w:divId w:val="178391655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696A1B" w:rsidRDefault="00696A1B">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696A1B" w:rsidRDefault="00696A1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696A1B" w:rsidRDefault="00696A1B">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696A1B" w:rsidRDefault="00696A1B">
      <w:pPr>
        <w:wordWrap w:val="0"/>
        <w:spacing w:line="360" w:lineRule="auto"/>
        <w:jc w:val="right"/>
        <w:divId w:val="1952201525"/>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775"/>
        <w:gridCol w:w="1569"/>
        <w:gridCol w:w="1877"/>
      </w:tblGrid>
      <w:tr w:rsidR="00000000">
        <w:trPr>
          <w:divId w:val="195220152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3"/>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ind w:right="3"/>
              <w:jc w:val="center"/>
            </w:pPr>
            <w:r>
              <w:rPr>
                <w:rFonts w:ascii="宋体" w:hAnsi="宋体" w:hint="eastAsia"/>
                <w:lang w:eastAsia="zh-Hans"/>
              </w:rPr>
              <w:t>摩根双债增利债券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ind w:right="3"/>
              <w:jc w:val="center"/>
            </w:pPr>
            <w:r>
              <w:rPr>
                <w:rFonts w:ascii="宋体" w:hAnsi="宋体" w:hint="eastAsia"/>
                <w:lang w:eastAsia="zh-Hans"/>
              </w:rPr>
              <w:t>摩根双债增利债券</w:t>
            </w:r>
            <w:r>
              <w:rPr>
                <w:rFonts w:ascii="宋体" w:hAnsi="宋体" w:hint="eastAsia"/>
                <w:lang w:eastAsia="zh-Hans"/>
              </w:rPr>
              <w:t>C</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96A1B" w:rsidRDefault="00696A1B">
            <w:pPr>
              <w:ind w:right="3"/>
              <w:jc w:val="center"/>
            </w:pPr>
            <w:r>
              <w:rPr>
                <w:rFonts w:ascii="宋体" w:hAnsi="宋体" w:hint="eastAsia"/>
                <w:lang w:eastAsia="zh-Hans"/>
              </w:rPr>
              <w:t>摩根双债增利债券</w:t>
            </w:r>
            <w:r>
              <w:rPr>
                <w:rFonts w:ascii="宋体" w:hAnsi="宋体" w:hint="eastAsia"/>
                <w:lang w:eastAsia="zh-Hans"/>
              </w:rPr>
              <w:t>D</w:t>
            </w:r>
            <w:r>
              <w:rPr>
                <w:rFonts w:ascii="宋体" w:hAnsi="宋体" w:hint="eastAsia"/>
                <w:kern w:val="0"/>
                <w:szCs w:val="24"/>
                <w:lang w:eastAsia="zh-Hans"/>
              </w:rPr>
              <w:t xml:space="preserve"> </w:t>
            </w:r>
          </w:p>
        </w:tc>
      </w:tr>
      <w:tr w:rsidR="00000000">
        <w:trPr>
          <w:divId w:val="19522015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840,124,166.9</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160,787,441.7</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4,373,471,092.2</w:t>
            </w:r>
            <w:r>
              <w:rPr>
                <w:rFonts w:ascii="宋体" w:hAnsi="宋体" w:hint="eastAsia"/>
              </w:rPr>
              <w:t>9</w:t>
            </w:r>
          </w:p>
        </w:tc>
      </w:tr>
      <w:tr w:rsidR="00000000">
        <w:trPr>
          <w:divId w:val="19522015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1,396,107,786.3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466,243,798.7</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7,314,088,747.5</w:t>
            </w:r>
            <w:r>
              <w:rPr>
                <w:rFonts w:ascii="宋体" w:hAnsi="宋体" w:hint="eastAsia"/>
              </w:rPr>
              <w:t>0</w:t>
            </w:r>
          </w:p>
        </w:tc>
      </w:tr>
      <w:tr w:rsidR="00000000">
        <w:trPr>
          <w:divId w:val="19522015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166,209,253.8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189,022,197.5</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1,498,746,025.0</w:t>
            </w:r>
            <w:r>
              <w:rPr>
                <w:rFonts w:ascii="宋体" w:hAnsi="宋体" w:hint="eastAsia"/>
              </w:rPr>
              <w:t>0</w:t>
            </w:r>
          </w:p>
        </w:tc>
      </w:tr>
      <w:tr w:rsidR="00000000">
        <w:trPr>
          <w:divId w:val="19522015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w:t>
            </w:r>
          </w:p>
        </w:tc>
      </w:tr>
      <w:tr w:rsidR="00000000">
        <w:trPr>
          <w:divId w:val="195220152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2,070,022,699.4</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438,009,042.9</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6A1B" w:rsidRDefault="00696A1B">
            <w:pPr>
              <w:jc w:val="right"/>
            </w:pPr>
            <w:r>
              <w:rPr>
                <w:rFonts w:ascii="宋体" w:hAnsi="宋体" w:hint="eastAsia"/>
              </w:rPr>
              <w:t>10,188,813,814.7</w:t>
            </w:r>
            <w:r>
              <w:rPr>
                <w:rFonts w:ascii="宋体" w:hAnsi="宋体" w:hint="eastAsia"/>
              </w:rPr>
              <w:t>9</w:t>
            </w:r>
          </w:p>
        </w:tc>
      </w:tr>
    </w:tbl>
    <w:p w:rsidR="00696A1B" w:rsidRDefault="00696A1B">
      <w:pPr>
        <w:spacing w:line="360" w:lineRule="auto"/>
        <w:jc w:val="left"/>
        <w:divId w:val="1952201525"/>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696A1B" w:rsidRDefault="00696A1B">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696A1B" w:rsidRDefault="00696A1B">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696A1B" w:rsidRDefault="00696A1B">
      <w:pPr>
        <w:wordWrap w:val="0"/>
        <w:spacing w:line="360" w:lineRule="auto"/>
        <w:jc w:val="right"/>
        <w:divId w:val="1918126054"/>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1918126054"/>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C</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lang w:eastAsia="zh-Hans"/>
              </w:rPr>
              <w:t>摩根双债增利债券</w:t>
            </w:r>
            <w:r>
              <w:rPr>
                <w:rFonts w:ascii="宋体" w:hAnsi="宋体" w:hint="eastAsia"/>
                <w:lang w:eastAsia="zh-Hans"/>
              </w:rPr>
              <w:t>D</w:t>
            </w:r>
            <w:r>
              <w:rPr>
                <w:rFonts w:ascii="宋体" w:hAnsi="宋体" w:hint="eastAsia"/>
                <w:color w:val="000000"/>
              </w:rPr>
              <w:t xml:space="preserve"> </w:t>
            </w:r>
          </w:p>
        </w:tc>
      </w:tr>
      <w:tr w:rsidR="00000000">
        <w:trPr>
          <w:divId w:val="191812605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rPr>
                <w:rFonts w:hint="eastAsia"/>
              </w:rPr>
            </w:pPr>
            <w:r>
              <w:rPr>
                <w:rFonts w:ascii="宋体" w:hAnsi="宋体" w:hint="eastAsia"/>
                <w:kern w:val="0"/>
                <w:szCs w:val="24"/>
                <w:lang w:eastAsia="zh-Hans"/>
              </w:rPr>
              <w:t>1,171,023.5</w:t>
            </w:r>
            <w:r>
              <w:rPr>
                <w:rFonts w:ascii="宋体" w:hAnsi="宋体" w:hint="eastAsia"/>
                <w:kern w:val="0"/>
                <w:szCs w:val="24"/>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kern w:val="0"/>
                <w:szCs w:val="24"/>
                <w:lang w:eastAsia="zh-Hans"/>
              </w:rPr>
              <w:t>-</w:t>
            </w:r>
          </w:p>
        </w:tc>
      </w:tr>
      <w:tr w:rsidR="00000000">
        <w:trPr>
          <w:divId w:val="191812605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szCs w:val="24"/>
                <w:lang w:eastAsia="zh-Hans"/>
              </w:rPr>
              <w:t>-</w:t>
            </w:r>
          </w:p>
        </w:tc>
      </w:tr>
      <w:tr w:rsidR="00000000">
        <w:trPr>
          <w:divId w:val="191812605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rPr>
                <w:rFonts w:hint="eastAsia"/>
              </w:rPr>
            </w:pPr>
            <w:r>
              <w:rPr>
                <w:rFonts w:ascii="宋体" w:hAnsi="宋体" w:hint="eastAsia"/>
                <w:lang w:eastAsia="zh-Hans"/>
              </w:rPr>
              <w:t>7,645.9</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r>
      <w:tr w:rsidR="00000000">
        <w:trPr>
          <w:divId w:val="191812605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rPr>
                <w:rFonts w:hint="eastAsia"/>
              </w:rPr>
            </w:pPr>
            <w:r>
              <w:rPr>
                <w:rFonts w:ascii="宋体" w:hAnsi="宋体" w:hint="eastAsia"/>
                <w:lang w:eastAsia="zh-Hans"/>
              </w:rPr>
              <w:t>1,163,377.5</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r>
      <w:tr w:rsidR="00000000">
        <w:trPr>
          <w:divId w:val="191812605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rPr>
                <w:rFonts w:hint="eastAsia"/>
              </w:rPr>
            </w:pPr>
            <w:r>
              <w:rPr>
                <w:rFonts w:ascii="宋体" w:hAnsi="宋体" w:hint="eastAsia"/>
                <w:lang w:eastAsia="zh-Hans"/>
              </w:rPr>
              <w:t>0.0</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lang w:eastAsia="zh-Hans"/>
              </w:rPr>
              <w:t>-</w:t>
            </w:r>
          </w:p>
        </w:tc>
      </w:tr>
    </w:tbl>
    <w:p w:rsidR="00696A1B" w:rsidRDefault="00696A1B">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256397365"/>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696A1B" w:rsidRDefault="00696A1B">
            <w:pPr>
              <w:jc w:val="center"/>
            </w:pPr>
            <w:r>
              <w:rPr>
                <w:rFonts w:ascii="宋体" w:hAnsi="宋体" w:hint="eastAsia"/>
              </w:rPr>
              <w:t>适用费率</w:t>
            </w:r>
            <w:r>
              <w:rPr>
                <w:rFonts w:ascii="宋体" w:hAnsi="宋体" w:hint="eastAsia"/>
              </w:rPr>
              <w:t xml:space="preserve"> </w:t>
            </w:r>
          </w:p>
        </w:tc>
      </w:tr>
      <w:tr w:rsidR="00000000">
        <w:trPr>
          <w:divId w:val="125639736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-7,582.9</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-9,285.3</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w:t>
            </w:r>
            <w:r>
              <w:t xml:space="preserve"> </w:t>
            </w:r>
          </w:p>
        </w:tc>
      </w:tr>
      <w:tr w:rsidR="00000000">
        <w:trPr>
          <w:divId w:val="125639736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-63.0</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-77.0</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0.1</w:t>
            </w:r>
            <w:r>
              <w:rPr>
                <w:rFonts w:ascii="宋体" w:hAnsi="宋体" w:hint="eastAsia"/>
              </w:rPr>
              <w:t>0</w:t>
            </w:r>
            <w:r>
              <w:t xml:space="preserve">% </w:t>
            </w:r>
          </w:p>
        </w:tc>
      </w:tr>
      <w:tr w:rsidR="00000000">
        <w:trPr>
          <w:divId w:val="125639736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-7,645.9</w:t>
            </w:r>
            <w:r>
              <w:rPr>
                <w:rFonts w:ascii="宋体" w:hAnsi="宋体" w:hint="eastAsia"/>
              </w:rPr>
              <w:t>6</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pPr>
              <w:jc w:val="right"/>
            </w:pPr>
            <w:r>
              <w:rPr>
                <w:rFonts w:ascii="宋体" w:hAnsi="宋体" w:hint="eastAsia"/>
              </w:rPr>
              <w:t>-9,362.4</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6A1B" w:rsidRDefault="00696A1B"/>
        </w:tc>
      </w:tr>
    </w:tbl>
    <w:p w:rsidR="00696A1B" w:rsidRDefault="00696A1B">
      <w:pPr>
        <w:spacing w:line="360" w:lineRule="auto"/>
        <w:jc w:val="left"/>
        <w:divId w:val="24448308"/>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696A1B" w:rsidRDefault="00696A1B">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696A1B" w:rsidRDefault="00696A1B">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696A1B" w:rsidRDefault="00696A1B">
      <w:pPr>
        <w:spacing w:line="360" w:lineRule="auto"/>
        <w:ind w:firstLineChars="200" w:firstLine="420"/>
        <w:divId w:val="2129548439"/>
        <w:rPr>
          <w:rFonts w:ascii="宋体" w:hAnsi="宋体" w:hint="eastAsia"/>
          <w:szCs w:val="21"/>
          <w:lang w:eastAsia="zh-Hans"/>
        </w:rPr>
      </w:pPr>
      <w:r>
        <w:rPr>
          <w:rFonts w:ascii="宋体" w:hAnsi="宋体" w:hint="eastAsia"/>
          <w:szCs w:val="21"/>
          <w:lang w:eastAsia="zh-Hans"/>
        </w:rPr>
        <w:t>无。</w:t>
      </w:r>
    </w:p>
    <w:p w:rsidR="00696A1B" w:rsidRDefault="00696A1B">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696A1B" w:rsidRDefault="00696A1B">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　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　摩根双债增利债券型证券投资基金基金合同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　摩根双债增利债券型证券投资基金托管协议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696A1B" w:rsidRDefault="00696A1B">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96A1B" w:rsidRDefault="00696A1B">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696A1B" w:rsidRDefault="00696A1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696A1B" w:rsidRDefault="00696A1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96A1B" w:rsidRDefault="00696A1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96A1B" w:rsidRDefault="00696A1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96A1B" w:rsidRDefault="00696A1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696A1B">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A1B" w:rsidRDefault="00696A1B">
      <w:pPr>
        <w:rPr>
          <w:szCs w:val="21"/>
        </w:rPr>
      </w:pPr>
      <w:r>
        <w:rPr>
          <w:szCs w:val="21"/>
        </w:rPr>
        <w:separator/>
      </w:r>
      <w:r>
        <w:rPr>
          <w:szCs w:val="21"/>
        </w:rPr>
        <w:t xml:space="preserve"> </w:t>
      </w:r>
    </w:p>
  </w:endnote>
  <w:endnote w:type="continuationSeparator" w:id="0">
    <w:p w:rsidR="00696A1B" w:rsidRDefault="00696A1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1B" w:rsidRDefault="00696A1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A1B" w:rsidRDefault="00696A1B">
      <w:pPr>
        <w:rPr>
          <w:szCs w:val="21"/>
        </w:rPr>
      </w:pPr>
      <w:r>
        <w:rPr>
          <w:szCs w:val="21"/>
        </w:rPr>
        <w:separator/>
      </w:r>
      <w:r>
        <w:rPr>
          <w:szCs w:val="21"/>
        </w:rPr>
        <w:t xml:space="preserve"> </w:t>
      </w:r>
    </w:p>
  </w:footnote>
  <w:footnote w:type="continuationSeparator" w:id="0">
    <w:p w:rsidR="00696A1B" w:rsidRDefault="00696A1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1B" w:rsidRDefault="00696A1B">
    <w:pPr>
      <w:pStyle w:val="a8"/>
      <w:jc w:val="right"/>
    </w:pPr>
    <w:r>
      <w:rPr>
        <w:rFonts w:ascii="宋体" w:hAnsi="宋体" w:hint="eastAsia"/>
      </w:rPr>
      <w:t>摩根双债增利债券型证券投资基金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31088984">
    <w:abstractNumId w:val="0"/>
  </w:num>
  <w:num w:numId="2" w16cid:durableId="572007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524CE"/>
    <w:rsid w:val="001524CE"/>
    <w:rsid w:val="00696A1B"/>
    <w:rsid w:val="007E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8308">
      <w:marLeft w:val="0"/>
      <w:marRight w:val="0"/>
      <w:marTop w:val="0"/>
      <w:marBottom w:val="0"/>
      <w:divBdr>
        <w:top w:val="none" w:sz="0" w:space="0" w:color="auto"/>
        <w:left w:val="none" w:sz="0" w:space="0" w:color="auto"/>
        <w:bottom w:val="none" w:sz="0" w:space="0" w:color="auto"/>
        <w:right w:val="none" w:sz="0" w:space="0" w:color="auto"/>
      </w:divBdr>
      <w:divsChild>
        <w:div w:id="1256397365">
          <w:marLeft w:val="0"/>
          <w:marRight w:val="0"/>
          <w:marTop w:val="0"/>
          <w:marBottom w:val="0"/>
          <w:divBdr>
            <w:top w:val="none" w:sz="0" w:space="0" w:color="auto"/>
            <w:left w:val="none" w:sz="0" w:space="0" w:color="auto"/>
            <w:bottom w:val="none" w:sz="0" w:space="0" w:color="auto"/>
            <w:right w:val="none" w:sz="0" w:space="0" w:color="auto"/>
          </w:divBdr>
        </w:div>
      </w:divsChild>
    </w:div>
    <w:div w:id="299456818">
      <w:marLeft w:val="0"/>
      <w:marRight w:val="0"/>
      <w:marTop w:val="0"/>
      <w:marBottom w:val="0"/>
      <w:divBdr>
        <w:top w:val="none" w:sz="0" w:space="0" w:color="auto"/>
        <w:left w:val="none" w:sz="0" w:space="0" w:color="auto"/>
        <w:bottom w:val="none" w:sz="0" w:space="0" w:color="auto"/>
        <w:right w:val="none" w:sz="0" w:space="0" w:color="auto"/>
      </w:divBdr>
      <w:divsChild>
        <w:div w:id="694308456">
          <w:marLeft w:val="0"/>
          <w:marRight w:val="0"/>
          <w:marTop w:val="0"/>
          <w:marBottom w:val="0"/>
          <w:divBdr>
            <w:top w:val="none" w:sz="0" w:space="0" w:color="auto"/>
            <w:left w:val="none" w:sz="0" w:space="0" w:color="auto"/>
            <w:bottom w:val="none" w:sz="0" w:space="0" w:color="auto"/>
            <w:right w:val="none" w:sz="0" w:space="0" w:color="auto"/>
          </w:divBdr>
        </w:div>
      </w:divsChild>
    </w:div>
    <w:div w:id="331760588">
      <w:marLeft w:val="0"/>
      <w:marRight w:val="0"/>
      <w:marTop w:val="0"/>
      <w:marBottom w:val="0"/>
      <w:divBdr>
        <w:top w:val="none" w:sz="0" w:space="0" w:color="auto"/>
        <w:left w:val="none" w:sz="0" w:space="0" w:color="auto"/>
        <w:bottom w:val="none" w:sz="0" w:space="0" w:color="auto"/>
        <w:right w:val="none" w:sz="0" w:space="0" w:color="auto"/>
      </w:divBdr>
      <w:divsChild>
        <w:div w:id="1496729175">
          <w:marLeft w:val="0"/>
          <w:marRight w:val="0"/>
          <w:marTop w:val="0"/>
          <w:marBottom w:val="0"/>
          <w:divBdr>
            <w:top w:val="none" w:sz="0" w:space="0" w:color="auto"/>
            <w:left w:val="none" w:sz="0" w:space="0" w:color="auto"/>
            <w:bottom w:val="none" w:sz="0" w:space="0" w:color="auto"/>
            <w:right w:val="none" w:sz="0" w:space="0" w:color="auto"/>
          </w:divBdr>
        </w:div>
      </w:divsChild>
    </w:div>
    <w:div w:id="357202272">
      <w:marLeft w:val="0"/>
      <w:marRight w:val="0"/>
      <w:marTop w:val="0"/>
      <w:marBottom w:val="0"/>
      <w:divBdr>
        <w:top w:val="none" w:sz="0" w:space="0" w:color="auto"/>
        <w:left w:val="none" w:sz="0" w:space="0" w:color="auto"/>
        <w:bottom w:val="none" w:sz="0" w:space="0" w:color="auto"/>
        <w:right w:val="none" w:sz="0" w:space="0" w:color="auto"/>
      </w:divBdr>
    </w:div>
    <w:div w:id="399600687">
      <w:marLeft w:val="0"/>
      <w:marRight w:val="0"/>
      <w:marTop w:val="0"/>
      <w:marBottom w:val="0"/>
      <w:divBdr>
        <w:top w:val="none" w:sz="0" w:space="0" w:color="auto"/>
        <w:left w:val="none" w:sz="0" w:space="0" w:color="auto"/>
        <w:bottom w:val="none" w:sz="0" w:space="0" w:color="auto"/>
        <w:right w:val="none" w:sz="0" w:space="0" w:color="auto"/>
      </w:divBdr>
    </w:div>
    <w:div w:id="450825835">
      <w:marLeft w:val="0"/>
      <w:marRight w:val="0"/>
      <w:marTop w:val="0"/>
      <w:marBottom w:val="0"/>
      <w:divBdr>
        <w:top w:val="none" w:sz="0" w:space="0" w:color="auto"/>
        <w:left w:val="none" w:sz="0" w:space="0" w:color="auto"/>
        <w:bottom w:val="none" w:sz="0" w:space="0" w:color="auto"/>
        <w:right w:val="none" w:sz="0" w:space="0" w:color="auto"/>
      </w:divBdr>
      <w:divsChild>
        <w:div w:id="1059864121">
          <w:marLeft w:val="0"/>
          <w:marRight w:val="0"/>
          <w:marTop w:val="0"/>
          <w:marBottom w:val="0"/>
          <w:divBdr>
            <w:top w:val="none" w:sz="0" w:space="0" w:color="auto"/>
            <w:left w:val="none" w:sz="0" w:space="0" w:color="auto"/>
            <w:bottom w:val="none" w:sz="0" w:space="0" w:color="auto"/>
            <w:right w:val="none" w:sz="0" w:space="0" w:color="auto"/>
          </w:divBdr>
        </w:div>
      </w:divsChild>
    </w:div>
    <w:div w:id="544177033">
      <w:marLeft w:val="0"/>
      <w:marRight w:val="0"/>
      <w:marTop w:val="0"/>
      <w:marBottom w:val="0"/>
      <w:divBdr>
        <w:top w:val="none" w:sz="0" w:space="0" w:color="auto"/>
        <w:left w:val="none" w:sz="0" w:space="0" w:color="auto"/>
        <w:bottom w:val="none" w:sz="0" w:space="0" w:color="auto"/>
        <w:right w:val="none" w:sz="0" w:space="0" w:color="auto"/>
      </w:divBdr>
      <w:divsChild>
        <w:div w:id="1999915397">
          <w:marLeft w:val="0"/>
          <w:marRight w:val="0"/>
          <w:marTop w:val="0"/>
          <w:marBottom w:val="0"/>
          <w:divBdr>
            <w:top w:val="none" w:sz="0" w:space="0" w:color="auto"/>
            <w:left w:val="none" w:sz="0" w:space="0" w:color="auto"/>
            <w:bottom w:val="none" w:sz="0" w:space="0" w:color="auto"/>
            <w:right w:val="none" w:sz="0" w:space="0" w:color="auto"/>
          </w:divBdr>
        </w:div>
      </w:divsChild>
    </w:div>
    <w:div w:id="577666923">
      <w:marLeft w:val="0"/>
      <w:marRight w:val="0"/>
      <w:marTop w:val="0"/>
      <w:marBottom w:val="0"/>
      <w:divBdr>
        <w:top w:val="none" w:sz="0" w:space="0" w:color="auto"/>
        <w:left w:val="none" w:sz="0" w:space="0" w:color="auto"/>
        <w:bottom w:val="none" w:sz="0" w:space="0" w:color="auto"/>
        <w:right w:val="none" w:sz="0" w:space="0" w:color="auto"/>
      </w:divBdr>
    </w:div>
    <w:div w:id="693574437">
      <w:marLeft w:val="0"/>
      <w:marRight w:val="0"/>
      <w:marTop w:val="0"/>
      <w:marBottom w:val="0"/>
      <w:divBdr>
        <w:top w:val="none" w:sz="0" w:space="0" w:color="auto"/>
        <w:left w:val="none" w:sz="0" w:space="0" w:color="auto"/>
        <w:bottom w:val="none" w:sz="0" w:space="0" w:color="auto"/>
        <w:right w:val="none" w:sz="0" w:space="0" w:color="auto"/>
      </w:divBdr>
    </w:div>
    <w:div w:id="733432399">
      <w:marLeft w:val="0"/>
      <w:marRight w:val="0"/>
      <w:marTop w:val="0"/>
      <w:marBottom w:val="0"/>
      <w:divBdr>
        <w:top w:val="none" w:sz="0" w:space="0" w:color="auto"/>
        <w:left w:val="none" w:sz="0" w:space="0" w:color="auto"/>
        <w:bottom w:val="none" w:sz="0" w:space="0" w:color="auto"/>
        <w:right w:val="none" w:sz="0" w:space="0" w:color="auto"/>
      </w:divBdr>
    </w:div>
    <w:div w:id="945888103">
      <w:marLeft w:val="0"/>
      <w:marRight w:val="0"/>
      <w:marTop w:val="0"/>
      <w:marBottom w:val="0"/>
      <w:divBdr>
        <w:top w:val="none" w:sz="0" w:space="0" w:color="auto"/>
        <w:left w:val="none" w:sz="0" w:space="0" w:color="auto"/>
        <w:bottom w:val="none" w:sz="0" w:space="0" w:color="auto"/>
        <w:right w:val="none" w:sz="0" w:space="0" w:color="auto"/>
      </w:divBdr>
    </w:div>
    <w:div w:id="954753820">
      <w:marLeft w:val="0"/>
      <w:marRight w:val="0"/>
      <w:marTop w:val="0"/>
      <w:marBottom w:val="0"/>
      <w:divBdr>
        <w:top w:val="none" w:sz="0" w:space="0" w:color="auto"/>
        <w:left w:val="none" w:sz="0" w:space="0" w:color="auto"/>
        <w:bottom w:val="none" w:sz="0" w:space="0" w:color="auto"/>
        <w:right w:val="none" w:sz="0" w:space="0" w:color="auto"/>
      </w:divBdr>
    </w:div>
    <w:div w:id="1429614725">
      <w:marLeft w:val="0"/>
      <w:marRight w:val="0"/>
      <w:marTop w:val="0"/>
      <w:marBottom w:val="0"/>
      <w:divBdr>
        <w:top w:val="none" w:sz="0" w:space="0" w:color="auto"/>
        <w:left w:val="none" w:sz="0" w:space="0" w:color="auto"/>
        <w:bottom w:val="none" w:sz="0" w:space="0" w:color="auto"/>
        <w:right w:val="none" w:sz="0" w:space="0" w:color="auto"/>
      </w:divBdr>
    </w:div>
    <w:div w:id="1551576589">
      <w:marLeft w:val="0"/>
      <w:marRight w:val="0"/>
      <w:marTop w:val="0"/>
      <w:marBottom w:val="0"/>
      <w:divBdr>
        <w:top w:val="none" w:sz="0" w:space="0" w:color="auto"/>
        <w:left w:val="none" w:sz="0" w:space="0" w:color="auto"/>
        <w:bottom w:val="none" w:sz="0" w:space="0" w:color="auto"/>
        <w:right w:val="none" w:sz="0" w:space="0" w:color="auto"/>
      </w:divBdr>
      <w:divsChild>
        <w:div w:id="1918126054">
          <w:marLeft w:val="0"/>
          <w:marRight w:val="0"/>
          <w:marTop w:val="0"/>
          <w:marBottom w:val="0"/>
          <w:divBdr>
            <w:top w:val="none" w:sz="0" w:space="0" w:color="auto"/>
            <w:left w:val="none" w:sz="0" w:space="0" w:color="auto"/>
            <w:bottom w:val="none" w:sz="0" w:space="0" w:color="auto"/>
            <w:right w:val="none" w:sz="0" w:space="0" w:color="auto"/>
          </w:divBdr>
        </w:div>
      </w:divsChild>
    </w:div>
    <w:div w:id="1648364906">
      <w:marLeft w:val="0"/>
      <w:marRight w:val="0"/>
      <w:marTop w:val="0"/>
      <w:marBottom w:val="0"/>
      <w:divBdr>
        <w:top w:val="none" w:sz="0" w:space="0" w:color="auto"/>
        <w:left w:val="none" w:sz="0" w:space="0" w:color="auto"/>
        <w:bottom w:val="none" w:sz="0" w:space="0" w:color="auto"/>
        <w:right w:val="none" w:sz="0" w:space="0" w:color="auto"/>
      </w:divBdr>
    </w:div>
    <w:div w:id="1651514516">
      <w:marLeft w:val="0"/>
      <w:marRight w:val="0"/>
      <w:marTop w:val="0"/>
      <w:marBottom w:val="0"/>
      <w:divBdr>
        <w:top w:val="none" w:sz="0" w:space="0" w:color="auto"/>
        <w:left w:val="none" w:sz="0" w:space="0" w:color="auto"/>
        <w:bottom w:val="none" w:sz="0" w:space="0" w:color="auto"/>
        <w:right w:val="none" w:sz="0" w:space="0" w:color="auto"/>
      </w:divBdr>
    </w:div>
    <w:div w:id="1731924563">
      <w:marLeft w:val="0"/>
      <w:marRight w:val="0"/>
      <w:marTop w:val="0"/>
      <w:marBottom w:val="0"/>
      <w:divBdr>
        <w:top w:val="none" w:sz="0" w:space="0" w:color="auto"/>
        <w:left w:val="none" w:sz="0" w:space="0" w:color="auto"/>
        <w:bottom w:val="none" w:sz="0" w:space="0" w:color="auto"/>
        <w:right w:val="none" w:sz="0" w:space="0" w:color="auto"/>
      </w:divBdr>
      <w:divsChild>
        <w:div w:id="2116753215">
          <w:marLeft w:val="0"/>
          <w:marRight w:val="0"/>
          <w:marTop w:val="0"/>
          <w:marBottom w:val="0"/>
          <w:divBdr>
            <w:top w:val="none" w:sz="0" w:space="0" w:color="auto"/>
            <w:left w:val="none" w:sz="0" w:space="0" w:color="auto"/>
            <w:bottom w:val="none" w:sz="0" w:space="0" w:color="auto"/>
            <w:right w:val="none" w:sz="0" w:space="0" w:color="auto"/>
          </w:divBdr>
        </w:div>
      </w:divsChild>
    </w:div>
    <w:div w:id="1778139872">
      <w:marLeft w:val="0"/>
      <w:marRight w:val="0"/>
      <w:marTop w:val="0"/>
      <w:marBottom w:val="0"/>
      <w:divBdr>
        <w:top w:val="none" w:sz="0" w:space="0" w:color="auto"/>
        <w:left w:val="none" w:sz="0" w:space="0" w:color="auto"/>
        <w:bottom w:val="none" w:sz="0" w:space="0" w:color="auto"/>
        <w:right w:val="none" w:sz="0" w:space="0" w:color="auto"/>
      </w:divBdr>
    </w:div>
    <w:div w:id="1783916556">
      <w:marLeft w:val="0"/>
      <w:marRight w:val="0"/>
      <w:marTop w:val="0"/>
      <w:marBottom w:val="0"/>
      <w:divBdr>
        <w:top w:val="none" w:sz="0" w:space="0" w:color="auto"/>
        <w:left w:val="none" w:sz="0" w:space="0" w:color="auto"/>
        <w:bottom w:val="none" w:sz="0" w:space="0" w:color="auto"/>
        <w:right w:val="none" w:sz="0" w:space="0" w:color="auto"/>
      </w:divBdr>
    </w:div>
    <w:div w:id="1952201525">
      <w:marLeft w:val="0"/>
      <w:marRight w:val="0"/>
      <w:marTop w:val="0"/>
      <w:marBottom w:val="0"/>
      <w:divBdr>
        <w:top w:val="none" w:sz="0" w:space="0" w:color="auto"/>
        <w:left w:val="none" w:sz="0" w:space="0" w:color="auto"/>
        <w:bottom w:val="none" w:sz="0" w:space="0" w:color="auto"/>
        <w:right w:val="none" w:sz="0" w:space="0" w:color="auto"/>
      </w:divBdr>
    </w:div>
    <w:div w:id="2050061451">
      <w:marLeft w:val="0"/>
      <w:marRight w:val="0"/>
      <w:marTop w:val="0"/>
      <w:marBottom w:val="0"/>
      <w:divBdr>
        <w:top w:val="none" w:sz="0" w:space="0" w:color="auto"/>
        <w:left w:val="none" w:sz="0" w:space="0" w:color="auto"/>
        <w:bottom w:val="none" w:sz="0" w:space="0" w:color="auto"/>
        <w:right w:val="none" w:sz="0" w:space="0" w:color="auto"/>
      </w:divBdr>
      <w:divsChild>
        <w:div w:id="1832482299">
          <w:marLeft w:val="0"/>
          <w:marRight w:val="0"/>
          <w:marTop w:val="0"/>
          <w:marBottom w:val="0"/>
          <w:divBdr>
            <w:top w:val="none" w:sz="0" w:space="0" w:color="auto"/>
            <w:left w:val="none" w:sz="0" w:space="0" w:color="auto"/>
            <w:bottom w:val="none" w:sz="0" w:space="0" w:color="auto"/>
            <w:right w:val="none" w:sz="0" w:space="0" w:color="auto"/>
          </w:divBdr>
        </w:div>
        <w:div w:id="538006153">
          <w:marLeft w:val="0"/>
          <w:marRight w:val="0"/>
          <w:marTop w:val="0"/>
          <w:marBottom w:val="0"/>
          <w:divBdr>
            <w:top w:val="none" w:sz="0" w:space="0" w:color="auto"/>
            <w:left w:val="none" w:sz="0" w:space="0" w:color="auto"/>
            <w:bottom w:val="none" w:sz="0" w:space="0" w:color="auto"/>
            <w:right w:val="none" w:sz="0" w:space="0" w:color="auto"/>
          </w:divBdr>
        </w:div>
        <w:div w:id="545680625">
          <w:marLeft w:val="0"/>
          <w:marRight w:val="0"/>
          <w:marTop w:val="0"/>
          <w:marBottom w:val="0"/>
          <w:divBdr>
            <w:top w:val="none" w:sz="0" w:space="0" w:color="auto"/>
            <w:left w:val="none" w:sz="0" w:space="0" w:color="auto"/>
            <w:bottom w:val="none" w:sz="0" w:space="0" w:color="auto"/>
            <w:right w:val="none" w:sz="0" w:space="0" w:color="auto"/>
          </w:divBdr>
        </w:div>
      </w:divsChild>
    </w:div>
    <w:div w:id="2102750062">
      <w:marLeft w:val="0"/>
      <w:marRight w:val="0"/>
      <w:marTop w:val="0"/>
      <w:marBottom w:val="0"/>
      <w:divBdr>
        <w:top w:val="none" w:sz="0" w:space="0" w:color="auto"/>
        <w:left w:val="none" w:sz="0" w:space="0" w:color="auto"/>
        <w:bottom w:val="none" w:sz="0" w:space="0" w:color="auto"/>
        <w:right w:val="none" w:sz="0" w:space="0" w:color="auto"/>
      </w:divBdr>
    </w:div>
    <w:div w:id="2129548439">
      <w:marLeft w:val="0"/>
      <w:marRight w:val="0"/>
      <w:marTop w:val="0"/>
      <w:marBottom w:val="0"/>
      <w:divBdr>
        <w:top w:val="none" w:sz="0" w:space="0" w:color="auto"/>
        <w:left w:val="none" w:sz="0" w:space="0" w:color="auto"/>
        <w:bottom w:val="none" w:sz="0" w:space="0" w:color="auto"/>
        <w:right w:val="none" w:sz="0" w:space="0" w:color="auto"/>
      </w:divBdr>
    </w:div>
    <w:div w:id="214631279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1669</Words>
  <Characters>9519</Characters>
  <Application>Microsoft Office Word</Application>
  <DocSecurity>4</DocSecurity>
  <Lines>79</Lines>
  <Paragraphs>22</Paragraphs>
  <ScaleCrop>false</ScaleCrop>
  <Company/>
  <LinksUpToDate>false</LinksUpToDate>
  <CharactersWithSpaces>11166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