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摩根转型动力灵活配置混合型证券投资基金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摩根转型动力混合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000328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2013</w:t>
            </w:r>
            <w:r w:rsidRPr="00B27A29">
              <w:rPr>
                <w:rFonts w:eastAsiaTheme="minorEastAsia"/>
                <w:color w:val="000000" w:themeColor="text1"/>
                <w:kern w:val="0"/>
                <w:szCs w:val="21"/>
              </w:rPr>
              <w:t>年</w:t>
            </w:r>
            <w:r w:rsidRPr="00B27A29">
              <w:rPr>
                <w:rFonts w:eastAsiaTheme="minorEastAsia"/>
                <w:color w:val="000000" w:themeColor="text1"/>
                <w:kern w:val="0"/>
                <w:szCs w:val="21"/>
              </w:rPr>
              <w:t>11</w:t>
            </w:r>
            <w:r w:rsidRPr="00B27A29">
              <w:rPr>
                <w:rFonts w:eastAsiaTheme="minorEastAsia"/>
                <w:color w:val="000000" w:themeColor="text1"/>
                <w:kern w:val="0"/>
                <w:szCs w:val="21"/>
              </w:rPr>
              <w:t>月</w:t>
            </w:r>
            <w:r w:rsidRPr="00B27A29">
              <w:rPr>
                <w:rFonts w:eastAsiaTheme="minorEastAsia"/>
                <w:color w:val="000000" w:themeColor="text1"/>
                <w:kern w:val="0"/>
                <w:szCs w:val="21"/>
              </w:rPr>
              <w:t>25</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93,063,062.84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通过投资于符合政策扶植和经济发展方向，具有长期发展潜力的上市公司，充分把握中国未来经济转型带来的投资机会，力争实现基金资产的长期稳健增值。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934D8" w:rsidRDefault="00BA42E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本基金将以经济转型作为行业配置和个股选择的主线，重点投资于受益于经济转型和政策扶持、具有良好基本面和持续成长能力的上市公司，力争实现基金资产的长期稳定增值。</w:t>
            </w:r>
          </w:p>
          <w:p w:rsidR="000934D8" w:rsidRDefault="00BA42E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在行业配置层面，本基金将运用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的方法，通过对国内外宏观经济、经济结构转型的方向、国家经济政策、</w:t>
            </w:r>
            <w:r>
              <w:rPr>
                <w:rFonts w:eastAsiaTheme="minorEastAsia"/>
                <w:color w:val="000000" w:themeColor="text1"/>
                <w:kern w:val="0"/>
                <w:szCs w:val="21"/>
              </w:rPr>
              <w:lastRenderedPageBreak/>
              <w:t>产业政策导向的深入研究，挖掘受益于国家经济转型、具有较大成长空间的行业。在个股选择层面，本基金将主要采用</w:t>
            </w:r>
            <w:r>
              <w:rPr>
                <w:rFonts w:eastAsiaTheme="minorEastAsia"/>
                <w:color w:val="000000" w:themeColor="text1"/>
                <w:kern w:val="0"/>
                <w:szCs w:val="21"/>
              </w:rPr>
              <w:t>“</w:t>
            </w:r>
            <w:r>
              <w:rPr>
                <w:rFonts w:eastAsiaTheme="minorEastAsia"/>
                <w:color w:val="000000" w:themeColor="text1"/>
                <w:kern w:val="0"/>
                <w:szCs w:val="21"/>
              </w:rPr>
              <w:t>自下而上</w:t>
            </w:r>
            <w:r>
              <w:rPr>
                <w:rFonts w:eastAsiaTheme="minorEastAsia"/>
                <w:color w:val="000000" w:themeColor="text1"/>
                <w:kern w:val="0"/>
                <w:szCs w:val="21"/>
              </w:rPr>
              <w:t>”</w:t>
            </w:r>
            <w:r>
              <w:rPr>
                <w:rFonts w:eastAsiaTheme="minorEastAsia"/>
                <w:color w:val="000000" w:themeColor="text1"/>
                <w:kern w:val="0"/>
                <w:szCs w:val="21"/>
              </w:rPr>
              <w:t>的方法，在备选行业内部通过定量与定性相结合的分析方法，综合分析上市公司的业绩质量、成长性和估值水平等，精选具有良好成长性、估值合理的个股。</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具体投资策略包括：资产配置策略、行业配置策略、股票投资策略、固定收益类投资策略、可转换债券投资策略、中小企业私募债投资策略、权证投资策略、股指期货投资策略、存托凭证投资策略。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0934D8" w:rsidRDefault="00BA42E4">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本基金属于混合型基金产品，预期风险和收益水平低于股票型基金，高于债券型基金和货币市场基金</w:t>
            </w:r>
            <w:r>
              <w:rPr>
                <w:rFonts w:eastAsiaTheme="minorEastAsia"/>
                <w:color w:val="000000" w:themeColor="text1"/>
                <w:kern w:val="0"/>
                <w:szCs w:val="21"/>
              </w:rPr>
              <w:t xml:space="preserve"> </w:t>
            </w:r>
            <w:r>
              <w:rPr>
                <w:rFonts w:eastAsiaTheme="minorEastAsia"/>
                <w:color w:val="000000" w:themeColor="text1"/>
                <w:kern w:val="0"/>
                <w:szCs w:val="21"/>
              </w:rPr>
              <w:t>，属于较高风险收益水平的基金产品。</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000328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015074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92,927,749.24</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135,313.60</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lastRenderedPageBreak/>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-7,985,781.79</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-9,853.58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2,570,300.33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2,265.31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0.0275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0.0188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158,481,948.66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227,928.10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1.7054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1.6844</w:t>
            </w:r>
          </w:p>
        </w:tc>
      </w:tr>
    </w:tbl>
    <w:p w:rsidR="000934D8" w:rsidRDefault="00BA42E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摩根转型动力混合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934D8">
        <w:tc>
          <w:tcPr>
            <w:tcW w:w="1290" w:type="dxa"/>
            <w:vAlign w:val="center"/>
          </w:tcPr>
          <w:p w:rsidR="000934D8" w:rsidRDefault="00BA42E4">
            <w:pPr>
              <w:jc w:val="left"/>
            </w:pPr>
            <w:r>
              <w:rPr>
                <w:rFonts w:eastAsiaTheme="minorEastAsia"/>
                <w:color w:val="000000" w:themeColor="text1"/>
                <w:szCs w:val="21"/>
              </w:rPr>
              <w:t>过去三个月</w:t>
            </w:r>
          </w:p>
        </w:tc>
        <w:tc>
          <w:tcPr>
            <w:tcW w:w="1291" w:type="dxa"/>
            <w:vAlign w:val="center"/>
          </w:tcPr>
          <w:p w:rsidR="000934D8" w:rsidRDefault="00BA42E4">
            <w:pPr>
              <w:jc w:val="right"/>
            </w:pPr>
            <w:r>
              <w:rPr>
                <w:rFonts w:eastAsiaTheme="minorEastAsia"/>
                <w:color w:val="000000" w:themeColor="text1"/>
                <w:szCs w:val="21"/>
              </w:rPr>
              <w:t>1.63%</w:t>
            </w:r>
          </w:p>
        </w:tc>
        <w:tc>
          <w:tcPr>
            <w:tcW w:w="1291" w:type="dxa"/>
            <w:vAlign w:val="center"/>
          </w:tcPr>
          <w:p w:rsidR="000934D8" w:rsidRDefault="00BA42E4">
            <w:pPr>
              <w:jc w:val="right"/>
            </w:pPr>
            <w:r>
              <w:rPr>
                <w:rFonts w:eastAsiaTheme="minorEastAsia"/>
                <w:color w:val="000000" w:themeColor="text1"/>
                <w:szCs w:val="21"/>
              </w:rPr>
              <w:t>1.49%</w:t>
            </w:r>
          </w:p>
        </w:tc>
        <w:tc>
          <w:tcPr>
            <w:tcW w:w="1291" w:type="dxa"/>
            <w:vAlign w:val="center"/>
          </w:tcPr>
          <w:p w:rsidR="000934D8" w:rsidRDefault="00BA42E4">
            <w:pPr>
              <w:jc w:val="right"/>
            </w:pPr>
            <w:r>
              <w:rPr>
                <w:rFonts w:eastAsiaTheme="minorEastAsia"/>
                <w:color w:val="000000" w:themeColor="text1"/>
                <w:szCs w:val="21"/>
              </w:rPr>
              <w:t>2.73%</w:t>
            </w:r>
          </w:p>
        </w:tc>
        <w:tc>
          <w:tcPr>
            <w:tcW w:w="1291" w:type="dxa"/>
            <w:vAlign w:val="center"/>
          </w:tcPr>
          <w:p w:rsidR="000934D8" w:rsidRDefault="00BA42E4">
            <w:pPr>
              <w:jc w:val="right"/>
            </w:pPr>
            <w:r>
              <w:rPr>
                <w:rFonts w:eastAsiaTheme="minorEastAsia"/>
                <w:color w:val="000000" w:themeColor="text1"/>
                <w:szCs w:val="21"/>
              </w:rPr>
              <w:t>0.82%</w:t>
            </w:r>
          </w:p>
        </w:tc>
        <w:tc>
          <w:tcPr>
            <w:tcW w:w="1291" w:type="dxa"/>
            <w:vAlign w:val="center"/>
          </w:tcPr>
          <w:p w:rsidR="000934D8" w:rsidRDefault="00BA42E4">
            <w:pPr>
              <w:jc w:val="right"/>
            </w:pPr>
            <w:r>
              <w:rPr>
                <w:rFonts w:eastAsiaTheme="minorEastAsia"/>
                <w:color w:val="000000" w:themeColor="text1"/>
                <w:szCs w:val="21"/>
              </w:rPr>
              <w:t>-1.10%</w:t>
            </w:r>
          </w:p>
        </w:tc>
        <w:tc>
          <w:tcPr>
            <w:tcW w:w="1291" w:type="dxa"/>
            <w:vAlign w:val="center"/>
          </w:tcPr>
          <w:p w:rsidR="000934D8" w:rsidRDefault="00BA42E4">
            <w:pPr>
              <w:jc w:val="right"/>
            </w:pPr>
            <w:r>
              <w:rPr>
                <w:rFonts w:eastAsiaTheme="minorEastAsia"/>
                <w:color w:val="000000" w:themeColor="text1"/>
                <w:szCs w:val="21"/>
              </w:rPr>
              <w:t>0.67%</w:t>
            </w:r>
          </w:p>
        </w:tc>
      </w:tr>
      <w:tr w:rsidR="000934D8">
        <w:tc>
          <w:tcPr>
            <w:tcW w:w="1290" w:type="dxa"/>
            <w:vAlign w:val="center"/>
          </w:tcPr>
          <w:p w:rsidR="000934D8" w:rsidRDefault="00BA42E4">
            <w:pPr>
              <w:jc w:val="left"/>
            </w:pPr>
            <w:r>
              <w:rPr>
                <w:rFonts w:eastAsiaTheme="minorEastAsia"/>
                <w:color w:val="000000" w:themeColor="text1"/>
                <w:szCs w:val="21"/>
              </w:rPr>
              <w:t>过去六个月</w:t>
            </w:r>
          </w:p>
        </w:tc>
        <w:tc>
          <w:tcPr>
            <w:tcW w:w="1291" w:type="dxa"/>
            <w:vAlign w:val="center"/>
          </w:tcPr>
          <w:p w:rsidR="000934D8" w:rsidRDefault="00BA42E4">
            <w:pPr>
              <w:jc w:val="right"/>
            </w:pPr>
            <w:r>
              <w:rPr>
                <w:rFonts w:eastAsiaTheme="minorEastAsia"/>
                <w:color w:val="000000" w:themeColor="text1"/>
                <w:szCs w:val="21"/>
              </w:rPr>
              <w:t>-4.96%</w:t>
            </w:r>
          </w:p>
        </w:tc>
        <w:tc>
          <w:tcPr>
            <w:tcW w:w="1291" w:type="dxa"/>
            <w:vAlign w:val="center"/>
          </w:tcPr>
          <w:p w:rsidR="000934D8" w:rsidRDefault="00BA42E4">
            <w:pPr>
              <w:jc w:val="right"/>
            </w:pPr>
            <w:r>
              <w:rPr>
                <w:rFonts w:eastAsiaTheme="minorEastAsia"/>
                <w:color w:val="000000" w:themeColor="text1"/>
                <w:szCs w:val="21"/>
              </w:rPr>
              <w:t>1.27%</w:t>
            </w:r>
          </w:p>
        </w:tc>
        <w:tc>
          <w:tcPr>
            <w:tcW w:w="1291" w:type="dxa"/>
            <w:vAlign w:val="center"/>
          </w:tcPr>
          <w:p w:rsidR="000934D8" w:rsidRDefault="00BA42E4">
            <w:pPr>
              <w:jc w:val="right"/>
            </w:pPr>
            <w:r>
              <w:rPr>
                <w:rFonts w:eastAsiaTheme="minorEastAsia"/>
                <w:color w:val="000000" w:themeColor="text1"/>
                <w:szCs w:val="21"/>
              </w:rPr>
              <w:t>-2.88%</w:t>
            </w:r>
          </w:p>
        </w:tc>
        <w:tc>
          <w:tcPr>
            <w:tcW w:w="1291" w:type="dxa"/>
            <w:vAlign w:val="center"/>
          </w:tcPr>
          <w:p w:rsidR="000934D8" w:rsidRDefault="00BA42E4">
            <w:pPr>
              <w:jc w:val="right"/>
            </w:pPr>
            <w:r>
              <w:rPr>
                <w:rFonts w:eastAsiaTheme="minorEastAsia"/>
                <w:color w:val="000000" w:themeColor="text1"/>
                <w:szCs w:val="21"/>
              </w:rPr>
              <w:t>0.73%</w:t>
            </w:r>
          </w:p>
        </w:tc>
        <w:tc>
          <w:tcPr>
            <w:tcW w:w="1291" w:type="dxa"/>
            <w:vAlign w:val="center"/>
          </w:tcPr>
          <w:p w:rsidR="000934D8" w:rsidRDefault="00BA42E4">
            <w:pPr>
              <w:jc w:val="right"/>
            </w:pPr>
            <w:r>
              <w:rPr>
                <w:rFonts w:eastAsiaTheme="minorEastAsia"/>
                <w:color w:val="000000" w:themeColor="text1"/>
                <w:szCs w:val="21"/>
              </w:rPr>
              <w:t>-2.08%</w:t>
            </w:r>
          </w:p>
        </w:tc>
        <w:tc>
          <w:tcPr>
            <w:tcW w:w="1291" w:type="dxa"/>
            <w:vAlign w:val="center"/>
          </w:tcPr>
          <w:p w:rsidR="000934D8" w:rsidRDefault="00BA42E4">
            <w:pPr>
              <w:jc w:val="right"/>
            </w:pPr>
            <w:r>
              <w:rPr>
                <w:rFonts w:eastAsiaTheme="minorEastAsia"/>
                <w:color w:val="000000" w:themeColor="text1"/>
                <w:szCs w:val="21"/>
              </w:rPr>
              <w:t>0.54%</w:t>
            </w:r>
          </w:p>
        </w:tc>
      </w:tr>
      <w:tr w:rsidR="000934D8">
        <w:tc>
          <w:tcPr>
            <w:tcW w:w="1290" w:type="dxa"/>
            <w:vAlign w:val="center"/>
          </w:tcPr>
          <w:p w:rsidR="000934D8" w:rsidRDefault="00BA42E4">
            <w:pPr>
              <w:jc w:val="left"/>
            </w:pPr>
            <w:r>
              <w:rPr>
                <w:rFonts w:eastAsiaTheme="minorEastAsia"/>
                <w:color w:val="000000" w:themeColor="text1"/>
                <w:szCs w:val="21"/>
              </w:rPr>
              <w:t>过去一年</w:t>
            </w:r>
          </w:p>
        </w:tc>
        <w:tc>
          <w:tcPr>
            <w:tcW w:w="1291" w:type="dxa"/>
            <w:vAlign w:val="center"/>
          </w:tcPr>
          <w:p w:rsidR="000934D8" w:rsidRDefault="00BA42E4">
            <w:pPr>
              <w:jc w:val="right"/>
            </w:pPr>
            <w:r>
              <w:rPr>
                <w:rFonts w:eastAsiaTheme="minorEastAsia"/>
                <w:color w:val="000000" w:themeColor="text1"/>
                <w:szCs w:val="21"/>
              </w:rPr>
              <w:t>-17.60%</w:t>
            </w:r>
          </w:p>
        </w:tc>
        <w:tc>
          <w:tcPr>
            <w:tcW w:w="1291" w:type="dxa"/>
            <w:vAlign w:val="center"/>
          </w:tcPr>
          <w:p w:rsidR="000934D8" w:rsidRDefault="00BA42E4">
            <w:pPr>
              <w:jc w:val="right"/>
            </w:pPr>
            <w:r>
              <w:rPr>
                <w:rFonts w:eastAsiaTheme="minorEastAsia"/>
                <w:color w:val="000000" w:themeColor="text1"/>
                <w:szCs w:val="21"/>
              </w:rPr>
              <w:t>1.49%</w:t>
            </w:r>
          </w:p>
        </w:tc>
        <w:tc>
          <w:tcPr>
            <w:tcW w:w="1291" w:type="dxa"/>
            <w:vAlign w:val="center"/>
          </w:tcPr>
          <w:p w:rsidR="000934D8" w:rsidRDefault="00BA42E4">
            <w:pPr>
              <w:jc w:val="right"/>
            </w:pPr>
            <w:r>
              <w:rPr>
                <w:rFonts w:eastAsiaTheme="minorEastAsia"/>
                <w:color w:val="000000" w:themeColor="text1"/>
                <w:szCs w:val="21"/>
              </w:rPr>
              <w:t>-9.52%</w:t>
            </w:r>
          </w:p>
        </w:tc>
        <w:tc>
          <w:tcPr>
            <w:tcW w:w="1291" w:type="dxa"/>
            <w:vAlign w:val="center"/>
          </w:tcPr>
          <w:p w:rsidR="000934D8" w:rsidRDefault="00BA42E4">
            <w:pPr>
              <w:jc w:val="right"/>
            </w:pPr>
            <w:r>
              <w:rPr>
                <w:rFonts w:eastAsiaTheme="minorEastAsia"/>
                <w:color w:val="000000" w:themeColor="text1"/>
                <w:szCs w:val="21"/>
              </w:rPr>
              <w:t>0.71%</w:t>
            </w:r>
          </w:p>
        </w:tc>
        <w:tc>
          <w:tcPr>
            <w:tcW w:w="1291" w:type="dxa"/>
            <w:vAlign w:val="center"/>
          </w:tcPr>
          <w:p w:rsidR="000934D8" w:rsidRDefault="00BA42E4">
            <w:pPr>
              <w:jc w:val="right"/>
            </w:pPr>
            <w:r>
              <w:rPr>
                <w:rFonts w:eastAsiaTheme="minorEastAsia"/>
                <w:color w:val="000000" w:themeColor="text1"/>
                <w:szCs w:val="21"/>
              </w:rPr>
              <w:t>-8.08%</w:t>
            </w:r>
          </w:p>
        </w:tc>
        <w:tc>
          <w:tcPr>
            <w:tcW w:w="1291" w:type="dxa"/>
            <w:vAlign w:val="center"/>
          </w:tcPr>
          <w:p w:rsidR="000934D8" w:rsidRDefault="00BA42E4">
            <w:pPr>
              <w:jc w:val="right"/>
            </w:pPr>
            <w:r>
              <w:rPr>
                <w:rFonts w:eastAsiaTheme="minorEastAsia"/>
                <w:color w:val="000000" w:themeColor="text1"/>
                <w:szCs w:val="21"/>
              </w:rPr>
              <w:t>0.78%</w:t>
            </w:r>
          </w:p>
        </w:tc>
      </w:tr>
      <w:tr w:rsidR="000934D8">
        <w:tc>
          <w:tcPr>
            <w:tcW w:w="1290" w:type="dxa"/>
            <w:vAlign w:val="center"/>
          </w:tcPr>
          <w:p w:rsidR="000934D8" w:rsidRDefault="00BA42E4">
            <w:pPr>
              <w:jc w:val="left"/>
            </w:pPr>
            <w:r>
              <w:rPr>
                <w:rFonts w:eastAsiaTheme="minorEastAsia"/>
                <w:color w:val="000000" w:themeColor="text1"/>
                <w:szCs w:val="21"/>
              </w:rPr>
              <w:t>过去三年</w:t>
            </w:r>
          </w:p>
        </w:tc>
        <w:tc>
          <w:tcPr>
            <w:tcW w:w="1291" w:type="dxa"/>
            <w:vAlign w:val="center"/>
          </w:tcPr>
          <w:p w:rsidR="000934D8" w:rsidRDefault="00BA42E4">
            <w:pPr>
              <w:jc w:val="right"/>
            </w:pPr>
            <w:r>
              <w:rPr>
                <w:rFonts w:eastAsiaTheme="minorEastAsia"/>
                <w:color w:val="000000" w:themeColor="text1"/>
                <w:szCs w:val="21"/>
              </w:rPr>
              <w:t>-42.86%</w:t>
            </w:r>
          </w:p>
        </w:tc>
        <w:tc>
          <w:tcPr>
            <w:tcW w:w="1291" w:type="dxa"/>
            <w:vAlign w:val="center"/>
          </w:tcPr>
          <w:p w:rsidR="000934D8" w:rsidRDefault="00BA42E4">
            <w:pPr>
              <w:jc w:val="right"/>
            </w:pPr>
            <w:r>
              <w:rPr>
                <w:rFonts w:eastAsiaTheme="minorEastAsia"/>
                <w:color w:val="000000" w:themeColor="text1"/>
                <w:szCs w:val="21"/>
              </w:rPr>
              <w:t>1.60%</w:t>
            </w:r>
          </w:p>
        </w:tc>
        <w:tc>
          <w:tcPr>
            <w:tcW w:w="1291" w:type="dxa"/>
            <w:vAlign w:val="center"/>
          </w:tcPr>
          <w:p w:rsidR="000934D8" w:rsidRDefault="00BA42E4">
            <w:pPr>
              <w:jc w:val="right"/>
            </w:pPr>
            <w:r>
              <w:rPr>
                <w:rFonts w:eastAsiaTheme="minorEastAsia"/>
                <w:color w:val="000000" w:themeColor="text1"/>
                <w:szCs w:val="21"/>
              </w:rPr>
              <w:t>-22.80%</w:t>
            </w:r>
          </w:p>
        </w:tc>
        <w:tc>
          <w:tcPr>
            <w:tcW w:w="1291" w:type="dxa"/>
            <w:vAlign w:val="center"/>
          </w:tcPr>
          <w:p w:rsidR="000934D8" w:rsidRDefault="00BA42E4">
            <w:pPr>
              <w:jc w:val="right"/>
            </w:pPr>
            <w:r>
              <w:rPr>
                <w:rFonts w:eastAsiaTheme="minorEastAsia"/>
                <w:color w:val="000000" w:themeColor="text1"/>
                <w:szCs w:val="21"/>
              </w:rPr>
              <w:t>0.85%</w:t>
            </w:r>
          </w:p>
        </w:tc>
        <w:tc>
          <w:tcPr>
            <w:tcW w:w="1291" w:type="dxa"/>
            <w:vAlign w:val="center"/>
          </w:tcPr>
          <w:p w:rsidR="000934D8" w:rsidRDefault="00BA42E4">
            <w:pPr>
              <w:jc w:val="right"/>
            </w:pPr>
            <w:r>
              <w:rPr>
                <w:rFonts w:eastAsiaTheme="minorEastAsia"/>
                <w:color w:val="000000" w:themeColor="text1"/>
                <w:szCs w:val="21"/>
              </w:rPr>
              <w:t>-20.06%</w:t>
            </w:r>
          </w:p>
        </w:tc>
        <w:tc>
          <w:tcPr>
            <w:tcW w:w="1291" w:type="dxa"/>
            <w:vAlign w:val="center"/>
          </w:tcPr>
          <w:p w:rsidR="000934D8" w:rsidRDefault="00BA42E4">
            <w:pPr>
              <w:jc w:val="right"/>
            </w:pPr>
            <w:r>
              <w:rPr>
                <w:rFonts w:eastAsiaTheme="minorEastAsia"/>
                <w:color w:val="000000" w:themeColor="text1"/>
                <w:szCs w:val="21"/>
              </w:rPr>
              <w:t>0.75%</w:t>
            </w:r>
          </w:p>
        </w:tc>
      </w:tr>
      <w:tr w:rsidR="000934D8">
        <w:tc>
          <w:tcPr>
            <w:tcW w:w="1290" w:type="dxa"/>
            <w:vAlign w:val="center"/>
          </w:tcPr>
          <w:p w:rsidR="000934D8" w:rsidRDefault="00BA42E4">
            <w:pPr>
              <w:jc w:val="left"/>
            </w:pPr>
            <w:r>
              <w:rPr>
                <w:rFonts w:eastAsiaTheme="minorEastAsia"/>
                <w:color w:val="000000" w:themeColor="text1"/>
                <w:szCs w:val="21"/>
              </w:rPr>
              <w:t>过去五年</w:t>
            </w:r>
          </w:p>
        </w:tc>
        <w:tc>
          <w:tcPr>
            <w:tcW w:w="1291" w:type="dxa"/>
            <w:vAlign w:val="center"/>
          </w:tcPr>
          <w:p w:rsidR="000934D8" w:rsidRDefault="00BA42E4">
            <w:pPr>
              <w:jc w:val="right"/>
            </w:pPr>
            <w:r>
              <w:rPr>
                <w:rFonts w:eastAsiaTheme="minorEastAsia"/>
                <w:color w:val="000000" w:themeColor="text1"/>
                <w:szCs w:val="21"/>
              </w:rPr>
              <w:t>23.49%</w:t>
            </w:r>
          </w:p>
        </w:tc>
        <w:tc>
          <w:tcPr>
            <w:tcW w:w="1291" w:type="dxa"/>
            <w:vAlign w:val="center"/>
          </w:tcPr>
          <w:p w:rsidR="000934D8" w:rsidRDefault="00BA42E4">
            <w:pPr>
              <w:jc w:val="right"/>
            </w:pPr>
            <w:r>
              <w:rPr>
                <w:rFonts w:eastAsiaTheme="minorEastAsia"/>
                <w:color w:val="000000" w:themeColor="text1"/>
                <w:szCs w:val="21"/>
              </w:rPr>
              <w:t>1.63%</w:t>
            </w:r>
          </w:p>
        </w:tc>
        <w:tc>
          <w:tcPr>
            <w:tcW w:w="1291" w:type="dxa"/>
            <w:vAlign w:val="center"/>
          </w:tcPr>
          <w:p w:rsidR="000934D8" w:rsidRDefault="00BA42E4">
            <w:pPr>
              <w:jc w:val="right"/>
            </w:pPr>
            <w:r>
              <w:rPr>
                <w:rFonts w:eastAsiaTheme="minorEastAsia"/>
                <w:color w:val="000000" w:themeColor="text1"/>
                <w:szCs w:val="21"/>
              </w:rPr>
              <w:t>-5.66%</w:t>
            </w:r>
          </w:p>
        </w:tc>
        <w:tc>
          <w:tcPr>
            <w:tcW w:w="1291" w:type="dxa"/>
            <w:vAlign w:val="center"/>
          </w:tcPr>
          <w:p w:rsidR="000934D8" w:rsidRDefault="00BA42E4">
            <w:pPr>
              <w:jc w:val="right"/>
            </w:pPr>
            <w:r>
              <w:rPr>
                <w:rFonts w:eastAsiaTheme="minorEastAsia"/>
                <w:color w:val="000000" w:themeColor="text1"/>
                <w:szCs w:val="21"/>
              </w:rPr>
              <w:t>0.94%</w:t>
            </w:r>
          </w:p>
        </w:tc>
        <w:tc>
          <w:tcPr>
            <w:tcW w:w="1291" w:type="dxa"/>
            <w:vAlign w:val="center"/>
          </w:tcPr>
          <w:p w:rsidR="000934D8" w:rsidRDefault="00BA42E4">
            <w:pPr>
              <w:jc w:val="right"/>
            </w:pPr>
            <w:r>
              <w:rPr>
                <w:rFonts w:eastAsiaTheme="minorEastAsia"/>
                <w:color w:val="000000" w:themeColor="text1"/>
                <w:szCs w:val="21"/>
              </w:rPr>
              <w:t>29.15%</w:t>
            </w:r>
          </w:p>
        </w:tc>
        <w:tc>
          <w:tcPr>
            <w:tcW w:w="1291" w:type="dxa"/>
            <w:vAlign w:val="center"/>
          </w:tcPr>
          <w:p w:rsidR="000934D8" w:rsidRDefault="00BA42E4">
            <w:pPr>
              <w:jc w:val="right"/>
            </w:pPr>
            <w:r>
              <w:rPr>
                <w:rFonts w:eastAsiaTheme="minorEastAsia"/>
                <w:color w:val="000000" w:themeColor="text1"/>
                <w:szCs w:val="21"/>
              </w:rPr>
              <w:t>0.69%</w:t>
            </w:r>
          </w:p>
        </w:tc>
      </w:tr>
      <w:tr w:rsidR="000934D8">
        <w:tc>
          <w:tcPr>
            <w:tcW w:w="1290" w:type="dxa"/>
            <w:vAlign w:val="center"/>
          </w:tcPr>
          <w:p w:rsidR="000934D8" w:rsidRDefault="00BA42E4">
            <w:pPr>
              <w:jc w:val="left"/>
            </w:pPr>
            <w:r>
              <w:rPr>
                <w:rFonts w:eastAsiaTheme="minorEastAsia"/>
                <w:color w:val="000000" w:themeColor="text1"/>
                <w:szCs w:val="21"/>
              </w:rPr>
              <w:t>自基金合同生效起至今</w:t>
            </w:r>
          </w:p>
        </w:tc>
        <w:tc>
          <w:tcPr>
            <w:tcW w:w="1291" w:type="dxa"/>
            <w:vAlign w:val="center"/>
          </w:tcPr>
          <w:p w:rsidR="000934D8" w:rsidRDefault="00BA42E4">
            <w:pPr>
              <w:jc w:val="right"/>
            </w:pPr>
            <w:r>
              <w:rPr>
                <w:rFonts w:eastAsiaTheme="minorEastAsia"/>
                <w:color w:val="000000" w:themeColor="text1"/>
                <w:szCs w:val="21"/>
              </w:rPr>
              <w:t>70.54%</w:t>
            </w:r>
          </w:p>
        </w:tc>
        <w:tc>
          <w:tcPr>
            <w:tcW w:w="1291" w:type="dxa"/>
            <w:vAlign w:val="center"/>
          </w:tcPr>
          <w:p w:rsidR="000934D8" w:rsidRDefault="00BA42E4">
            <w:pPr>
              <w:jc w:val="right"/>
            </w:pPr>
            <w:r>
              <w:rPr>
                <w:rFonts w:eastAsiaTheme="minorEastAsia"/>
                <w:color w:val="000000" w:themeColor="text1"/>
                <w:szCs w:val="21"/>
              </w:rPr>
              <w:t>1.73%</w:t>
            </w:r>
          </w:p>
        </w:tc>
        <w:tc>
          <w:tcPr>
            <w:tcW w:w="1291" w:type="dxa"/>
            <w:vAlign w:val="center"/>
          </w:tcPr>
          <w:p w:rsidR="000934D8" w:rsidRDefault="00BA42E4">
            <w:pPr>
              <w:jc w:val="right"/>
            </w:pPr>
            <w:r>
              <w:rPr>
                <w:rFonts w:eastAsiaTheme="minorEastAsia"/>
                <w:color w:val="000000" w:themeColor="text1"/>
                <w:szCs w:val="21"/>
              </w:rPr>
              <w:t>41.85%</w:t>
            </w:r>
          </w:p>
        </w:tc>
        <w:tc>
          <w:tcPr>
            <w:tcW w:w="1291" w:type="dxa"/>
            <w:vAlign w:val="center"/>
          </w:tcPr>
          <w:p w:rsidR="000934D8" w:rsidRDefault="00BA42E4">
            <w:pPr>
              <w:jc w:val="right"/>
            </w:pPr>
            <w:r>
              <w:rPr>
                <w:rFonts w:eastAsiaTheme="minorEastAsia"/>
                <w:color w:val="000000" w:themeColor="text1"/>
                <w:szCs w:val="21"/>
              </w:rPr>
              <w:t>1.10%</w:t>
            </w:r>
          </w:p>
        </w:tc>
        <w:tc>
          <w:tcPr>
            <w:tcW w:w="1291" w:type="dxa"/>
            <w:vAlign w:val="center"/>
          </w:tcPr>
          <w:p w:rsidR="000934D8" w:rsidRDefault="00BA42E4">
            <w:pPr>
              <w:jc w:val="right"/>
            </w:pPr>
            <w:r>
              <w:rPr>
                <w:rFonts w:eastAsiaTheme="minorEastAsia"/>
                <w:color w:val="000000" w:themeColor="text1"/>
                <w:szCs w:val="21"/>
              </w:rPr>
              <w:t>28.69%</w:t>
            </w:r>
          </w:p>
        </w:tc>
        <w:tc>
          <w:tcPr>
            <w:tcW w:w="1291" w:type="dxa"/>
            <w:vAlign w:val="center"/>
          </w:tcPr>
          <w:p w:rsidR="000934D8" w:rsidRDefault="00BA42E4">
            <w:pPr>
              <w:jc w:val="right"/>
            </w:pPr>
            <w:r>
              <w:rPr>
                <w:rFonts w:eastAsiaTheme="minorEastAsia"/>
                <w:color w:val="000000" w:themeColor="text1"/>
                <w:szCs w:val="21"/>
              </w:rPr>
              <w:t>0.63%</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摩根转型动力混合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934D8">
        <w:tc>
          <w:tcPr>
            <w:tcW w:w="1290" w:type="dxa"/>
            <w:vAlign w:val="center"/>
          </w:tcPr>
          <w:p w:rsidR="000934D8" w:rsidRDefault="00BA42E4">
            <w:pPr>
              <w:jc w:val="left"/>
            </w:pPr>
            <w:r>
              <w:rPr>
                <w:rFonts w:eastAsiaTheme="minorEastAsia"/>
                <w:color w:val="000000" w:themeColor="text1"/>
                <w:szCs w:val="21"/>
              </w:rPr>
              <w:t>过去三个月</w:t>
            </w:r>
          </w:p>
        </w:tc>
        <w:tc>
          <w:tcPr>
            <w:tcW w:w="1291" w:type="dxa"/>
            <w:vAlign w:val="center"/>
          </w:tcPr>
          <w:p w:rsidR="000934D8" w:rsidRDefault="00BA42E4">
            <w:pPr>
              <w:jc w:val="right"/>
            </w:pPr>
            <w:r>
              <w:rPr>
                <w:rFonts w:eastAsiaTheme="minorEastAsia"/>
                <w:color w:val="000000" w:themeColor="text1"/>
                <w:szCs w:val="21"/>
              </w:rPr>
              <w:t>1.48%</w:t>
            </w:r>
          </w:p>
        </w:tc>
        <w:tc>
          <w:tcPr>
            <w:tcW w:w="1291" w:type="dxa"/>
            <w:vAlign w:val="center"/>
          </w:tcPr>
          <w:p w:rsidR="000934D8" w:rsidRDefault="00BA42E4">
            <w:pPr>
              <w:jc w:val="right"/>
            </w:pPr>
            <w:r>
              <w:rPr>
                <w:rFonts w:eastAsiaTheme="minorEastAsia"/>
                <w:color w:val="000000" w:themeColor="text1"/>
                <w:szCs w:val="21"/>
              </w:rPr>
              <w:t>1.49%</w:t>
            </w:r>
          </w:p>
        </w:tc>
        <w:tc>
          <w:tcPr>
            <w:tcW w:w="1291" w:type="dxa"/>
            <w:vAlign w:val="center"/>
          </w:tcPr>
          <w:p w:rsidR="000934D8" w:rsidRDefault="00BA42E4">
            <w:pPr>
              <w:jc w:val="right"/>
            </w:pPr>
            <w:r>
              <w:rPr>
                <w:rFonts w:eastAsiaTheme="minorEastAsia"/>
                <w:color w:val="000000" w:themeColor="text1"/>
                <w:szCs w:val="21"/>
              </w:rPr>
              <w:t>2.73%</w:t>
            </w:r>
          </w:p>
        </w:tc>
        <w:tc>
          <w:tcPr>
            <w:tcW w:w="1291" w:type="dxa"/>
            <w:vAlign w:val="center"/>
          </w:tcPr>
          <w:p w:rsidR="000934D8" w:rsidRDefault="00BA42E4">
            <w:pPr>
              <w:jc w:val="right"/>
            </w:pPr>
            <w:r>
              <w:rPr>
                <w:rFonts w:eastAsiaTheme="minorEastAsia"/>
                <w:color w:val="000000" w:themeColor="text1"/>
                <w:szCs w:val="21"/>
              </w:rPr>
              <w:t>0.82%</w:t>
            </w:r>
          </w:p>
        </w:tc>
        <w:tc>
          <w:tcPr>
            <w:tcW w:w="1291" w:type="dxa"/>
            <w:vAlign w:val="center"/>
          </w:tcPr>
          <w:p w:rsidR="000934D8" w:rsidRDefault="00BA42E4">
            <w:pPr>
              <w:jc w:val="right"/>
            </w:pPr>
            <w:r>
              <w:rPr>
                <w:rFonts w:eastAsiaTheme="minorEastAsia"/>
                <w:color w:val="000000" w:themeColor="text1"/>
                <w:szCs w:val="21"/>
              </w:rPr>
              <w:t>-1.25%</w:t>
            </w:r>
          </w:p>
        </w:tc>
        <w:tc>
          <w:tcPr>
            <w:tcW w:w="1291" w:type="dxa"/>
            <w:vAlign w:val="center"/>
          </w:tcPr>
          <w:p w:rsidR="000934D8" w:rsidRDefault="00BA42E4">
            <w:pPr>
              <w:jc w:val="right"/>
            </w:pPr>
            <w:r>
              <w:rPr>
                <w:rFonts w:eastAsiaTheme="minorEastAsia"/>
                <w:color w:val="000000" w:themeColor="text1"/>
                <w:szCs w:val="21"/>
              </w:rPr>
              <w:t>0.67%</w:t>
            </w:r>
          </w:p>
        </w:tc>
      </w:tr>
      <w:tr w:rsidR="000934D8">
        <w:tc>
          <w:tcPr>
            <w:tcW w:w="1290" w:type="dxa"/>
            <w:vAlign w:val="center"/>
          </w:tcPr>
          <w:p w:rsidR="000934D8" w:rsidRDefault="00BA42E4">
            <w:pPr>
              <w:jc w:val="left"/>
            </w:pPr>
            <w:r>
              <w:rPr>
                <w:rFonts w:eastAsiaTheme="minorEastAsia"/>
                <w:color w:val="000000" w:themeColor="text1"/>
                <w:szCs w:val="21"/>
              </w:rPr>
              <w:t>过去六个月</w:t>
            </w:r>
          </w:p>
        </w:tc>
        <w:tc>
          <w:tcPr>
            <w:tcW w:w="1291" w:type="dxa"/>
            <w:vAlign w:val="center"/>
          </w:tcPr>
          <w:p w:rsidR="000934D8" w:rsidRDefault="00BA42E4">
            <w:pPr>
              <w:jc w:val="right"/>
            </w:pPr>
            <w:r>
              <w:rPr>
                <w:rFonts w:eastAsiaTheme="minorEastAsia"/>
                <w:color w:val="000000" w:themeColor="text1"/>
                <w:szCs w:val="21"/>
              </w:rPr>
              <w:t>-5.25%</w:t>
            </w:r>
          </w:p>
        </w:tc>
        <w:tc>
          <w:tcPr>
            <w:tcW w:w="1291" w:type="dxa"/>
            <w:vAlign w:val="center"/>
          </w:tcPr>
          <w:p w:rsidR="000934D8" w:rsidRDefault="00BA42E4">
            <w:pPr>
              <w:jc w:val="right"/>
            </w:pPr>
            <w:r>
              <w:rPr>
                <w:rFonts w:eastAsiaTheme="minorEastAsia"/>
                <w:color w:val="000000" w:themeColor="text1"/>
                <w:szCs w:val="21"/>
              </w:rPr>
              <w:t>1.27%</w:t>
            </w:r>
          </w:p>
        </w:tc>
        <w:tc>
          <w:tcPr>
            <w:tcW w:w="1291" w:type="dxa"/>
            <w:vAlign w:val="center"/>
          </w:tcPr>
          <w:p w:rsidR="000934D8" w:rsidRDefault="00BA42E4">
            <w:pPr>
              <w:jc w:val="right"/>
            </w:pPr>
            <w:r>
              <w:rPr>
                <w:rFonts w:eastAsiaTheme="minorEastAsia"/>
                <w:color w:val="000000" w:themeColor="text1"/>
                <w:szCs w:val="21"/>
              </w:rPr>
              <w:t>-2.88%</w:t>
            </w:r>
          </w:p>
        </w:tc>
        <w:tc>
          <w:tcPr>
            <w:tcW w:w="1291" w:type="dxa"/>
            <w:vAlign w:val="center"/>
          </w:tcPr>
          <w:p w:rsidR="000934D8" w:rsidRDefault="00BA42E4">
            <w:pPr>
              <w:jc w:val="right"/>
            </w:pPr>
            <w:r>
              <w:rPr>
                <w:rFonts w:eastAsiaTheme="minorEastAsia"/>
                <w:color w:val="000000" w:themeColor="text1"/>
                <w:szCs w:val="21"/>
              </w:rPr>
              <w:t>0.73%</w:t>
            </w:r>
          </w:p>
        </w:tc>
        <w:tc>
          <w:tcPr>
            <w:tcW w:w="1291" w:type="dxa"/>
            <w:vAlign w:val="center"/>
          </w:tcPr>
          <w:p w:rsidR="000934D8" w:rsidRDefault="00BA42E4">
            <w:pPr>
              <w:jc w:val="right"/>
            </w:pPr>
            <w:r>
              <w:rPr>
                <w:rFonts w:eastAsiaTheme="minorEastAsia"/>
                <w:color w:val="000000" w:themeColor="text1"/>
                <w:szCs w:val="21"/>
              </w:rPr>
              <w:t>-2.37%</w:t>
            </w:r>
          </w:p>
        </w:tc>
        <w:tc>
          <w:tcPr>
            <w:tcW w:w="1291" w:type="dxa"/>
            <w:vAlign w:val="center"/>
          </w:tcPr>
          <w:p w:rsidR="000934D8" w:rsidRDefault="00BA42E4">
            <w:pPr>
              <w:jc w:val="right"/>
            </w:pPr>
            <w:r>
              <w:rPr>
                <w:rFonts w:eastAsiaTheme="minorEastAsia"/>
                <w:color w:val="000000" w:themeColor="text1"/>
                <w:szCs w:val="21"/>
              </w:rPr>
              <w:t>0.54%</w:t>
            </w:r>
          </w:p>
        </w:tc>
      </w:tr>
      <w:tr w:rsidR="000934D8">
        <w:tc>
          <w:tcPr>
            <w:tcW w:w="1290" w:type="dxa"/>
            <w:vAlign w:val="center"/>
          </w:tcPr>
          <w:p w:rsidR="000934D8" w:rsidRDefault="00BA42E4">
            <w:pPr>
              <w:jc w:val="left"/>
            </w:pPr>
            <w:r>
              <w:rPr>
                <w:rFonts w:eastAsiaTheme="minorEastAsia"/>
                <w:color w:val="000000" w:themeColor="text1"/>
                <w:szCs w:val="21"/>
              </w:rPr>
              <w:lastRenderedPageBreak/>
              <w:t>过去一年</w:t>
            </w:r>
          </w:p>
        </w:tc>
        <w:tc>
          <w:tcPr>
            <w:tcW w:w="1291" w:type="dxa"/>
            <w:vAlign w:val="center"/>
          </w:tcPr>
          <w:p w:rsidR="000934D8" w:rsidRDefault="00BA42E4">
            <w:pPr>
              <w:jc w:val="right"/>
            </w:pPr>
            <w:r>
              <w:rPr>
                <w:rFonts w:eastAsiaTheme="minorEastAsia"/>
                <w:color w:val="000000" w:themeColor="text1"/>
                <w:szCs w:val="21"/>
              </w:rPr>
              <w:t>-18.09%</w:t>
            </w:r>
          </w:p>
        </w:tc>
        <w:tc>
          <w:tcPr>
            <w:tcW w:w="1291" w:type="dxa"/>
            <w:vAlign w:val="center"/>
          </w:tcPr>
          <w:p w:rsidR="000934D8" w:rsidRDefault="00BA42E4">
            <w:pPr>
              <w:jc w:val="right"/>
            </w:pPr>
            <w:r>
              <w:rPr>
                <w:rFonts w:eastAsiaTheme="minorEastAsia"/>
                <w:color w:val="000000" w:themeColor="text1"/>
                <w:szCs w:val="21"/>
              </w:rPr>
              <w:t>1.49%</w:t>
            </w:r>
          </w:p>
        </w:tc>
        <w:tc>
          <w:tcPr>
            <w:tcW w:w="1291" w:type="dxa"/>
            <w:vAlign w:val="center"/>
          </w:tcPr>
          <w:p w:rsidR="000934D8" w:rsidRDefault="00BA42E4">
            <w:pPr>
              <w:jc w:val="right"/>
            </w:pPr>
            <w:r>
              <w:rPr>
                <w:rFonts w:eastAsiaTheme="minorEastAsia"/>
                <w:color w:val="000000" w:themeColor="text1"/>
                <w:szCs w:val="21"/>
              </w:rPr>
              <w:t>-9.52%</w:t>
            </w:r>
          </w:p>
        </w:tc>
        <w:tc>
          <w:tcPr>
            <w:tcW w:w="1291" w:type="dxa"/>
            <w:vAlign w:val="center"/>
          </w:tcPr>
          <w:p w:rsidR="000934D8" w:rsidRDefault="00BA42E4">
            <w:pPr>
              <w:jc w:val="right"/>
            </w:pPr>
            <w:r>
              <w:rPr>
                <w:rFonts w:eastAsiaTheme="minorEastAsia"/>
                <w:color w:val="000000" w:themeColor="text1"/>
                <w:szCs w:val="21"/>
              </w:rPr>
              <w:t>0.71%</w:t>
            </w:r>
          </w:p>
        </w:tc>
        <w:tc>
          <w:tcPr>
            <w:tcW w:w="1291" w:type="dxa"/>
            <w:vAlign w:val="center"/>
          </w:tcPr>
          <w:p w:rsidR="000934D8" w:rsidRDefault="00BA42E4">
            <w:pPr>
              <w:jc w:val="right"/>
            </w:pPr>
            <w:r>
              <w:rPr>
                <w:rFonts w:eastAsiaTheme="minorEastAsia"/>
                <w:color w:val="000000" w:themeColor="text1"/>
                <w:szCs w:val="21"/>
              </w:rPr>
              <w:t>-8.57%</w:t>
            </w:r>
          </w:p>
        </w:tc>
        <w:tc>
          <w:tcPr>
            <w:tcW w:w="1291" w:type="dxa"/>
            <w:vAlign w:val="center"/>
          </w:tcPr>
          <w:p w:rsidR="000934D8" w:rsidRDefault="00BA42E4">
            <w:pPr>
              <w:jc w:val="right"/>
            </w:pPr>
            <w:r>
              <w:rPr>
                <w:rFonts w:eastAsiaTheme="minorEastAsia"/>
                <w:color w:val="000000" w:themeColor="text1"/>
                <w:szCs w:val="21"/>
              </w:rPr>
              <w:t>0.78%</w:t>
            </w:r>
          </w:p>
        </w:tc>
      </w:tr>
      <w:tr w:rsidR="000934D8">
        <w:tc>
          <w:tcPr>
            <w:tcW w:w="1290" w:type="dxa"/>
            <w:vAlign w:val="center"/>
          </w:tcPr>
          <w:p w:rsidR="000934D8" w:rsidRDefault="00BA42E4">
            <w:pPr>
              <w:jc w:val="left"/>
            </w:pPr>
            <w:r>
              <w:rPr>
                <w:rFonts w:eastAsiaTheme="minorEastAsia"/>
                <w:color w:val="000000" w:themeColor="text1"/>
                <w:szCs w:val="21"/>
              </w:rPr>
              <w:t>过去三年</w:t>
            </w:r>
          </w:p>
        </w:tc>
        <w:tc>
          <w:tcPr>
            <w:tcW w:w="1291" w:type="dxa"/>
            <w:vAlign w:val="center"/>
          </w:tcPr>
          <w:p w:rsidR="000934D8" w:rsidRDefault="00BA42E4">
            <w:pPr>
              <w:jc w:val="right"/>
            </w:pPr>
            <w:r>
              <w:rPr>
                <w:rFonts w:eastAsiaTheme="minorEastAsia"/>
                <w:color w:val="000000" w:themeColor="text1"/>
                <w:szCs w:val="21"/>
              </w:rPr>
              <w:t>-</w:t>
            </w:r>
          </w:p>
        </w:tc>
        <w:tc>
          <w:tcPr>
            <w:tcW w:w="1291" w:type="dxa"/>
            <w:vAlign w:val="center"/>
          </w:tcPr>
          <w:p w:rsidR="000934D8" w:rsidRDefault="00BA42E4">
            <w:pPr>
              <w:jc w:val="right"/>
            </w:pPr>
            <w:r>
              <w:rPr>
                <w:rFonts w:eastAsiaTheme="minorEastAsia"/>
                <w:color w:val="000000" w:themeColor="text1"/>
                <w:szCs w:val="21"/>
              </w:rPr>
              <w:t>-</w:t>
            </w:r>
          </w:p>
        </w:tc>
        <w:tc>
          <w:tcPr>
            <w:tcW w:w="1291" w:type="dxa"/>
            <w:vAlign w:val="center"/>
          </w:tcPr>
          <w:p w:rsidR="000934D8" w:rsidRDefault="00BA42E4">
            <w:pPr>
              <w:jc w:val="right"/>
            </w:pPr>
            <w:r>
              <w:rPr>
                <w:rFonts w:eastAsiaTheme="minorEastAsia"/>
                <w:color w:val="000000" w:themeColor="text1"/>
                <w:szCs w:val="21"/>
              </w:rPr>
              <w:t>-</w:t>
            </w:r>
          </w:p>
        </w:tc>
        <w:tc>
          <w:tcPr>
            <w:tcW w:w="1291" w:type="dxa"/>
            <w:vAlign w:val="center"/>
          </w:tcPr>
          <w:p w:rsidR="000934D8" w:rsidRDefault="00BA42E4">
            <w:pPr>
              <w:jc w:val="right"/>
            </w:pPr>
            <w:r>
              <w:rPr>
                <w:rFonts w:eastAsiaTheme="minorEastAsia"/>
                <w:color w:val="000000" w:themeColor="text1"/>
                <w:szCs w:val="21"/>
              </w:rPr>
              <w:t>-</w:t>
            </w:r>
          </w:p>
        </w:tc>
        <w:tc>
          <w:tcPr>
            <w:tcW w:w="1291" w:type="dxa"/>
            <w:vAlign w:val="center"/>
          </w:tcPr>
          <w:p w:rsidR="000934D8" w:rsidRDefault="00BA42E4">
            <w:pPr>
              <w:jc w:val="right"/>
            </w:pPr>
            <w:r>
              <w:rPr>
                <w:rFonts w:eastAsiaTheme="minorEastAsia"/>
                <w:color w:val="000000" w:themeColor="text1"/>
                <w:szCs w:val="21"/>
              </w:rPr>
              <w:t>-</w:t>
            </w:r>
          </w:p>
        </w:tc>
        <w:tc>
          <w:tcPr>
            <w:tcW w:w="1291" w:type="dxa"/>
            <w:vAlign w:val="center"/>
          </w:tcPr>
          <w:p w:rsidR="000934D8" w:rsidRDefault="00BA42E4">
            <w:pPr>
              <w:jc w:val="right"/>
            </w:pPr>
            <w:r>
              <w:rPr>
                <w:rFonts w:eastAsiaTheme="minorEastAsia"/>
                <w:color w:val="000000" w:themeColor="text1"/>
                <w:szCs w:val="21"/>
              </w:rPr>
              <w:t>-</w:t>
            </w:r>
          </w:p>
        </w:tc>
      </w:tr>
      <w:tr w:rsidR="000934D8">
        <w:tc>
          <w:tcPr>
            <w:tcW w:w="1290" w:type="dxa"/>
            <w:vAlign w:val="center"/>
          </w:tcPr>
          <w:p w:rsidR="000934D8" w:rsidRDefault="00BA42E4">
            <w:pPr>
              <w:jc w:val="left"/>
            </w:pPr>
            <w:r>
              <w:rPr>
                <w:rFonts w:eastAsiaTheme="minorEastAsia"/>
                <w:color w:val="000000" w:themeColor="text1"/>
                <w:szCs w:val="21"/>
              </w:rPr>
              <w:t>过去五年</w:t>
            </w:r>
          </w:p>
        </w:tc>
        <w:tc>
          <w:tcPr>
            <w:tcW w:w="1291" w:type="dxa"/>
            <w:vAlign w:val="center"/>
          </w:tcPr>
          <w:p w:rsidR="000934D8" w:rsidRDefault="00BA42E4">
            <w:pPr>
              <w:jc w:val="right"/>
            </w:pPr>
            <w:r>
              <w:rPr>
                <w:rFonts w:eastAsiaTheme="minorEastAsia"/>
                <w:color w:val="000000" w:themeColor="text1"/>
                <w:szCs w:val="21"/>
              </w:rPr>
              <w:t>-</w:t>
            </w:r>
          </w:p>
        </w:tc>
        <w:tc>
          <w:tcPr>
            <w:tcW w:w="1291" w:type="dxa"/>
            <w:vAlign w:val="center"/>
          </w:tcPr>
          <w:p w:rsidR="000934D8" w:rsidRDefault="00BA42E4">
            <w:pPr>
              <w:jc w:val="right"/>
            </w:pPr>
            <w:r>
              <w:rPr>
                <w:rFonts w:eastAsiaTheme="minorEastAsia"/>
                <w:color w:val="000000" w:themeColor="text1"/>
                <w:szCs w:val="21"/>
              </w:rPr>
              <w:t>-</w:t>
            </w:r>
          </w:p>
        </w:tc>
        <w:tc>
          <w:tcPr>
            <w:tcW w:w="1291" w:type="dxa"/>
            <w:vAlign w:val="center"/>
          </w:tcPr>
          <w:p w:rsidR="000934D8" w:rsidRDefault="00BA42E4">
            <w:pPr>
              <w:jc w:val="right"/>
            </w:pPr>
            <w:r>
              <w:rPr>
                <w:rFonts w:eastAsiaTheme="minorEastAsia"/>
                <w:color w:val="000000" w:themeColor="text1"/>
                <w:szCs w:val="21"/>
              </w:rPr>
              <w:t>-</w:t>
            </w:r>
          </w:p>
        </w:tc>
        <w:tc>
          <w:tcPr>
            <w:tcW w:w="1291" w:type="dxa"/>
            <w:vAlign w:val="center"/>
          </w:tcPr>
          <w:p w:rsidR="000934D8" w:rsidRDefault="00BA42E4">
            <w:pPr>
              <w:jc w:val="right"/>
            </w:pPr>
            <w:r>
              <w:rPr>
                <w:rFonts w:eastAsiaTheme="minorEastAsia"/>
                <w:color w:val="000000" w:themeColor="text1"/>
                <w:szCs w:val="21"/>
              </w:rPr>
              <w:t>-</w:t>
            </w:r>
          </w:p>
        </w:tc>
        <w:tc>
          <w:tcPr>
            <w:tcW w:w="1291" w:type="dxa"/>
            <w:vAlign w:val="center"/>
          </w:tcPr>
          <w:p w:rsidR="000934D8" w:rsidRDefault="00BA42E4">
            <w:pPr>
              <w:jc w:val="right"/>
            </w:pPr>
            <w:r>
              <w:rPr>
                <w:rFonts w:eastAsiaTheme="minorEastAsia"/>
                <w:color w:val="000000" w:themeColor="text1"/>
                <w:szCs w:val="21"/>
              </w:rPr>
              <w:t>-</w:t>
            </w:r>
          </w:p>
        </w:tc>
        <w:tc>
          <w:tcPr>
            <w:tcW w:w="1291" w:type="dxa"/>
            <w:vAlign w:val="center"/>
          </w:tcPr>
          <w:p w:rsidR="000934D8" w:rsidRDefault="00BA42E4">
            <w:pPr>
              <w:jc w:val="right"/>
            </w:pPr>
            <w:r>
              <w:rPr>
                <w:rFonts w:eastAsiaTheme="minorEastAsia"/>
                <w:color w:val="000000" w:themeColor="text1"/>
                <w:szCs w:val="21"/>
              </w:rPr>
              <w:t>-</w:t>
            </w:r>
          </w:p>
        </w:tc>
      </w:tr>
      <w:tr w:rsidR="000934D8">
        <w:tc>
          <w:tcPr>
            <w:tcW w:w="1290" w:type="dxa"/>
            <w:vAlign w:val="center"/>
          </w:tcPr>
          <w:p w:rsidR="000934D8" w:rsidRDefault="00BA42E4">
            <w:pPr>
              <w:jc w:val="left"/>
            </w:pPr>
            <w:r>
              <w:rPr>
                <w:rFonts w:eastAsiaTheme="minorEastAsia"/>
                <w:color w:val="000000" w:themeColor="text1"/>
                <w:szCs w:val="21"/>
              </w:rPr>
              <w:t>自基金合同生效起至今</w:t>
            </w:r>
          </w:p>
        </w:tc>
        <w:tc>
          <w:tcPr>
            <w:tcW w:w="1291" w:type="dxa"/>
            <w:vAlign w:val="center"/>
          </w:tcPr>
          <w:p w:rsidR="000934D8" w:rsidRDefault="00BA42E4">
            <w:pPr>
              <w:jc w:val="right"/>
            </w:pPr>
            <w:r>
              <w:rPr>
                <w:rFonts w:eastAsiaTheme="minorEastAsia"/>
                <w:color w:val="000000" w:themeColor="text1"/>
                <w:szCs w:val="21"/>
              </w:rPr>
              <w:t>-42.87%</w:t>
            </w:r>
          </w:p>
        </w:tc>
        <w:tc>
          <w:tcPr>
            <w:tcW w:w="1291" w:type="dxa"/>
            <w:vAlign w:val="center"/>
          </w:tcPr>
          <w:p w:rsidR="000934D8" w:rsidRDefault="00BA42E4">
            <w:pPr>
              <w:jc w:val="right"/>
            </w:pPr>
            <w:r>
              <w:rPr>
                <w:rFonts w:eastAsiaTheme="minorEastAsia"/>
                <w:color w:val="000000" w:themeColor="text1"/>
                <w:szCs w:val="21"/>
              </w:rPr>
              <w:t>1.53%</w:t>
            </w:r>
          </w:p>
        </w:tc>
        <w:tc>
          <w:tcPr>
            <w:tcW w:w="1291" w:type="dxa"/>
            <w:vAlign w:val="center"/>
          </w:tcPr>
          <w:p w:rsidR="000934D8" w:rsidRDefault="00BA42E4">
            <w:pPr>
              <w:jc w:val="right"/>
            </w:pPr>
            <w:r>
              <w:rPr>
                <w:rFonts w:eastAsiaTheme="minorEastAsia"/>
                <w:color w:val="000000" w:themeColor="text1"/>
                <w:szCs w:val="21"/>
              </w:rPr>
              <w:t>-17.88%</w:t>
            </w:r>
          </w:p>
        </w:tc>
        <w:tc>
          <w:tcPr>
            <w:tcW w:w="1291" w:type="dxa"/>
            <w:vAlign w:val="center"/>
          </w:tcPr>
          <w:p w:rsidR="000934D8" w:rsidRDefault="00BA42E4">
            <w:pPr>
              <w:jc w:val="right"/>
            </w:pPr>
            <w:r>
              <w:rPr>
                <w:rFonts w:eastAsiaTheme="minorEastAsia"/>
                <w:color w:val="000000" w:themeColor="text1"/>
                <w:szCs w:val="21"/>
              </w:rPr>
              <w:t>0.86%</w:t>
            </w:r>
          </w:p>
        </w:tc>
        <w:tc>
          <w:tcPr>
            <w:tcW w:w="1291" w:type="dxa"/>
            <w:vAlign w:val="center"/>
          </w:tcPr>
          <w:p w:rsidR="000934D8" w:rsidRDefault="00BA42E4">
            <w:pPr>
              <w:jc w:val="right"/>
            </w:pPr>
            <w:r>
              <w:rPr>
                <w:rFonts w:eastAsiaTheme="minorEastAsia"/>
                <w:color w:val="000000" w:themeColor="text1"/>
                <w:szCs w:val="21"/>
              </w:rPr>
              <w:t>-24.99%</w:t>
            </w:r>
          </w:p>
        </w:tc>
        <w:tc>
          <w:tcPr>
            <w:tcW w:w="1291" w:type="dxa"/>
            <w:vAlign w:val="center"/>
          </w:tcPr>
          <w:p w:rsidR="000934D8" w:rsidRDefault="00BA42E4">
            <w:pPr>
              <w:jc w:val="right"/>
            </w:pPr>
            <w:r>
              <w:rPr>
                <w:rFonts w:eastAsiaTheme="minorEastAsia"/>
                <w:color w:val="000000" w:themeColor="text1"/>
                <w:szCs w:val="21"/>
              </w:rPr>
              <w:t>0.67%</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摩根转型动力灵活配置混合型证券投资基金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(2013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25</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．摩根转型动力混合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25</w:t>
      </w:r>
      <w:r>
        <w:rPr>
          <w:rFonts w:eastAsiaTheme="minorEastAsia"/>
          <w:color w:val="000000" w:themeColor="text1"/>
          <w:szCs w:val="21"/>
        </w:rPr>
        <w:t>日，</w:t>
      </w:r>
      <w:r>
        <w:rPr>
          <w:rFonts w:eastAsiaTheme="minorEastAsia"/>
          <w:color w:val="000000" w:themeColor="text1"/>
          <w:szCs w:val="21"/>
        </w:rPr>
        <w:t xml:space="preserve"> </w:t>
      </w:r>
      <w:r>
        <w:rPr>
          <w:rFonts w:eastAsiaTheme="minorEastAsia"/>
          <w:color w:val="000000" w:themeColor="text1"/>
          <w:szCs w:val="21"/>
        </w:rPr>
        <w:t>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．摩根转型动力混合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934D8">
        <w:tc>
          <w:tcPr>
            <w:tcW w:w="952" w:type="dxa"/>
            <w:vAlign w:val="center"/>
          </w:tcPr>
          <w:p w:rsidR="000934D8" w:rsidRDefault="00BA42E4">
            <w:pPr>
              <w:jc w:val="center"/>
            </w:pPr>
            <w:r>
              <w:rPr>
                <w:rFonts w:eastAsiaTheme="minorEastAsia"/>
                <w:color w:val="000000" w:themeColor="text1"/>
                <w:szCs w:val="21"/>
              </w:rPr>
              <w:t>杨景喻</w:t>
            </w:r>
          </w:p>
        </w:tc>
        <w:tc>
          <w:tcPr>
            <w:tcW w:w="930" w:type="dxa"/>
            <w:vAlign w:val="center"/>
          </w:tcPr>
          <w:p w:rsidR="000934D8" w:rsidRDefault="00BA42E4">
            <w:pPr>
              <w:jc w:val="center"/>
            </w:pPr>
            <w:r>
              <w:rPr>
                <w:rFonts w:eastAsiaTheme="minorEastAsia"/>
                <w:color w:val="000000" w:themeColor="text1"/>
                <w:szCs w:val="21"/>
              </w:rPr>
              <w:t>本基金基金经理</w:t>
            </w:r>
          </w:p>
        </w:tc>
        <w:tc>
          <w:tcPr>
            <w:tcW w:w="1210" w:type="dxa"/>
            <w:vAlign w:val="center"/>
          </w:tcPr>
          <w:p w:rsidR="000934D8" w:rsidRDefault="00BA42E4">
            <w:pPr>
              <w:jc w:val="center"/>
            </w:pPr>
            <w:r>
              <w:rPr>
                <w:rFonts w:eastAsiaTheme="minorEastAsia"/>
                <w:color w:val="000000" w:themeColor="text1"/>
                <w:szCs w:val="21"/>
              </w:rPr>
              <w:t>2021-10-29</w:t>
            </w:r>
          </w:p>
        </w:tc>
        <w:tc>
          <w:tcPr>
            <w:tcW w:w="1309" w:type="dxa"/>
            <w:vAlign w:val="center"/>
          </w:tcPr>
          <w:p w:rsidR="000934D8" w:rsidRDefault="00BA42E4">
            <w:pPr>
              <w:jc w:val="center"/>
            </w:pPr>
            <w:r>
              <w:rPr>
                <w:rFonts w:eastAsiaTheme="minorEastAsia"/>
                <w:color w:val="000000" w:themeColor="text1"/>
                <w:szCs w:val="21"/>
              </w:rPr>
              <w:t>-</w:t>
            </w:r>
          </w:p>
        </w:tc>
        <w:tc>
          <w:tcPr>
            <w:tcW w:w="1254" w:type="dxa"/>
            <w:vAlign w:val="center"/>
          </w:tcPr>
          <w:p w:rsidR="000934D8" w:rsidRDefault="00BA42E4">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0934D8" w:rsidRDefault="00BA42E4">
            <w:r>
              <w:rPr>
                <w:rFonts w:eastAsiaTheme="minorEastAsia"/>
                <w:color w:val="000000" w:themeColor="text1"/>
                <w:szCs w:val="21"/>
              </w:rPr>
              <w:t>杨景喻先生曾任广发基金管理有限公司研究员。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月起加入摩根基金管理（中国）有限公司（原上投摩根基金管理有限公司），历任行业专家、基金经理助理、基金经理，现任高级基金经理。</w:t>
            </w:r>
          </w:p>
        </w:tc>
      </w:tr>
    </w:tbl>
    <w:p w:rsidR="000934D8" w:rsidRDefault="00BA42E4">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杨景喻</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1,957,383,729.51</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2,113,810,076.73</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2022-06-06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4,071,193,806.24</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w:t>
      </w:r>
      <w:r>
        <w:rPr>
          <w:rFonts w:eastAsiaTheme="minorEastAsia"/>
          <w:color w:val="000000" w:themeColor="text1"/>
          <w:szCs w:val="21"/>
        </w:rPr>
        <w:t>易等活动，通过系统和人工相结合的方式进行交易执行和监控分析，以确保本公司管理的不同投资组合在授权、研究分析、投资决策、交易执行、业绩评估等投资管理活动相关的环节均得到公平对待。</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lastRenderedPageBreak/>
        <w:t>4.4.1</w:t>
      </w:r>
      <w:r w:rsidRPr="00B27A29">
        <w:rPr>
          <w:rFonts w:eastAsiaTheme="minorEastAsia"/>
          <w:color w:val="000000" w:themeColor="text1"/>
          <w:szCs w:val="21"/>
        </w:rPr>
        <w:t>报告期内基金投资策略和运作分析</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年一季度，市场出现剧烈的震荡，春节前除上证</w:t>
      </w:r>
      <w:r>
        <w:rPr>
          <w:rFonts w:eastAsiaTheme="minorEastAsia"/>
          <w:color w:val="000000" w:themeColor="text1"/>
          <w:szCs w:val="21"/>
        </w:rPr>
        <w:t>50</w:t>
      </w:r>
      <w:r>
        <w:rPr>
          <w:rFonts w:eastAsiaTheme="minorEastAsia"/>
          <w:color w:val="000000" w:themeColor="text1"/>
          <w:szCs w:val="21"/>
        </w:rPr>
        <w:t>指数和红利指数外，所有指数呈现单边下跌的趋势，尤其是以中小市值个股和成长股为主要成分的指数，跌幅更为巨大。春节前数日，随着政策的逐步开展，市场流动性风</w:t>
      </w:r>
      <w:r>
        <w:rPr>
          <w:rFonts w:eastAsiaTheme="minorEastAsia"/>
          <w:color w:val="000000" w:themeColor="text1"/>
          <w:szCs w:val="21"/>
        </w:rPr>
        <w:t>险得到解决，指数在春节后强力反弹至三月初，随后开始震荡。整个一季度，资源股、高股息个股表现持续良好，成长股当中，受益于</w:t>
      </w:r>
      <w:r>
        <w:rPr>
          <w:rFonts w:eastAsiaTheme="minorEastAsia"/>
          <w:color w:val="000000" w:themeColor="text1"/>
          <w:szCs w:val="21"/>
        </w:rPr>
        <w:t>AI</w:t>
      </w:r>
      <w:r>
        <w:rPr>
          <w:rFonts w:eastAsiaTheme="minorEastAsia"/>
          <w:color w:val="000000" w:themeColor="text1"/>
          <w:szCs w:val="21"/>
        </w:rPr>
        <w:t>算力高速发展的光通信、服务器行业亦表现靓丽。</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持仓个股在一月份受到市场下跌的显著影响。本季度我们综合考虑个股的成长性、竞争力、估值水平和波动风险，增加了资源品和高股息品种的配置比重，增加了对光通信为代表的科技行业的配置比重，增加了制造业的配置比重，降低了大消费的配置。</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市场在春节前的大幅下跌反映出对经济的预期。我们认为经过这一轮下跌</w:t>
      </w:r>
      <w:r>
        <w:rPr>
          <w:rFonts w:eastAsiaTheme="minorEastAsia"/>
          <w:color w:val="000000" w:themeColor="text1"/>
          <w:szCs w:val="21"/>
        </w:rPr>
        <w:t>-</w:t>
      </w:r>
      <w:r>
        <w:rPr>
          <w:rFonts w:eastAsiaTheme="minorEastAsia"/>
          <w:color w:val="000000" w:themeColor="text1"/>
          <w:szCs w:val="21"/>
        </w:rPr>
        <w:t>反弹之后，市场的有利因素在增加，不利因素在减少。首先，宏观经济并非想象中这般悲观。虽然房地产的开工仍然较弱，但制造业、出口导向型行业反馈良好，最近一期的</w:t>
      </w:r>
      <w:r>
        <w:rPr>
          <w:rFonts w:eastAsiaTheme="minorEastAsia"/>
          <w:color w:val="000000" w:themeColor="text1"/>
          <w:szCs w:val="21"/>
        </w:rPr>
        <w:t>PMI</w:t>
      </w:r>
      <w:r>
        <w:rPr>
          <w:rFonts w:eastAsiaTheme="minorEastAsia"/>
          <w:color w:val="000000" w:themeColor="text1"/>
          <w:szCs w:val="21"/>
        </w:rPr>
        <w:t>亦超预期上行；其次，经历过大幅下跌之后，不少优质公司的估值底部被探明，目前估值仍然具备吸引力；第三，市场中的高杠杆资金得到一定程度的释放，利于后市的平稳运行。</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展望后市，我们认为宏观经济的复苏将持续，虽然在路径上仍然会有反复，如果后续经济的复苏被持续验证，那么我们所面临的是从</w:t>
      </w:r>
      <w:r w:rsidRPr="00B27A29">
        <w:rPr>
          <w:rFonts w:eastAsiaTheme="minorEastAsia"/>
          <w:color w:val="000000" w:themeColor="text1"/>
          <w:szCs w:val="21"/>
        </w:rPr>
        <w:t>2021</w:t>
      </w:r>
      <w:r w:rsidRPr="00B27A29">
        <w:rPr>
          <w:rFonts w:eastAsiaTheme="minorEastAsia"/>
          <w:color w:val="000000" w:themeColor="text1"/>
          <w:szCs w:val="21"/>
        </w:rPr>
        <w:t>年以来第一个经济持续向上的完整年份。在这个过程中，估值较低、业绩能够持续增长的公司将得到持续的估值修复。另一方面，高股息个股亦是平衡组合成长性和风险的重要选择。而从中长期维度，我们坚定的认为科技的发展是我国经济的长期驱动力，以</w:t>
      </w:r>
      <w:r w:rsidRPr="00B27A29">
        <w:rPr>
          <w:rFonts w:eastAsiaTheme="minorEastAsia"/>
          <w:color w:val="000000" w:themeColor="text1"/>
          <w:szCs w:val="21"/>
        </w:rPr>
        <w:t>AI</w:t>
      </w:r>
      <w:r w:rsidRPr="00B27A29">
        <w:rPr>
          <w:rFonts w:eastAsiaTheme="minorEastAsia"/>
          <w:color w:val="000000" w:themeColor="text1"/>
          <w:szCs w:val="21"/>
        </w:rPr>
        <w:t>、新能源为代表的科技成长型行业中的优质个股仍然具备相当好的投资机会。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本报告期摩根转型动力</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:1.63%</w:t>
      </w:r>
      <w:r>
        <w:rPr>
          <w:rFonts w:eastAsiaTheme="minorEastAsia"/>
          <w:color w:val="000000" w:themeColor="text1"/>
          <w:szCs w:val="21"/>
        </w:rPr>
        <w:t>，同期业绩比较基准收益率为</w:t>
      </w:r>
      <w:r>
        <w:rPr>
          <w:rFonts w:eastAsiaTheme="minorEastAsia"/>
          <w:color w:val="000000" w:themeColor="text1"/>
          <w:szCs w:val="21"/>
        </w:rPr>
        <w:t>:2.73%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摩根转型动力</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:1.48%</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:2.73%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142,774,292.91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89.49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142,774,292.91</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89.49</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16,695,753.84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10.46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75,111.20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159,545,157.95</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2,360,679.20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1.49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12,544,023.89</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7.90</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94,422,340.52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59.49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12,451,426.27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10,847,995.68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6.84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4,556,847.15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1,890,326.20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1.19</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1,457,134.00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2,243,520.00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142,774,292.91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89.96</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934D8">
        <w:tc>
          <w:tcPr>
            <w:tcW w:w="817" w:type="dxa"/>
            <w:vAlign w:val="center"/>
          </w:tcPr>
          <w:p w:rsidR="000934D8" w:rsidRDefault="00BA42E4">
            <w:pPr>
              <w:jc w:val="center"/>
            </w:pPr>
            <w:r>
              <w:rPr>
                <w:rFonts w:eastAsiaTheme="minorEastAsia"/>
                <w:kern w:val="0"/>
                <w:szCs w:val="21"/>
              </w:rPr>
              <w:t>1</w:t>
            </w:r>
          </w:p>
        </w:tc>
        <w:tc>
          <w:tcPr>
            <w:tcW w:w="1276" w:type="dxa"/>
            <w:vAlign w:val="center"/>
          </w:tcPr>
          <w:p w:rsidR="000934D8" w:rsidRDefault="00BA42E4">
            <w:pPr>
              <w:jc w:val="center"/>
            </w:pPr>
            <w:r>
              <w:rPr>
                <w:rFonts w:eastAsiaTheme="minorEastAsia"/>
                <w:kern w:val="0"/>
                <w:szCs w:val="21"/>
              </w:rPr>
              <w:t>300394</w:t>
            </w:r>
          </w:p>
        </w:tc>
        <w:tc>
          <w:tcPr>
            <w:tcW w:w="1701" w:type="dxa"/>
            <w:vAlign w:val="center"/>
          </w:tcPr>
          <w:p w:rsidR="000934D8" w:rsidRDefault="00BA42E4">
            <w:pPr>
              <w:jc w:val="center"/>
            </w:pPr>
            <w:r>
              <w:rPr>
                <w:rFonts w:eastAsiaTheme="minorEastAsia"/>
                <w:kern w:val="0"/>
                <w:szCs w:val="21"/>
              </w:rPr>
              <w:t>天孚通信</w:t>
            </w:r>
          </w:p>
        </w:tc>
        <w:tc>
          <w:tcPr>
            <w:tcW w:w="1276" w:type="dxa"/>
            <w:vAlign w:val="center"/>
          </w:tcPr>
          <w:p w:rsidR="000934D8" w:rsidRDefault="00BA42E4">
            <w:pPr>
              <w:jc w:val="right"/>
            </w:pPr>
            <w:r>
              <w:rPr>
                <w:rFonts w:eastAsiaTheme="minorEastAsia"/>
                <w:kern w:val="0"/>
                <w:szCs w:val="21"/>
              </w:rPr>
              <w:t>55,932</w:t>
            </w:r>
          </w:p>
        </w:tc>
        <w:tc>
          <w:tcPr>
            <w:tcW w:w="1842" w:type="dxa"/>
            <w:vAlign w:val="center"/>
          </w:tcPr>
          <w:p w:rsidR="000934D8" w:rsidRDefault="00BA42E4">
            <w:pPr>
              <w:jc w:val="right"/>
            </w:pPr>
            <w:r>
              <w:rPr>
                <w:rFonts w:eastAsiaTheme="minorEastAsia"/>
                <w:kern w:val="0"/>
                <w:szCs w:val="21"/>
              </w:rPr>
              <w:t>8,460,833.64</w:t>
            </w:r>
          </w:p>
        </w:tc>
        <w:tc>
          <w:tcPr>
            <w:tcW w:w="1616" w:type="dxa"/>
            <w:vAlign w:val="center"/>
          </w:tcPr>
          <w:p w:rsidR="000934D8" w:rsidRDefault="00BA42E4">
            <w:pPr>
              <w:jc w:val="right"/>
            </w:pPr>
            <w:r>
              <w:rPr>
                <w:rFonts w:eastAsiaTheme="minorEastAsia"/>
                <w:kern w:val="0"/>
                <w:szCs w:val="21"/>
              </w:rPr>
              <w:t>5.33</w:t>
            </w:r>
          </w:p>
        </w:tc>
      </w:tr>
      <w:tr w:rsidR="000934D8">
        <w:tc>
          <w:tcPr>
            <w:tcW w:w="817" w:type="dxa"/>
            <w:vAlign w:val="center"/>
          </w:tcPr>
          <w:p w:rsidR="000934D8" w:rsidRDefault="00BA42E4">
            <w:pPr>
              <w:jc w:val="center"/>
            </w:pPr>
            <w:r>
              <w:rPr>
                <w:rFonts w:eastAsiaTheme="minorEastAsia"/>
                <w:kern w:val="0"/>
                <w:szCs w:val="21"/>
              </w:rPr>
              <w:t>2</w:t>
            </w:r>
          </w:p>
        </w:tc>
        <w:tc>
          <w:tcPr>
            <w:tcW w:w="1276" w:type="dxa"/>
            <w:vAlign w:val="center"/>
          </w:tcPr>
          <w:p w:rsidR="000934D8" w:rsidRDefault="00BA42E4">
            <w:pPr>
              <w:jc w:val="center"/>
            </w:pPr>
            <w:r>
              <w:rPr>
                <w:rFonts w:eastAsiaTheme="minorEastAsia"/>
                <w:kern w:val="0"/>
                <w:szCs w:val="21"/>
              </w:rPr>
              <w:t>300750</w:t>
            </w:r>
          </w:p>
        </w:tc>
        <w:tc>
          <w:tcPr>
            <w:tcW w:w="1701" w:type="dxa"/>
            <w:vAlign w:val="center"/>
          </w:tcPr>
          <w:p w:rsidR="000934D8" w:rsidRDefault="00BA42E4">
            <w:pPr>
              <w:jc w:val="center"/>
            </w:pPr>
            <w:r>
              <w:rPr>
                <w:rFonts w:eastAsiaTheme="minorEastAsia"/>
                <w:kern w:val="0"/>
                <w:szCs w:val="21"/>
              </w:rPr>
              <w:t>宁德时代</w:t>
            </w:r>
          </w:p>
        </w:tc>
        <w:tc>
          <w:tcPr>
            <w:tcW w:w="1276" w:type="dxa"/>
            <w:vAlign w:val="center"/>
          </w:tcPr>
          <w:p w:rsidR="000934D8" w:rsidRDefault="00BA42E4">
            <w:pPr>
              <w:jc w:val="right"/>
            </w:pPr>
            <w:r>
              <w:rPr>
                <w:rFonts w:eastAsiaTheme="minorEastAsia"/>
                <w:kern w:val="0"/>
                <w:szCs w:val="21"/>
              </w:rPr>
              <w:t>35,300</w:t>
            </w:r>
          </w:p>
        </w:tc>
        <w:tc>
          <w:tcPr>
            <w:tcW w:w="1842" w:type="dxa"/>
            <w:vAlign w:val="center"/>
          </w:tcPr>
          <w:p w:rsidR="000934D8" w:rsidRDefault="00BA42E4">
            <w:pPr>
              <w:jc w:val="right"/>
            </w:pPr>
            <w:r>
              <w:rPr>
                <w:rFonts w:eastAsiaTheme="minorEastAsia"/>
                <w:kern w:val="0"/>
                <w:szCs w:val="21"/>
              </w:rPr>
              <w:t>6,712,648.00</w:t>
            </w:r>
          </w:p>
        </w:tc>
        <w:tc>
          <w:tcPr>
            <w:tcW w:w="1616" w:type="dxa"/>
            <w:vAlign w:val="center"/>
          </w:tcPr>
          <w:p w:rsidR="000934D8" w:rsidRDefault="00BA42E4">
            <w:pPr>
              <w:jc w:val="right"/>
            </w:pPr>
            <w:r>
              <w:rPr>
                <w:rFonts w:eastAsiaTheme="minorEastAsia"/>
                <w:kern w:val="0"/>
                <w:szCs w:val="21"/>
              </w:rPr>
              <w:t>4.23</w:t>
            </w:r>
          </w:p>
        </w:tc>
      </w:tr>
      <w:tr w:rsidR="000934D8">
        <w:tc>
          <w:tcPr>
            <w:tcW w:w="817" w:type="dxa"/>
            <w:vAlign w:val="center"/>
          </w:tcPr>
          <w:p w:rsidR="000934D8" w:rsidRDefault="00BA42E4">
            <w:pPr>
              <w:jc w:val="center"/>
            </w:pPr>
            <w:r>
              <w:rPr>
                <w:rFonts w:eastAsiaTheme="minorEastAsia"/>
                <w:kern w:val="0"/>
                <w:szCs w:val="21"/>
              </w:rPr>
              <w:t>3</w:t>
            </w:r>
          </w:p>
        </w:tc>
        <w:tc>
          <w:tcPr>
            <w:tcW w:w="1276" w:type="dxa"/>
            <w:vAlign w:val="center"/>
          </w:tcPr>
          <w:p w:rsidR="000934D8" w:rsidRDefault="00BA42E4">
            <w:pPr>
              <w:jc w:val="center"/>
            </w:pPr>
            <w:r>
              <w:rPr>
                <w:rFonts w:eastAsiaTheme="minorEastAsia"/>
                <w:kern w:val="0"/>
                <w:szCs w:val="21"/>
              </w:rPr>
              <w:t>300502</w:t>
            </w:r>
          </w:p>
        </w:tc>
        <w:tc>
          <w:tcPr>
            <w:tcW w:w="1701" w:type="dxa"/>
            <w:vAlign w:val="center"/>
          </w:tcPr>
          <w:p w:rsidR="000934D8" w:rsidRDefault="00BA42E4">
            <w:pPr>
              <w:jc w:val="center"/>
            </w:pPr>
            <w:r>
              <w:rPr>
                <w:rFonts w:eastAsiaTheme="minorEastAsia"/>
                <w:kern w:val="0"/>
                <w:szCs w:val="21"/>
              </w:rPr>
              <w:t>新易盛</w:t>
            </w:r>
          </w:p>
        </w:tc>
        <w:tc>
          <w:tcPr>
            <w:tcW w:w="1276" w:type="dxa"/>
            <w:vAlign w:val="center"/>
          </w:tcPr>
          <w:p w:rsidR="000934D8" w:rsidRDefault="00BA42E4">
            <w:pPr>
              <w:jc w:val="right"/>
            </w:pPr>
            <w:r>
              <w:rPr>
                <w:rFonts w:eastAsiaTheme="minorEastAsia"/>
                <w:kern w:val="0"/>
                <w:szCs w:val="21"/>
              </w:rPr>
              <w:t>100,000</w:t>
            </w:r>
          </w:p>
        </w:tc>
        <w:tc>
          <w:tcPr>
            <w:tcW w:w="1842" w:type="dxa"/>
            <w:vAlign w:val="center"/>
          </w:tcPr>
          <w:p w:rsidR="000934D8" w:rsidRDefault="00BA42E4">
            <w:pPr>
              <w:jc w:val="right"/>
            </w:pPr>
            <w:r>
              <w:rPr>
                <w:rFonts w:eastAsiaTheme="minorEastAsia"/>
                <w:kern w:val="0"/>
                <w:szCs w:val="21"/>
              </w:rPr>
              <w:t>6,700,000.00</w:t>
            </w:r>
          </w:p>
        </w:tc>
        <w:tc>
          <w:tcPr>
            <w:tcW w:w="1616" w:type="dxa"/>
            <w:vAlign w:val="center"/>
          </w:tcPr>
          <w:p w:rsidR="000934D8" w:rsidRDefault="00BA42E4">
            <w:pPr>
              <w:jc w:val="right"/>
            </w:pPr>
            <w:r>
              <w:rPr>
                <w:rFonts w:eastAsiaTheme="minorEastAsia"/>
                <w:kern w:val="0"/>
                <w:szCs w:val="21"/>
              </w:rPr>
              <w:t>4.22</w:t>
            </w:r>
          </w:p>
        </w:tc>
      </w:tr>
      <w:tr w:rsidR="000934D8">
        <w:tc>
          <w:tcPr>
            <w:tcW w:w="817" w:type="dxa"/>
            <w:vAlign w:val="center"/>
          </w:tcPr>
          <w:p w:rsidR="000934D8" w:rsidRDefault="00BA42E4">
            <w:pPr>
              <w:jc w:val="center"/>
            </w:pPr>
            <w:r>
              <w:rPr>
                <w:rFonts w:eastAsiaTheme="minorEastAsia"/>
                <w:kern w:val="0"/>
                <w:szCs w:val="21"/>
              </w:rPr>
              <w:t>4</w:t>
            </w:r>
          </w:p>
        </w:tc>
        <w:tc>
          <w:tcPr>
            <w:tcW w:w="1276" w:type="dxa"/>
            <w:vAlign w:val="center"/>
          </w:tcPr>
          <w:p w:rsidR="000934D8" w:rsidRDefault="00BA42E4">
            <w:pPr>
              <w:jc w:val="center"/>
            </w:pPr>
            <w:r>
              <w:rPr>
                <w:rFonts w:eastAsiaTheme="minorEastAsia"/>
                <w:kern w:val="0"/>
                <w:szCs w:val="21"/>
              </w:rPr>
              <w:t>002236</w:t>
            </w:r>
          </w:p>
        </w:tc>
        <w:tc>
          <w:tcPr>
            <w:tcW w:w="1701" w:type="dxa"/>
            <w:vAlign w:val="center"/>
          </w:tcPr>
          <w:p w:rsidR="000934D8" w:rsidRDefault="00BA42E4">
            <w:pPr>
              <w:jc w:val="center"/>
            </w:pPr>
            <w:r>
              <w:rPr>
                <w:rFonts w:eastAsiaTheme="minorEastAsia"/>
                <w:kern w:val="0"/>
                <w:szCs w:val="21"/>
              </w:rPr>
              <w:t>大华股份</w:t>
            </w:r>
          </w:p>
        </w:tc>
        <w:tc>
          <w:tcPr>
            <w:tcW w:w="1276" w:type="dxa"/>
            <w:vAlign w:val="center"/>
          </w:tcPr>
          <w:p w:rsidR="000934D8" w:rsidRDefault="00BA42E4">
            <w:pPr>
              <w:jc w:val="right"/>
            </w:pPr>
            <w:r>
              <w:rPr>
                <w:rFonts w:eastAsiaTheme="minorEastAsia"/>
                <w:kern w:val="0"/>
                <w:szCs w:val="21"/>
              </w:rPr>
              <w:t>276,401</w:t>
            </w:r>
          </w:p>
        </w:tc>
        <w:tc>
          <w:tcPr>
            <w:tcW w:w="1842" w:type="dxa"/>
            <w:vAlign w:val="center"/>
          </w:tcPr>
          <w:p w:rsidR="000934D8" w:rsidRDefault="00BA42E4">
            <w:pPr>
              <w:jc w:val="right"/>
            </w:pPr>
            <w:r>
              <w:rPr>
                <w:rFonts w:eastAsiaTheme="minorEastAsia"/>
                <w:kern w:val="0"/>
                <w:szCs w:val="21"/>
              </w:rPr>
              <w:t>5,223,978.90</w:t>
            </w:r>
          </w:p>
        </w:tc>
        <w:tc>
          <w:tcPr>
            <w:tcW w:w="1616" w:type="dxa"/>
            <w:vAlign w:val="center"/>
          </w:tcPr>
          <w:p w:rsidR="000934D8" w:rsidRDefault="00BA42E4">
            <w:pPr>
              <w:jc w:val="right"/>
            </w:pPr>
            <w:r>
              <w:rPr>
                <w:rFonts w:eastAsiaTheme="minorEastAsia"/>
                <w:kern w:val="0"/>
                <w:szCs w:val="21"/>
              </w:rPr>
              <w:t>3.29</w:t>
            </w:r>
          </w:p>
        </w:tc>
      </w:tr>
      <w:tr w:rsidR="000934D8">
        <w:tc>
          <w:tcPr>
            <w:tcW w:w="817" w:type="dxa"/>
            <w:vAlign w:val="center"/>
          </w:tcPr>
          <w:p w:rsidR="000934D8" w:rsidRDefault="00BA42E4">
            <w:pPr>
              <w:jc w:val="center"/>
            </w:pPr>
            <w:r>
              <w:rPr>
                <w:rFonts w:eastAsiaTheme="minorEastAsia"/>
                <w:kern w:val="0"/>
                <w:szCs w:val="21"/>
              </w:rPr>
              <w:t>5</w:t>
            </w:r>
          </w:p>
        </w:tc>
        <w:tc>
          <w:tcPr>
            <w:tcW w:w="1276" w:type="dxa"/>
            <w:vAlign w:val="center"/>
          </w:tcPr>
          <w:p w:rsidR="000934D8" w:rsidRDefault="00BA42E4">
            <w:pPr>
              <w:jc w:val="center"/>
            </w:pPr>
            <w:r>
              <w:rPr>
                <w:rFonts w:eastAsiaTheme="minorEastAsia"/>
                <w:kern w:val="0"/>
                <w:szCs w:val="21"/>
              </w:rPr>
              <w:t>600025</w:t>
            </w:r>
          </w:p>
        </w:tc>
        <w:tc>
          <w:tcPr>
            <w:tcW w:w="1701" w:type="dxa"/>
            <w:vAlign w:val="center"/>
          </w:tcPr>
          <w:p w:rsidR="000934D8" w:rsidRDefault="00BA42E4">
            <w:pPr>
              <w:jc w:val="center"/>
            </w:pPr>
            <w:r>
              <w:rPr>
                <w:rFonts w:eastAsiaTheme="minorEastAsia"/>
                <w:kern w:val="0"/>
                <w:szCs w:val="21"/>
              </w:rPr>
              <w:t>华能水电</w:t>
            </w:r>
          </w:p>
        </w:tc>
        <w:tc>
          <w:tcPr>
            <w:tcW w:w="1276" w:type="dxa"/>
            <w:vAlign w:val="center"/>
          </w:tcPr>
          <w:p w:rsidR="000934D8" w:rsidRDefault="00BA42E4">
            <w:pPr>
              <w:jc w:val="right"/>
            </w:pPr>
            <w:r>
              <w:rPr>
                <w:rFonts w:eastAsiaTheme="minorEastAsia"/>
                <w:kern w:val="0"/>
                <w:szCs w:val="21"/>
              </w:rPr>
              <w:t>495,500</w:t>
            </w:r>
          </w:p>
        </w:tc>
        <w:tc>
          <w:tcPr>
            <w:tcW w:w="1842" w:type="dxa"/>
            <w:vAlign w:val="center"/>
          </w:tcPr>
          <w:p w:rsidR="000934D8" w:rsidRDefault="00BA42E4">
            <w:pPr>
              <w:jc w:val="right"/>
            </w:pPr>
            <w:r>
              <w:rPr>
                <w:rFonts w:eastAsiaTheme="minorEastAsia"/>
                <w:kern w:val="0"/>
                <w:szCs w:val="21"/>
              </w:rPr>
              <w:t>4,746,890.00</w:t>
            </w:r>
          </w:p>
        </w:tc>
        <w:tc>
          <w:tcPr>
            <w:tcW w:w="1616" w:type="dxa"/>
            <w:vAlign w:val="center"/>
          </w:tcPr>
          <w:p w:rsidR="000934D8" w:rsidRDefault="00BA42E4">
            <w:pPr>
              <w:jc w:val="right"/>
            </w:pPr>
            <w:r>
              <w:rPr>
                <w:rFonts w:eastAsiaTheme="minorEastAsia"/>
                <w:kern w:val="0"/>
                <w:szCs w:val="21"/>
              </w:rPr>
              <w:t>2.99</w:t>
            </w:r>
          </w:p>
        </w:tc>
      </w:tr>
      <w:tr w:rsidR="000934D8">
        <w:tc>
          <w:tcPr>
            <w:tcW w:w="817" w:type="dxa"/>
            <w:vAlign w:val="center"/>
          </w:tcPr>
          <w:p w:rsidR="000934D8" w:rsidRDefault="00BA42E4">
            <w:pPr>
              <w:jc w:val="center"/>
            </w:pPr>
            <w:r>
              <w:rPr>
                <w:rFonts w:eastAsiaTheme="minorEastAsia"/>
                <w:kern w:val="0"/>
                <w:szCs w:val="21"/>
              </w:rPr>
              <w:t>6</w:t>
            </w:r>
          </w:p>
        </w:tc>
        <w:tc>
          <w:tcPr>
            <w:tcW w:w="1276" w:type="dxa"/>
            <w:vAlign w:val="center"/>
          </w:tcPr>
          <w:p w:rsidR="000934D8" w:rsidRDefault="00BA42E4">
            <w:pPr>
              <w:jc w:val="center"/>
            </w:pPr>
            <w:r>
              <w:rPr>
                <w:rFonts w:eastAsiaTheme="minorEastAsia"/>
                <w:kern w:val="0"/>
                <w:szCs w:val="21"/>
              </w:rPr>
              <w:t>600795</w:t>
            </w:r>
          </w:p>
        </w:tc>
        <w:tc>
          <w:tcPr>
            <w:tcW w:w="1701" w:type="dxa"/>
            <w:vAlign w:val="center"/>
          </w:tcPr>
          <w:p w:rsidR="000934D8" w:rsidRDefault="00BA42E4">
            <w:pPr>
              <w:jc w:val="center"/>
            </w:pPr>
            <w:r>
              <w:rPr>
                <w:rFonts w:eastAsiaTheme="minorEastAsia"/>
                <w:kern w:val="0"/>
                <w:szCs w:val="21"/>
              </w:rPr>
              <w:t>国电电力</w:t>
            </w:r>
          </w:p>
        </w:tc>
        <w:tc>
          <w:tcPr>
            <w:tcW w:w="1276" w:type="dxa"/>
            <w:vAlign w:val="center"/>
          </w:tcPr>
          <w:p w:rsidR="000934D8" w:rsidRDefault="00BA42E4">
            <w:pPr>
              <w:jc w:val="right"/>
            </w:pPr>
            <w:r>
              <w:rPr>
                <w:rFonts w:eastAsiaTheme="minorEastAsia"/>
                <w:kern w:val="0"/>
                <w:szCs w:val="21"/>
              </w:rPr>
              <w:t>920,200</w:t>
            </w:r>
          </w:p>
        </w:tc>
        <w:tc>
          <w:tcPr>
            <w:tcW w:w="1842" w:type="dxa"/>
            <w:vAlign w:val="center"/>
          </w:tcPr>
          <w:p w:rsidR="000934D8" w:rsidRDefault="00BA42E4">
            <w:pPr>
              <w:jc w:val="right"/>
            </w:pPr>
            <w:r>
              <w:rPr>
                <w:rFonts w:eastAsiaTheme="minorEastAsia"/>
                <w:kern w:val="0"/>
                <w:szCs w:val="21"/>
              </w:rPr>
              <w:t>4,647,010.00</w:t>
            </w:r>
          </w:p>
        </w:tc>
        <w:tc>
          <w:tcPr>
            <w:tcW w:w="1616" w:type="dxa"/>
            <w:vAlign w:val="center"/>
          </w:tcPr>
          <w:p w:rsidR="000934D8" w:rsidRDefault="00BA42E4">
            <w:pPr>
              <w:jc w:val="right"/>
            </w:pPr>
            <w:r>
              <w:rPr>
                <w:rFonts w:eastAsiaTheme="minorEastAsia"/>
                <w:kern w:val="0"/>
                <w:szCs w:val="21"/>
              </w:rPr>
              <w:t>2.93</w:t>
            </w:r>
          </w:p>
        </w:tc>
      </w:tr>
      <w:tr w:rsidR="000934D8">
        <w:tc>
          <w:tcPr>
            <w:tcW w:w="817" w:type="dxa"/>
            <w:vAlign w:val="center"/>
          </w:tcPr>
          <w:p w:rsidR="000934D8" w:rsidRDefault="00BA42E4">
            <w:pPr>
              <w:jc w:val="center"/>
            </w:pPr>
            <w:r>
              <w:rPr>
                <w:rFonts w:eastAsiaTheme="minorEastAsia"/>
                <w:kern w:val="0"/>
                <w:szCs w:val="21"/>
              </w:rPr>
              <w:t>7</w:t>
            </w:r>
          </w:p>
        </w:tc>
        <w:tc>
          <w:tcPr>
            <w:tcW w:w="1276" w:type="dxa"/>
            <w:vAlign w:val="center"/>
          </w:tcPr>
          <w:p w:rsidR="000934D8" w:rsidRDefault="00BA42E4">
            <w:pPr>
              <w:jc w:val="center"/>
            </w:pPr>
            <w:r>
              <w:rPr>
                <w:rFonts w:eastAsiaTheme="minorEastAsia"/>
                <w:kern w:val="0"/>
                <w:szCs w:val="21"/>
              </w:rPr>
              <w:t>002463</w:t>
            </w:r>
          </w:p>
        </w:tc>
        <w:tc>
          <w:tcPr>
            <w:tcW w:w="1701" w:type="dxa"/>
            <w:vAlign w:val="center"/>
          </w:tcPr>
          <w:p w:rsidR="000934D8" w:rsidRDefault="00BA42E4">
            <w:pPr>
              <w:jc w:val="center"/>
            </w:pPr>
            <w:r>
              <w:rPr>
                <w:rFonts w:eastAsiaTheme="minorEastAsia"/>
                <w:kern w:val="0"/>
                <w:szCs w:val="21"/>
              </w:rPr>
              <w:t>沪电股份</w:t>
            </w:r>
          </w:p>
        </w:tc>
        <w:tc>
          <w:tcPr>
            <w:tcW w:w="1276" w:type="dxa"/>
            <w:vAlign w:val="center"/>
          </w:tcPr>
          <w:p w:rsidR="000934D8" w:rsidRDefault="00BA42E4">
            <w:pPr>
              <w:jc w:val="right"/>
            </w:pPr>
            <w:r>
              <w:rPr>
                <w:rFonts w:eastAsiaTheme="minorEastAsia"/>
                <w:kern w:val="0"/>
                <w:szCs w:val="21"/>
              </w:rPr>
              <w:t>150,786</w:t>
            </w:r>
          </w:p>
        </w:tc>
        <w:tc>
          <w:tcPr>
            <w:tcW w:w="1842" w:type="dxa"/>
            <w:vAlign w:val="center"/>
          </w:tcPr>
          <w:p w:rsidR="000934D8" w:rsidRDefault="00BA42E4">
            <w:pPr>
              <w:jc w:val="right"/>
            </w:pPr>
            <w:r>
              <w:rPr>
                <w:rFonts w:eastAsiaTheme="minorEastAsia"/>
                <w:kern w:val="0"/>
                <w:szCs w:val="21"/>
              </w:rPr>
              <w:t>4,550,721.48</w:t>
            </w:r>
          </w:p>
        </w:tc>
        <w:tc>
          <w:tcPr>
            <w:tcW w:w="1616" w:type="dxa"/>
            <w:vAlign w:val="center"/>
          </w:tcPr>
          <w:p w:rsidR="000934D8" w:rsidRDefault="00BA42E4">
            <w:pPr>
              <w:jc w:val="right"/>
            </w:pPr>
            <w:r>
              <w:rPr>
                <w:rFonts w:eastAsiaTheme="minorEastAsia"/>
                <w:kern w:val="0"/>
                <w:szCs w:val="21"/>
              </w:rPr>
              <w:t>2.87</w:t>
            </w:r>
          </w:p>
        </w:tc>
      </w:tr>
      <w:tr w:rsidR="000934D8">
        <w:tc>
          <w:tcPr>
            <w:tcW w:w="817" w:type="dxa"/>
            <w:vAlign w:val="center"/>
          </w:tcPr>
          <w:p w:rsidR="000934D8" w:rsidRDefault="00BA42E4">
            <w:pPr>
              <w:jc w:val="center"/>
            </w:pPr>
            <w:r>
              <w:rPr>
                <w:rFonts w:eastAsiaTheme="minorEastAsia"/>
                <w:kern w:val="0"/>
                <w:szCs w:val="21"/>
              </w:rPr>
              <w:t>8</w:t>
            </w:r>
          </w:p>
        </w:tc>
        <w:tc>
          <w:tcPr>
            <w:tcW w:w="1276" w:type="dxa"/>
            <w:vAlign w:val="center"/>
          </w:tcPr>
          <w:p w:rsidR="000934D8" w:rsidRDefault="00BA42E4">
            <w:pPr>
              <w:jc w:val="center"/>
            </w:pPr>
            <w:r>
              <w:rPr>
                <w:rFonts w:eastAsiaTheme="minorEastAsia"/>
                <w:kern w:val="0"/>
                <w:szCs w:val="21"/>
              </w:rPr>
              <w:t>600150</w:t>
            </w:r>
          </w:p>
        </w:tc>
        <w:tc>
          <w:tcPr>
            <w:tcW w:w="1701" w:type="dxa"/>
            <w:vAlign w:val="center"/>
          </w:tcPr>
          <w:p w:rsidR="000934D8" w:rsidRDefault="00BA42E4">
            <w:pPr>
              <w:jc w:val="center"/>
            </w:pPr>
            <w:r>
              <w:rPr>
                <w:rFonts w:eastAsiaTheme="minorEastAsia"/>
                <w:kern w:val="0"/>
                <w:szCs w:val="21"/>
              </w:rPr>
              <w:t>中国船舶</w:t>
            </w:r>
          </w:p>
        </w:tc>
        <w:tc>
          <w:tcPr>
            <w:tcW w:w="1276" w:type="dxa"/>
            <w:vAlign w:val="center"/>
          </w:tcPr>
          <w:p w:rsidR="000934D8" w:rsidRDefault="00BA42E4">
            <w:pPr>
              <w:jc w:val="right"/>
            </w:pPr>
            <w:r>
              <w:rPr>
                <w:rFonts w:eastAsiaTheme="minorEastAsia"/>
                <w:kern w:val="0"/>
                <w:szCs w:val="21"/>
              </w:rPr>
              <w:t>120,800</w:t>
            </w:r>
          </w:p>
        </w:tc>
        <w:tc>
          <w:tcPr>
            <w:tcW w:w="1842" w:type="dxa"/>
            <w:vAlign w:val="center"/>
          </w:tcPr>
          <w:p w:rsidR="000934D8" w:rsidRDefault="00BA42E4">
            <w:pPr>
              <w:jc w:val="right"/>
            </w:pPr>
            <w:r>
              <w:rPr>
                <w:rFonts w:eastAsiaTheme="minorEastAsia"/>
                <w:kern w:val="0"/>
                <w:szCs w:val="21"/>
              </w:rPr>
              <w:t>4,469,600.00</w:t>
            </w:r>
          </w:p>
        </w:tc>
        <w:tc>
          <w:tcPr>
            <w:tcW w:w="1616" w:type="dxa"/>
            <w:vAlign w:val="center"/>
          </w:tcPr>
          <w:p w:rsidR="000934D8" w:rsidRDefault="00BA42E4">
            <w:pPr>
              <w:jc w:val="right"/>
            </w:pPr>
            <w:r>
              <w:rPr>
                <w:rFonts w:eastAsiaTheme="minorEastAsia"/>
                <w:kern w:val="0"/>
                <w:szCs w:val="21"/>
              </w:rPr>
              <w:t>2.82</w:t>
            </w:r>
          </w:p>
        </w:tc>
      </w:tr>
      <w:tr w:rsidR="000934D8">
        <w:tc>
          <w:tcPr>
            <w:tcW w:w="817" w:type="dxa"/>
            <w:vAlign w:val="center"/>
          </w:tcPr>
          <w:p w:rsidR="000934D8" w:rsidRDefault="00BA42E4">
            <w:pPr>
              <w:jc w:val="center"/>
            </w:pPr>
            <w:r>
              <w:rPr>
                <w:rFonts w:eastAsiaTheme="minorEastAsia"/>
                <w:kern w:val="0"/>
                <w:szCs w:val="21"/>
              </w:rPr>
              <w:t>9</w:t>
            </w:r>
          </w:p>
        </w:tc>
        <w:tc>
          <w:tcPr>
            <w:tcW w:w="1276" w:type="dxa"/>
            <w:vAlign w:val="center"/>
          </w:tcPr>
          <w:p w:rsidR="000934D8" w:rsidRDefault="00BA42E4">
            <w:pPr>
              <w:jc w:val="center"/>
            </w:pPr>
            <w:r>
              <w:rPr>
                <w:rFonts w:eastAsiaTheme="minorEastAsia"/>
                <w:kern w:val="0"/>
                <w:szCs w:val="21"/>
              </w:rPr>
              <w:t>601899</w:t>
            </w:r>
          </w:p>
        </w:tc>
        <w:tc>
          <w:tcPr>
            <w:tcW w:w="1701" w:type="dxa"/>
            <w:vAlign w:val="center"/>
          </w:tcPr>
          <w:p w:rsidR="000934D8" w:rsidRDefault="00BA42E4">
            <w:pPr>
              <w:jc w:val="center"/>
            </w:pPr>
            <w:r>
              <w:rPr>
                <w:rFonts w:eastAsiaTheme="minorEastAsia"/>
                <w:kern w:val="0"/>
                <w:szCs w:val="21"/>
              </w:rPr>
              <w:t>紫金矿业</w:t>
            </w:r>
          </w:p>
        </w:tc>
        <w:tc>
          <w:tcPr>
            <w:tcW w:w="1276" w:type="dxa"/>
            <w:vAlign w:val="center"/>
          </w:tcPr>
          <w:p w:rsidR="000934D8" w:rsidRDefault="00BA42E4">
            <w:pPr>
              <w:jc w:val="right"/>
            </w:pPr>
            <w:r>
              <w:rPr>
                <w:rFonts w:eastAsiaTheme="minorEastAsia"/>
                <w:kern w:val="0"/>
                <w:szCs w:val="21"/>
              </w:rPr>
              <w:t>260,800</w:t>
            </w:r>
          </w:p>
        </w:tc>
        <w:tc>
          <w:tcPr>
            <w:tcW w:w="1842" w:type="dxa"/>
            <w:vAlign w:val="center"/>
          </w:tcPr>
          <w:p w:rsidR="000934D8" w:rsidRDefault="00BA42E4">
            <w:pPr>
              <w:jc w:val="right"/>
            </w:pPr>
            <w:r>
              <w:rPr>
                <w:rFonts w:eastAsiaTheme="minorEastAsia"/>
                <w:kern w:val="0"/>
                <w:szCs w:val="21"/>
              </w:rPr>
              <w:t>4,386,656.00</w:t>
            </w:r>
          </w:p>
        </w:tc>
        <w:tc>
          <w:tcPr>
            <w:tcW w:w="1616" w:type="dxa"/>
            <w:vAlign w:val="center"/>
          </w:tcPr>
          <w:p w:rsidR="000934D8" w:rsidRDefault="00BA42E4">
            <w:pPr>
              <w:jc w:val="right"/>
            </w:pPr>
            <w:r>
              <w:rPr>
                <w:rFonts w:eastAsiaTheme="minorEastAsia"/>
                <w:kern w:val="0"/>
                <w:szCs w:val="21"/>
              </w:rPr>
              <w:t>2.76</w:t>
            </w:r>
          </w:p>
        </w:tc>
      </w:tr>
      <w:tr w:rsidR="000934D8">
        <w:tc>
          <w:tcPr>
            <w:tcW w:w="817" w:type="dxa"/>
            <w:vAlign w:val="center"/>
          </w:tcPr>
          <w:p w:rsidR="000934D8" w:rsidRDefault="00BA42E4">
            <w:pPr>
              <w:jc w:val="center"/>
            </w:pPr>
            <w:r>
              <w:rPr>
                <w:rFonts w:eastAsiaTheme="minorEastAsia"/>
                <w:kern w:val="0"/>
                <w:szCs w:val="21"/>
              </w:rPr>
              <w:t>10</w:t>
            </w:r>
          </w:p>
        </w:tc>
        <w:tc>
          <w:tcPr>
            <w:tcW w:w="1276" w:type="dxa"/>
            <w:vAlign w:val="center"/>
          </w:tcPr>
          <w:p w:rsidR="000934D8" w:rsidRDefault="00BA42E4">
            <w:pPr>
              <w:jc w:val="center"/>
            </w:pPr>
            <w:r>
              <w:rPr>
                <w:rFonts w:eastAsiaTheme="minorEastAsia"/>
                <w:kern w:val="0"/>
                <w:szCs w:val="21"/>
              </w:rPr>
              <w:t>300308</w:t>
            </w:r>
          </w:p>
        </w:tc>
        <w:tc>
          <w:tcPr>
            <w:tcW w:w="1701" w:type="dxa"/>
            <w:vAlign w:val="center"/>
          </w:tcPr>
          <w:p w:rsidR="000934D8" w:rsidRDefault="00BA42E4">
            <w:pPr>
              <w:jc w:val="center"/>
            </w:pPr>
            <w:r>
              <w:rPr>
                <w:rFonts w:eastAsiaTheme="minorEastAsia"/>
                <w:kern w:val="0"/>
                <w:szCs w:val="21"/>
              </w:rPr>
              <w:t>中际旭创</w:t>
            </w:r>
          </w:p>
        </w:tc>
        <w:tc>
          <w:tcPr>
            <w:tcW w:w="1276" w:type="dxa"/>
            <w:vAlign w:val="center"/>
          </w:tcPr>
          <w:p w:rsidR="000934D8" w:rsidRDefault="00BA42E4">
            <w:pPr>
              <w:jc w:val="right"/>
            </w:pPr>
            <w:r>
              <w:rPr>
                <w:rFonts w:eastAsiaTheme="minorEastAsia"/>
                <w:kern w:val="0"/>
                <w:szCs w:val="21"/>
              </w:rPr>
              <w:t>24,653</w:t>
            </w:r>
          </w:p>
        </w:tc>
        <w:tc>
          <w:tcPr>
            <w:tcW w:w="1842" w:type="dxa"/>
            <w:vAlign w:val="center"/>
          </w:tcPr>
          <w:p w:rsidR="000934D8" w:rsidRDefault="00BA42E4">
            <w:pPr>
              <w:jc w:val="right"/>
            </w:pPr>
            <w:r>
              <w:rPr>
                <w:rFonts w:eastAsiaTheme="minorEastAsia"/>
                <w:kern w:val="0"/>
                <w:szCs w:val="21"/>
              </w:rPr>
              <w:t>3,859,673.68</w:t>
            </w:r>
          </w:p>
        </w:tc>
        <w:tc>
          <w:tcPr>
            <w:tcW w:w="1616" w:type="dxa"/>
            <w:vAlign w:val="center"/>
          </w:tcPr>
          <w:p w:rsidR="000934D8" w:rsidRDefault="00BA42E4">
            <w:pPr>
              <w:jc w:val="right"/>
            </w:pPr>
            <w:r>
              <w:rPr>
                <w:rFonts w:eastAsiaTheme="minorEastAsia"/>
                <w:kern w:val="0"/>
                <w:szCs w:val="21"/>
              </w:rPr>
              <w:t>2.43</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lastRenderedPageBreak/>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60,949.22</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14,161.98</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75,111.20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lastRenderedPageBreak/>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摩根转型动力混合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93,959,352.32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122,405.47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1,834,328.39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34,509.61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2,865,931.47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21,601.48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92,927,749.24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135,313.60</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中国证监会批准本基金设立的文件；</w:t>
      </w:r>
      <w:r>
        <w:rPr>
          <w:rFonts w:eastAsiaTheme="minorEastAsia"/>
          <w:color w:val="000000" w:themeColor="text1"/>
          <w:szCs w:val="21"/>
        </w:rPr>
        <w:t xml:space="preserve"> </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《摩根转型动力灵活配置混合型证券投资基金基金合同》；</w:t>
      </w:r>
      <w:r>
        <w:rPr>
          <w:rFonts w:eastAsiaTheme="minorEastAsia"/>
          <w:color w:val="000000" w:themeColor="text1"/>
          <w:szCs w:val="21"/>
        </w:rPr>
        <w:t xml:space="preserve"> </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《摩根转型动力灵活配置混合型证券投资基金基金托管协议》；</w:t>
      </w:r>
      <w:r>
        <w:rPr>
          <w:rFonts w:eastAsiaTheme="minorEastAsia"/>
          <w:color w:val="000000" w:themeColor="text1"/>
          <w:szCs w:val="21"/>
        </w:rPr>
        <w:t xml:space="preserve"> </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rsidR="000934D8" w:rsidRDefault="00BA42E4">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6.</w:t>
      </w:r>
      <w:r w:rsidRPr="00B27A29">
        <w:rPr>
          <w:rFonts w:eastAsiaTheme="minorEastAsia"/>
          <w:color w:val="000000" w:themeColor="text1"/>
          <w:szCs w:val="21"/>
        </w:rPr>
        <w:t>基金托管人业务资格批件和营业执照。</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lastRenderedPageBreak/>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A42E4">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A42E4">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BA42E4">
      <w:rPr>
        <w:rStyle w:val="af6"/>
        <w:noProof/>
      </w:rPr>
      <w:t>4</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摩根转型动力灵活配置混合型证券投资基金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4D8"/>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398E"/>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42E4"/>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57E59-5F12-4F5D-B78D-0E4C0F9F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26</TotalTime>
  <Pages>13</Pages>
  <Words>1114</Words>
  <Characters>6356</Characters>
  <Application>Microsoft Office Word</Application>
  <DocSecurity>0</DocSecurity>
  <Lines>52</Lines>
  <Paragraphs>14</Paragraphs>
  <ScaleCrop>false</ScaleCrop>
  <Company>TRT. Ltd. Co.</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221</cp:revision>
  <cp:lastPrinted>2007-07-19T00:46:00Z</cp:lastPrinted>
  <dcterms:created xsi:type="dcterms:W3CDTF">2013-06-21T06:56:00Z</dcterms:created>
  <dcterms:modified xsi:type="dcterms:W3CDTF">2024-04-19T05:24:00Z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