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hint="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摩根转型动力灵活配置混合型证券投资基金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年第</w:t>
      </w:r>
      <w:r w:rsidRPr="00B27A29">
        <w:rPr>
          <w:rFonts w:eastAsiaTheme="minorEastAsia"/>
          <w:b/>
          <w:color w:val="000000" w:themeColor="text1"/>
          <w:sz w:val="36"/>
          <w:szCs w:val="36"/>
        </w:rPr>
        <w:t>4</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w:t>
      </w:r>
      <w:r w:rsidRPr="00B27A29">
        <w:rPr>
          <w:rFonts w:eastAsiaTheme="minorEastAsia"/>
          <w:b/>
          <w:color w:val="000000" w:themeColor="text1"/>
          <w:sz w:val="36"/>
          <w:szCs w:val="36"/>
        </w:rPr>
        <w:t>12</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基金托管人：中国建设银行股份有限公司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报告送出日期：二〇二四年一月二十二日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6066A1" w:rsidRDefault="006E07A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6066A1" w:rsidRDefault="006E07A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6066A1" w:rsidRDefault="006E07A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6066A1" w:rsidRDefault="006E07A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6066A1" w:rsidRDefault="006E07AE">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摩根转型动力混合</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000328</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2013</w:t>
            </w:r>
            <w:r w:rsidRPr="00B27A29">
              <w:rPr>
                <w:rFonts w:eastAsiaTheme="minorEastAsia"/>
                <w:color w:val="000000" w:themeColor="text1"/>
                <w:kern w:val="0"/>
                <w:szCs w:val="21"/>
              </w:rPr>
              <w:t>年</w:t>
            </w:r>
            <w:r w:rsidRPr="00B27A29">
              <w:rPr>
                <w:rFonts w:eastAsiaTheme="minorEastAsia"/>
                <w:color w:val="000000" w:themeColor="text1"/>
                <w:kern w:val="0"/>
                <w:szCs w:val="21"/>
              </w:rPr>
              <w:t>11</w:t>
            </w:r>
            <w:r w:rsidRPr="00B27A29">
              <w:rPr>
                <w:rFonts w:eastAsiaTheme="minorEastAsia"/>
                <w:color w:val="000000" w:themeColor="text1"/>
                <w:kern w:val="0"/>
                <w:szCs w:val="21"/>
              </w:rPr>
              <w:t>月</w:t>
            </w:r>
            <w:r w:rsidRPr="00B27A29">
              <w:rPr>
                <w:rFonts w:eastAsiaTheme="minorEastAsia"/>
                <w:color w:val="000000" w:themeColor="text1"/>
                <w:kern w:val="0"/>
                <w:szCs w:val="21"/>
              </w:rPr>
              <w:t>25</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94,081,757.79</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通过投资于符合政策扶植和经济发展方向，具有长期发展潜力的上市公司，充分把握中国未来经济转型带来的投资机会，力争实现基金资产的长期稳健增值。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6066A1" w:rsidRDefault="006E07A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本基金将以经济转型作为行业配置和个股选择的主线，重点投资于受益于经济转型和政策扶持、具有良好基本面和持续成长能力的上市公司，力争实现基金资产的长期稳定增值。</w:t>
            </w:r>
          </w:p>
          <w:p w:rsidR="006066A1" w:rsidRDefault="006E07A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在行业配置层面，本基金将运用</w:t>
            </w:r>
            <w:r>
              <w:rPr>
                <w:rFonts w:eastAsiaTheme="minorEastAsia"/>
                <w:color w:val="000000" w:themeColor="text1"/>
                <w:kern w:val="0"/>
                <w:szCs w:val="21"/>
              </w:rPr>
              <w:t>“</w:t>
            </w:r>
            <w:r>
              <w:rPr>
                <w:rFonts w:eastAsiaTheme="minorEastAsia"/>
                <w:color w:val="000000" w:themeColor="text1"/>
                <w:kern w:val="0"/>
                <w:szCs w:val="21"/>
              </w:rPr>
              <w:t>自上而下</w:t>
            </w:r>
            <w:r>
              <w:rPr>
                <w:rFonts w:eastAsiaTheme="minorEastAsia"/>
                <w:color w:val="000000" w:themeColor="text1"/>
                <w:kern w:val="0"/>
                <w:szCs w:val="21"/>
              </w:rPr>
              <w:t>”</w:t>
            </w:r>
            <w:r>
              <w:rPr>
                <w:rFonts w:eastAsiaTheme="minorEastAsia"/>
                <w:color w:val="000000" w:themeColor="text1"/>
                <w:kern w:val="0"/>
                <w:szCs w:val="21"/>
              </w:rPr>
              <w:t>的方法，通过对国内外宏观经济、经济结构转型的方向、国家经济政策、</w:t>
            </w:r>
            <w:r>
              <w:rPr>
                <w:rFonts w:eastAsiaTheme="minorEastAsia"/>
                <w:color w:val="000000" w:themeColor="text1"/>
                <w:kern w:val="0"/>
                <w:szCs w:val="21"/>
              </w:rPr>
              <w:lastRenderedPageBreak/>
              <w:t>产业政策导向的深入研究，挖掘受益于国家经济转型、具有较大成长空间的行业。在个股选择层面，本基金将主要采用</w:t>
            </w:r>
            <w:r>
              <w:rPr>
                <w:rFonts w:eastAsiaTheme="minorEastAsia"/>
                <w:color w:val="000000" w:themeColor="text1"/>
                <w:kern w:val="0"/>
                <w:szCs w:val="21"/>
              </w:rPr>
              <w:t>“</w:t>
            </w:r>
            <w:r>
              <w:rPr>
                <w:rFonts w:eastAsiaTheme="minorEastAsia"/>
                <w:color w:val="000000" w:themeColor="text1"/>
                <w:kern w:val="0"/>
                <w:szCs w:val="21"/>
              </w:rPr>
              <w:t>自下而上</w:t>
            </w:r>
            <w:r>
              <w:rPr>
                <w:rFonts w:eastAsiaTheme="minorEastAsia"/>
                <w:color w:val="000000" w:themeColor="text1"/>
                <w:kern w:val="0"/>
                <w:szCs w:val="21"/>
              </w:rPr>
              <w:t>”</w:t>
            </w:r>
            <w:r>
              <w:rPr>
                <w:rFonts w:eastAsiaTheme="minorEastAsia"/>
                <w:color w:val="000000" w:themeColor="text1"/>
                <w:kern w:val="0"/>
                <w:szCs w:val="21"/>
              </w:rPr>
              <w:t>的方法，在备选行业内部通过定量与定性相结合的分析方法，综合分析上市公司的业绩质量、成长性和估值水平等，精选具有良好成长性、估值合理的个股。</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具体投资策略包括：资产配置策略、行业配置策略、股票投资策略、固定收益类投资策略、可转换债券投资策略、中小企业私募债投资策略、权证投资策略、股指期货投资策略、存托凭证投资策略。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沪深</w:t>
            </w:r>
            <w:r w:rsidRPr="00B27A29">
              <w:rPr>
                <w:rFonts w:eastAsiaTheme="minorEastAsia"/>
                <w:color w:val="000000" w:themeColor="text1"/>
                <w:kern w:val="0"/>
                <w:szCs w:val="21"/>
              </w:rPr>
              <w:t>300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×80%+</w:t>
            </w:r>
            <w:r w:rsidRPr="00B27A29">
              <w:rPr>
                <w:rFonts w:eastAsiaTheme="minorEastAsia"/>
                <w:color w:val="000000" w:themeColor="text1"/>
                <w:kern w:val="0"/>
                <w:szCs w:val="21"/>
              </w:rPr>
              <w:t>中债总指数收益率</w:t>
            </w:r>
            <w:r w:rsidRPr="00B27A29">
              <w:rPr>
                <w:rFonts w:eastAsiaTheme="minorEastAsia"/>
                <w:color w:val="000000" w:themeColor="text1"/>
                <w:kern w:val="0"/>
                <w:szCs w:val="21"/>
              </w:rPr>
              <w:t>×20%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6066A1" w:rsidRDefault="006E07A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本基金属于混合型基金产品，预期风险和收益水平低于股票型基金，高于债券型基金和货币市场基金</w:t>
            </w:r>
            <w:r>
              <w:rPr>
                <w:rFonts w:eastAsiaTheme="minorEastAsia"/>
                <w:color w:val="000000" w:themeColor="text1"/>
                <w:kern w:val="0"/>
                <w:szCs w:val="21"/>
              </w:rPr>
              <w:t xml:space="preserve"> </w:t>
            </w:r>
            <w:r>
              <w:rPr>
                <w:rFonts w:eastAsiaTheme="minorEastAsia"/>
                <w:color w:val="000000" w:themeColor="text1"/>
                <w:kern w:val="0"/>
                <w:szCs w:val="21"/>
              </w:rPr>
              <w:t>，属于较高风险收益水平的基金产品。</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中国建设银行股份有限公司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摩根转型动力混合</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摩根转型动力混合</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000328</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015074</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93,959,352.32</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122,405.47</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lastRenderedPageBreak/>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摩根转型动力混合</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摩根转型动力混合</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-14,217,788.59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-24,720.79</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-11,005,409.40</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-18,530.38</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-0.1169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-0.1147</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157,663,567.08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203,169.51</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1.6780</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1.6598</w:t>
            </w:r>
          </w:p>
        </w:tc>
      </w:tr>
    </w:tbl>
    <w:p w:rsidR="006066A1" w:rsidRDefault="006E07AE">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注：本期已实现收益指基金本期利息收入、投资收益、其他收入（不含公允价值变动收益）扣除相关费用后的余额，本期利润为本期已实现收益加上本期公允价值变动收益。</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摩根转型动力混合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6066A1">
        <w:tc>
          <w:tcPr>
            <w:tcW w:w="1290" w:type="dxa"/>
            <w:vAlign w:val="center"/>
          </w:tcPr>
          <w:p w:rsidR="006066A1" w:rsidRDefault="006E07AE">
            <w:pPr>
              <w:jc w:val="left"/>
            </w:pPr>
            <w:r>
              <w:rPr>
                <w:rFonts w:eastAsiaTheme="minorEastAsia"/>
                <w:color w:val="000000" w:themeColor="text1"/>
                <w:szCs w:val="21"/>
              </w:rPr>
              <w:t>过去三个月</w:t>
            </w:r>
          </w:p>
        </w:tc>
        <w:tc>
          <w:tcPr>
            <w:tcW w:w="1291" w:type="dxa"/>
            <w:vAlign w:val="center"/>
          </w:tcPr>
          <w:p w:rsidR="006066A1" w:rsidRDefault="006E07AE">
            <w:pPr>
              <w:jc w:val="right"/>
            </w:pPr>
            <w:r>
              <w:rPr>
                <w:rFonts w:eastAsiaTheme="minorEastAsia"/>
                <w:color w:val="000000" w:themeColor="text1"/>
                <w:szCs w:val="21"/>
              </w:rPr>
              <w:t>-6.49%</w:t>
            </w:r>
          </w:p>
        </w:tc>
        <w:tc>
          <w:tcPr>
            <w:tcW w:w="1291" w:type="dxa"/>
            <w:vAlign w:val="center"/>
          </w:tcPr>
          <w:p w:rsidR="006066A1" w:rsidRDefault="006E07AE">
            <w:pPr>
              <w:jc w:val="right"/>
            </w:pPr>
            <w:r>
              <w:rPr>
                <w:rFonts w:eastAsiaTheme="minorEastAsia"/>
                <w:color w:val="000000" w:themeColor="text1"/>
                <w:szCs w:val="21"/>
              </w:rPr>
              <w:t>1.02%</w:t>
            </w:r>
          </w:p>
        </w:tc>
        <w:tc>
          <w:tcPr>
            <w:tcW w:w="1291" w:type="dxa"/>
            <w:vAlign w:val="center"/>
          </w:tcPr>
          <w:p w:rsidR="006066A1" w:rsidRDefault="006E07AE">
            <w:pPr>
              <w:jc w:val="right"/>
            </w:pPr>
            <w:r>
              <w:rPr>
                <w:rFonts w:eastAsiaTheme="minorEastAsia"/>
                <w:color w:val="000000" w:themeColor="text1"/>
                <w:szCs w:val="21"/>
              </w:rPr>
              <w:t>-5.44%</w:t>
            </w:r>
          </w:p>
        </w:tc>
        <w:tc>
          <w:tcPr>
            <w:tcW w:w="1291" w:type="dxa"/>
            <w:vAlign w:val="center"/>
          </w:tcPr>
          <w:p w:rsidR="006066A1" w:rsidRDefault="006E07AE">
            <w:pPr>
              <w:jc w:val="right"/>
            </w:pPr>
            <w:r>
              <w:rPr>
                <w:rFonts w:eastAsiaTheme="minorEastAsia"/>
                <w:color w:val="000000" w:themeColor="text1"/>
                <w:szCs w:val="21"/>
              </w:rPr>
              <w:t>0.63%</w:t>
            </w:r>
          </w:p>
        </w:tc>
        <w:tc>
          <w:tcPr>
            <w:tcW w:w="1291" w:type="dxa"/>
            <w:vAlign w:val="center"/>
          </w:tcPr>
          <w:p w:rsidR="006066A1" w:rsidRDefault="006E07AE">
            <w:pPr>
              <w:jc w:val="right"/>
            </w:pPr>
            <w:r>
              <w:rPr>
                <w:rFonts w:eastAsiaTheme="minorEastAsia"/>
                <w:color w:val="000000" w:themeColor="text1"/>
                <w:szCs w:val="21"/>
              </w:rPr>
              <w:t>-1.05%</w:t>
            </w:r>
          </w:p>
        </w:tc>
        <w:tc>
          <w:tcPr>
            <w:tcW w:w="1291" w:type="dxa"/>
            <w:vAlign w:val="center"/>
          </w:tcPr>
          <w:p w:rsidR="006066A1" w:rsidRDefault="006E07AE">
            <w:pPr>
              <w:jc w:val="right"/>
            </w:pPr>
            <w:r>
              <w:rPr>
                <w:rFonts w:eastAsiaTheme="minorEastAsia"/>
                <w:color w:val="000000" w:themeColor="text1"/>
                <w:szCs w:val="21"/>
              </w:rPr>
              <w:t>0.39%</w:t>
            </w:r>
          </w:p>
        </w:tc>
      </w:tr>
      <w:tr w:rsidR="006066A1">
        <w:tc>
          <w:tcPr>
            <w:tcW w:w="1290" w:type="dxa"/>
            <w:vAlign w:val="center"/>
          </w:tcPr>
          <w:p w:rsidR="006066A1" w:rsidRDefault="006E07AE">
            <w:pPr>
              <w:jc w:val="left"/>
            </w:pPr>
            <w:r>
              <w:rPr>
                <w:rFonts w:eastAsiaTheme="minorEastAsia"/>
                <w:color w:val="000000" w:themeColor="text1"/>
                <w:szCs w:val="21"/>
              </w:rPr>
              <w:t>过去六个月</w:t>
            </w:r>
          </w:p>
        </w:tc>
        <w:tc>
          <w:tcPr>
            <w:tcW w:w="1291" w:type="dxa"/>
            <w:vAlign w:val="center"/>
          </w:tcPr>
          <w:p w:rsidR="006066A1" w:rsidRDefault="006E07AE">
            <w:pPr>
              <w:jc w:val="right"/>
            </w:pPr>
            <w:r>
              <w:rPr>
                <w:rFonts w:eastAsiaTheme="minorEastAsia"/>
                <w:color w:val="000000" w:themeColor="text1"/>
                <w:szCs w:val="21"/>
              </w:rPr>
              <w:t>-23.74%</w:t>
            </w:r>
          </w:p>
        </w:tc>
        <w:tc>
          <w:tcPr>
            <w:tcW w:w="1291" w:type="dxa"/>
            <w:vAlign w:val="center"/>
          </w:tcPr>
          <w:p w:rsidR="006066A1" w:rsidRDefault="006E07AE">
            <w:pPr>
              <w:jc w:val="right"/>
            </w:pPr>
            <w:r>
              <w:rPr>
                <w:rFonts w:eastAsiaTheme="minorEastAsia"/>
                <w:color w:val="000000" w:themeColor="text1"/>
                <w:szCs w:val="21"/>
              </w:rPr>
              <w:t>1.25%</w:t>
            </w:r>
          </w:p>
        </w:tc>
        <w:tc>
          <w:tcPr>
            <w:tcW w:w="1291" w:type="dxa"/>
            <w:vAlign w:val="center"/>
          </w:tcPr>
          <w:p w:rsidR="006066A1" w:rsidRDefault="006E07AE">
            <w:pPr>
              <w:jc w:val="right"/>
            </w:pPr>
            <w:r>
              <w:rPr>
                <w:rFonts w:eastAsiaTheme="minorEastAsia"/>
                <w:color w:val="000000" w:themeColor="text1"/>
                <w:szCs w:val="21"/>
              </w:rPr>
              <w:t>-8.41%</w:t>
            </w:r>
          </w:p>
        </w:tc>
        <w:tc>
          <w:tcPr>
            <w:tcW w:w="1291" w:type="dxa"/>
            <w:vAlign w:val="center"/>
          </w:tcPr>
          <w:p w:rsidR="006066A1" w:rsidRDefault="006E07AE">
            <w:pPr>
              <w:jc w:val="right"/>
            </w:pPr>
            <w:r>
              <w:rPr>
                <w:rFonts w:eastAsiaTheme="minorEastAsia"/>
                <w:color w:val="000000" w:themeColor="text1"/>
                <w:szCs w:val="21"/>
              </w:rPr>
              <w:t>0.68%</w:t>
            </w:r>
          </w:p>
        </w:tc>
        <w:tc>
          <w:tcPr>
            <w:tcW w:w="1291" w:type="dxa"/>
            <w:vAlign w:val="center"/>
          </w:tcPr>
          <w:p w:rsidR="006066A1" w:rsidRDefault="006E07AE">
            <w:pPr>
              <w:jc w:val="right"/>
            </w:pPr>
            <w:r>
              <w:rPr>
                <w:rFonts w:eastAsiaTheme="minorEastAsia"/>
                <w:color w:val="000000" w:themeColor="text1"/>
                <w:szCs w:val="21"/>
              </w:rPr>
              <w:t>-15.33%</w:t>
            </w:r>
          </w:p>
        </w:tc>
        <w:tc>
          <w:tcPr>
            <w:tcW w:w="1291" w:type="dxa"/>
            <w:vAlign w:val="center"/>
          </w:tcPr>
          <w:p w:rsidR="006066A1" w:rsidRDefault="006E07AE">
            <w:pPr>
              <w:jc w:val="right"/>
            </w:pPr>
            <w:r>
              <w:rPr>
                <w:rFonts w:eastAsiaTheme="minorEastAsia"/>
                <w:color w:val="000000" w:themeColor="text1"/>
                <w:szCs w:val="21"/>
              </w:rPr>
              <w:t>0.57%</w:t>
            </w:r>
          </w:p>
        </w:tc>
      </w:tr>
      <w:tr w:rsidR="006066A1">
        <w:tc>
          <w:tcPr>
            <w:tcW w:w="1290" w:type="dxa"/>
            <w:vAlign w:val="center"/>
          </w:tcPr>
          <w:p w:rsidR="006066A1" w:rsidRDefault="006E07AE">
            <w:pPr>
              <w:jc w:val="left"/>
            </w:pPr>
            <w:r>
              <w:rPr>
                <w:rFonts w:eastAsiaTheme="minorEastAsia"/>
                <w:color w:val="000000" w:themeColor="text1"/>
                <w:szCs w:val="21"/>
              </w:rPr>
              <w:t>过去一年</w:t>
            </w:r>
          </w:p>
        </w:tc>
        <w:tc>
          <w:tcPr>
            <w:tcW w:w="1291" w:type="dxa"/>
            <w:vAlign w:val="center"/>
          </w:tcPr>
          <w:p w:rsidR="006066A1" w:rsidRDefault="006E07AE">
            <w:pPr>
              <w:jc w:val="right"/>
            </w:pPr>
            <w:r>
              <w:rPr>
                <w:rFonts w:eastAsiaTheme="minorEastAsia"/>
                <w:color w:val="000000" w:themeColor="text1"/>
                <w:szCs w:val="21"/>
              </w:rPr>
              <w:t>-20.11%</w:t>
            </w:r>
          </w:p>
        </w:tc>
        <w:tc>
          <w:tcPr>
            <w:tcW w:w="1291" w:type="dxa"/>
            <w:vAlign w:val="center"/>
          </w:tcPr>
          <w:p w:rsidR="006066A1" w:rsidRDefault="006E07AE">
            <w:pPr>
              <w:jc w:val="right"/>
            </w:pPr>
            <w:r>
              <w:rPr>
                <w:rFonts w:eastAsiaTheme="minorEastAsia"/>
                <w:color w:val="000000" w:themeColor="text1"/>
                <w:szCs w:val="21"/>
              </w:rPr>
              <w:t>1.39%</w:t>
            </w:r>
          </w:p>
        </w:tc>
        <w:tc>
          <w:tcPr>
            <w:tcW w:w="1291" w:type="dxa"/>
            <w:vAlign w:val="center"/>
          </w:tcPr>
          <w:p w:rsidR="006066A1" w:rsidRDefault="006E07AE">
            <w:pPr>
              <w:jc w:val="right"/>
            </w:pPr>
            <w:r>
              <w:rPr>
                <w:rFonts w:eastAsiaTheme="minorEastAsia"/>
                <w:color w:val="000000" w:themeColor="text1"/>
                <w:szCs w:val="21"/>
              </w:rPr>
              <w:t>-8.77%</w:t>
            </w:r>
          </w:p>
        </w:tc>
        <w:tc>
          <w:tcPr>
            <w:tcW w:w="1291" w:type="dxa"/>
            <w:vAlign w:val="center"/>
          </w:tcPr>
          <w:p w:rsidR="006066A1" w:rsidRDefault="006E07AE">
            <w:pPr>
              <w:jc w:val="right"/>
            </w:pPr>
            <w:r>
              <w:rPr>
                <w:rFonts w:eastAsiaTheme="minorEastAsia"/>
                <w:color w:val="000000" w:themeColor="text1"/>
                <w:szCs w:val="21"/>
              </w:rPr>
              <w:t>0.67%</w:t>
            </w:r>
          </w:p>
        </w:tc>
        <w:tc>
          <w:tcPr>
            <w:tcW w:w="1291" w:type="dxa"/>
            <w:vAlign w:val="center"/>
          </w:tcPr>
          <w:p w:rsidR="006066A1" w:rsidRDefault="006E07AE">
            <w:pPr>
              <w:jc w:val="right"/>
            </w:pPr>
            <w:r>
              <w:rPr>
                <w:rFonts w:eastAsiaTheme="minorEastAsia"/>
                <w:color w:val="000000" w:themeColor="text1"/>
                <w:szCs w:val="21"/>
              </w:rPr>
              <w:t>-11.34%</w:t>
            </w:r>
          </w:p>
        </w:tc>
        <w:tc>
          <w:tcPr>
            <w:tcW w:w="1291" w:type="dxa"/>
            <w:vAlign w:val="center"/>
          </w:tcPr>
          <w:p w:rsidR="006066A1" w:rsidRDefault="006E07AE">
            <w:pPr>
              <w:jc w:val="right"/>
            </w:pPr>
            <w:r>
              <w:rPr>
                <w:rFonts w:eastAsiaTheme="minorEastAsia"/>
                <w:color w:val="000000" w:themeColor="text1"/>
                <w:szCs w:val="21"/>
              </w:rPr>
              <w:t>0.72%</w:t>
            </w:r>
          </w:p>
        </w:tc>
      </w:tr>
      <w:tr w:rsidR="006066A1">
        <w:tc>
          <w:tcPr>
            <w:tcW w:w="1290" w:type="dxa"/>
            <w:vAlign w:val="center"/>
          </w:tcPr>
          <w:p w:rsidR="006066A1" w:rsidRDefault="006E07AE">
            <w:pPr>
              <w:jc w:val="left"/>
            </w:pPr>
            <w:r>
              <w:rPr>
                <w:rFonts w:eastAsiaTheme="minorEastAsia"/>
                <w:color w:val="000000" w:themeColor="text1"/>
                <w:szCs w:val="21"/>
              </w:rPr>
              <w:t>过去三年</w:t>
            </w:r>
          </w:p>
        </w:tc>
        <w:tc>
          <w:tcPr>
            <w:tcW w:w="1291" w:type="dxa"/>
            <w:vAlign w:val="center"/>
          </w:tcPr>
          <w:p w:rsidR="006066A1" w:rsidRDefault="006E07AE">
            <w:pPr>
              <w:jc w:val="right"/>
            </w:pPr>
            <w:r>
              <w:rPr>
                <w:rFonts w:eastAsiaTheme="minorEastAsia"/>
                <w:color w:val="000000" w:themeColor="text1"/>
                <w:szCs w:val="21"/>
              </w:rPr>
              <w:t>-47.23%</w:t>
            </w:r>
          </w:p>
        </w:tc>
        <w:tc>
          <w:tcPr>
            <w:tcW w:w="1291" w:type="dxa"/>
            <w:vAlign w:val="center"/>
          </w:tcPr>
          <w:p w:rsidR="006066A1" w:rsidRDefault="006E07AE">
            <w:pPr>
              <w:jc w:val="right"/>
            </w:pPr>
            <w:r>
              <w:rPr>
                <w:rFonts w:eastAsiaTheme="minorEastAsia"/>
                <w:color w:val="000000" w:themeColor="text1"/>
                <w:szCs w:val="21"/>
              </w:rPr>
              <w:t>1.67%</w:t>
            </w:r>
          </w:p>
        </w:tc>
        <w:tc>
          <w:tcPr>
            <w:tcW w:w="1291" w:type="dxa"/>
            <w:vAlign w:val="center"/>
          </w:tcPr>
          <w:p w:rsidR="006066A1" w:rsidRDefault="006E07AE">
            <w:pPr>
              <w:jc w:val="right"/>
            </w:pPr>
            <w:r>
              <w:rPr>
                <w:rFonts w:eastAsiaTheme="minorEastAsia"/>
                <w:color w:val="000000" w:themeColor="text1"/>
                <w:szCs w:val="21"/>
              </w:rPr>
              <w:t>-26.49%</w:t>
            </w:r>
          </w:p>
        </w:tc>
        <w:tc>
          <w:tcPr>
            <w:tcW w:w="1291" w:type="dxa"/>
            <w:vAlign w:val="center"/>
          </w:tcPr>
          <w:p w:rsidR="006066A1" w:rsidRDefault="006E07AE">
            <w:pPr>
              <w:jc w:val="right"/>
            </w:pPr>
            <w:r>
              <w:rPr>
                <w:rFonts w:eastAsiaTheme="minorEastAsia"/>
                <w:color w:val="000000" w:themeColor="text1"/>
                <w:szCs w:val="21"/>
              </w:rPr>
              <w:t>0.89%</w:t>
            </w:r>
          </w:p>
        </w:tc>
        <w:tc>
          <w:tcPr>
            <w:tcW w:w="1291" w:type="dxa"/>
            <w:vAlign w:val="center"/>
          </w:tcPr>
          <w:p w:rsidR="006066A1" w:rsidRDefault="006E07AE">
            <w:pPr>
              <w:jc w:val="right"/>
            </w:pPr>
            <w:r>
              <w:rPr>
                <w:rFonts w:eastAsiaTheme="minorEastAsia"/>
                <w:color w:val="000000" w:themeColor="text1"/>
                <w:szCs w:val="21"/>
              </w:rPr>
              <w:t>-20.74%</w:t>
            </w:r>
          </w:p>
        </w:tc>
        <w:tc>
          <w:tcPr>
            <w:tcW w:w="1291" w:type="dxa"/>
            <w:vAlign w:val="center"/>
          </w:tcPr>
          <w:p w:rsidR="006066A1" w:rsidRDefault="006E07AE">
            <w:pPr>
              <w:jc w:val="right"/>
            </w:pPr>
            <w:r>
              <w:rPr>
                <w:rFonts w:eastAsiaTheme="minorEastAsia"/>
                <w:color w:val="000000" w:themeColor="text1"/>
                <w:szCs w:val="21"/>
              </w:rPr>
              <w:t>0.78%</w:t>
            </w:r>
          </w:p>
        </w:tc>
      </w:tr>
      <w:tr w:rsidR="006066A1">
        <w:tc>
          <w:tcPr>
            <w:tcW w:w="1290" w:type="dxa"/>
            <w:vAlign w:val="center"/>
          </w:tcPr>
          <w:p w:rsidR="006066A1" w:rsidRDefault="006E07AE">
            <w:pPr>
              <w:jc w:val="left"/>
            </w:pPr>
            <w:r>
              <w:rPr>
                <w:rFonts w:eastAsiaTheme="minorEastAsia"/>
                <w:color w:val="000000" w:themeColor="text1"/>
                <w:szCs w:val="21"/>
              </w:rPr>
              <w:t>过去五年</w:t>
            </w:r>
          </w:p>
        </w:tc>
        <w:tc>
          <w:tcPr>
            <w:tcW w:w="1291" w:type="dxa"/>
            <w:vAlign w:val="center"/>
          </w:tcPr>
          <w:p w:rsidR="006066A1" w:rsidRDefault="006E07AE">
            <w:pPr>
              <w:jc w:val="right"/>
            </w:pPr>
            <w:r>
              <w:rPr>
                <w:rFonts w:eastAsiaTheme="minorEastAsia"/>
                <w:color w:val="000000" w:themeColor="text1"/>
                <w:szCs w:val="21"/>
              </w:rPr>
              <w:t>57.71%</w:t>
            </w:r>
          </w:p>
        </w:tc>
        <w:tc>
          <w:tcPr>
            <w:tcW w:w="1291" w:type="dxa"/>
            <w:vAlign w:val="center"/>
          </w:tcPr>
          <w:p w:rsidR="006066A1" w:rsidRDefault="006E07AE">
            <w:pPr>
              <w:jc w:val="right"/>
            </w:pPr>
            <w:r>
              <w:rPr>
                <w:rFonts w:eastAsiaTheme="minorEastAsia"/>
                <w:color w:val="000000" w:themeColor="text1"/>
                <w:szCs w:val="21"/>
              </w:rPr>
              <w:t>1.63%</w:t>
            </w:r>
          </w:p>
        </w:tc>
        <w:tc>
          <w:tcPr>
            <w:tcW w:w="1291" w:type="dxa"/>
            <w:vAlign w:val="center"/>
          </w:tcPr>
          <w:p w:rsidR="006066A1" w:rsidRDefault="006E07AE">
            <w:pPr>
              <w:jc w:val="right"/>
            </w:pPr>
            <w:r>
              <w:rPr>
                <w:rFonts w:eastAsiaTheme="minorEastAsia"/>
                <w:color w:val="000000" w:themeColor="text1"/>
                <w:szCs w:val="21"/>
              </w:rPr>
              <w:t>12.20%</w:t>
            </w:r>
          </w:p>
        </w:tc>
        <w:tc>
          <w:tcPr>
            <w:tcW w:w="1291" w:type="dxa"/>
            <w:vAlign w:val="center"/>
          </w:tcPr>
          <w:p w:rsidR="006066A1" w:rsidRDefault="006E07AE">
            <w:pPr>
              <w:jc w:val="right"/>
            </w:pPr>
            <w:r>
              <w:rPr>
                <w:rFonts w:eastAsiaTheme="minorEastAsia"/>
                <w:color w:val="000000" w:themeColor="text1"/>
                <w:szCs w:val="21"/>
              </w:rPr>
              <w:t>0.97%</w:t>
            </w:r>
          </w:p>
        </w:tc>
        <w:tc>
          <w:tcPr>
            <w:tcW w:w="1291" w:type="dxa"/>
            <w:vAlign w:val="center"/>
          </w:tcPr>
          <w:p w:rsidR="006066A1" w:rsidRDefault="006E07AE">
            <w:pPr>
              <w:jc w:val="right"/>
            </w:pPr>
            <w:r>
              <w:rPr>
                <w:rFonts w:eastAsiaTheme="minorEastAsia"/>
                <w:color w:val="000000" w:themeColor="text1"/>
                <w:szCs w:val="21"/>
              </w:rPr>
              <w:t>45.51%</w:t>
            </w:r>
          </w:p>
        </w:tc>
        <w:tc>
          <w:tcPr>
            <w:tcW w:w="1291" w:type="dxa"/>
            <w:vAlign w:val="center"/>
          </w:tcPr>
          <w:p w:rsidR="006066A1" w:rsidRDefault="006E07AE">
            <w:pPr>
              <w:jc w:val="right"/>
            </w:pPr>
            <w:r>
              <w:rPr>
                <w:rFonts w:eastAsiaTheme="minorEastAsia"/>
                <w:color w:val="000000" w:themeColor="text1"/>
                <w:szCs w:val="21"/>
              </w:rPr>
              <w:t>0.66%</w:t>
            </w:r>
          </w:p>
        </w:tc>
      </w:tr>
      <w:tr w:rsidR="006066A1">
        <w:tc>
          <w:tcPr>
            <w:tcW w:w="1290" w:type="dxa"/>
            <w:vAlign w:val="center"/>
          </w:tcPr>
          <w:p w:rsidR="006066A1" w:rsidRDefault="006E07AE">
            <w:pPr>
              <w:jc w:val="left"/>
            </w:pPr>
            <w:r>
              <w:rPr>
                <w:rFonts w:eastAsiaTheme="minorEastAsia"/>
                <w:color w:val="000000" w:themeColor="text1"/>
                <w:szCs w:val="21"/>
              </w:rPr>
              <w:t>自基金合同生效起至今</w:t>
            </w:r>
          </w:p>
        </w:tc>
        <w:tc>
          <w:tcPr>
            <w:tcW w:w="1291" w:type="dxa"/>
            <w:vAlign w:val="center"/>
          </w:tcPr>
          <w:p w:rsidR="006066A1" w:rsidRDefault="006E07AE">
            <w:pPr>
              <w:jc w:val="right"/>
            </w:pPr>
            <w:r>
              <w:rPr>
                <w:rFonts w:eastAsiaTheme="minorEastAsia"/>
                <w:color w:val="000000" w:themeColor="text1"/>
                <w:szCs w:val="21"/>
              </w:rPr>
              <w:t>67.80%</w:t>
            </w:r>
          </w:p>
        </w:tc>
        <w:tc>
          <w:tcPr>
            <w:tcW w:w="1291" w:type="dxa"/>
            <w:vAlign w:val="center"/>
          </w:tcPr>
          <w:p w:rsidR="006066A1" w:rsidRDefault="006E07AE">
            <w:pPr>
              <w:jc w:val="right"/>
            </w:pPr>
            <w:r>
              <w:rPr>
                <w:rFonts w:eastAsiaTheme="minorEastAsia"/>
                <w:color w:val="000000" w:themeColor="text1"/>
                <w:szCs w:val="21"/>
              </w:rPr>
              <w:t>1.74%</w:t>
            </w:r>
          </w:p>
        </w:tc>
        <w:tc>
          <w:tcPr>
            <w:tcW w:w="1291" w:type="dxa"/>
            <w:vAlign w:val="center"/>
          </w:tcPr>
          <w:p w:rsidR="006066A1" w:rsidRDefault="006E07AE">
            <w:pPr>
              <w:jc w:val="right"/>
            </w:pPr>
            <w:r>
              <w:rPr>
                <w:rFonts w:eastAsiaTheme="minorEastAsia"/>
                <w:color w:val="000000" w:themeColor="text1"/>
                <w:szCs w:val="21"/>
              </w:rPr>
              <w:t>38.01%</w:t>
            </w:r>
          </w:p>
        </w:tc>
        <w:tc>
          <w:tcPr>
            <w:tcW w:w="1291" w:type="dxa"/>
            <w:vAlign w:val="center"/>
          </w:tcPr>
          <w:p w:rsidR="006066A1" w:rsidRDefault="006E07AE">
            <w:pPr>
              <w:jc w:val="right"/>
            </w:pPr>
            <w:r>
              <w:rPr>
                <w:rFonts w:eastAsiaTheme="minorEastAsia"/>
                <w:color w:val="000000" w:themeColor="text1"/>
                <w:szCs w:val="21"/>
              </w:rPr>
              <w:t>1.10%</w:t>
            </w:r>
          </w:p>
        </w:tc>
        <w:tc>
          <w:tcPr>
            <w:tcW w:w="1291" w:type="dxa"/>
            <w:vAlign w:val="center"/>
          </w:tcPr>
          <w:p w:rsidR="006066A1" w:rsidRDefault="006E07AE">
            <w:pPr>
              <w:jc w:val="right"/>
            </w:pPr>
            <w:r>
              <w:rPr>
                <w:rFonts w:eastAsiaTheme="minorEastAsia"/>
                <w:color w:val="000000" w:themeColor="text1"/>
                <w:szCs w:val="21"/>
              </w:rPr>
              <w:t>29.79%</w:t>
            </w:r>
          </w:p>
        </w:tc>
        <w:tc>
          <w:tcPr>
            <w:tcW w:w="1291" w:type="dxa"/>
            <w:vAlign w:val="center"/>
          </w:tcPr>
          <w:p w:rsidR="006066A1" w:rsidRDefault="006E07AE">
            <w:pPr>
              <w:jc w:val="right"/>
            </w:pPr>
            <w:r>
              <w:rPr>
                <w:rFonts w:eastAsiaTheme="minorEastAsia"/>
                <w:color w:val="000000" w:themeColor="text1"/>
                <w:szCs w:val="21"/>
              </w:rPr>
              <w:t>0.64%</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摩根转型动力混合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6066A1">
        <w:tc>
          <w:tcPr>
            <w:tcW w:w="1290" w:type="dxa"/>
            <w:vAlign w:val="center"/>
          </w:tcPr>
          <w:p w:rsidR="006066A1" w:rsidRDefault="006E07AE">
            <w:pPr>
              <w:jc w:val="left"/>
            </w:pPr>
            <w:r>
              <w:rPr>
                <w:rFonts w:eastAsiaTheme="minorEastAsia"/>
                <w:color w:val="000000" w:themeColor="text1"/>
                <w:szCs w:val="21"/>
              </w:rPr>
              <w:t>过去三个月</w:t>
            </w:r>
          </w:p>
        </w:tc>
        <w:tc>
          <w:tcPr>
            <w:tcW w:w="1291" w:type="dxa"/>
            <w:vAlign w:val="center"/>
          </w:tcPr>
          <w:p w:rsidR="006066A1" w:rsidRDefault="006E07AE">
            <w:pPr>
              <w:jc w:val="right"/>
            </w:pPr>
            <w:r>
              <w:rPr>
                <w:rFonts w:eastAsiaTheme="minorEastAsia"/>
                <w:color w:val="000000" w:themeColor="text1"/>
                <w:szCs w:val="21"/>
              </w:rPr>
              <w:t>-6.63%</w:t>
            </w:r>
          </w:p>
        </w:tc>
        <w:tc>
          <w:tcPr>
            <w:tcW w:w="1291" w:type="dxa"/>
            <w:vAlign w:val="center"/>
          </w:tcPr>
          <w:p w:rsidR="006066A1" w:rsidRDefault="006E07AE">
            <w:pPr>
              <w:jc w:val="right"/>
            </w:pPr>
            <w:r>
              <w:rPr>
                <w:rFonts w:eastAsiaTheme="minorEastAsia"/>
                <w:color w:val="000000" w:themeColor="text1"/>
                <w:szCs w:val="21"/>
              </w:rPr>
              <w:t>1.02%</w:t>
            </w:r>
          </w:p>
        </w:tc>
        <w:tc>
          <w:tcPr>
            <w:tcW w:w="1291" w:type="dxa"/>
            <w:vAlign w:val="center"/>
          </w:tcPr>
          <w:p w:rsidR="006066A1" w:rsidRDefault="006E07AE">
            <w:pPr>
              <w:jc w:val="right"/>
            </w:pPr>
            <w:r>
              <w:rPr>
                <w:rFonts w:eastAsiaTheme="minorEastAsia"/>
                <w:color w:val="000000" w:themeColor="text1"/>
                <w:szCs w:val="21"/>
              </w:rPr>
              <w:t>-5.44%</w:t>
            </w:r>
          </w:p>
        </w:tc>
        <w:tc>
          <w:tcPr>
            <w:tcW w:w="1291" w:type="dxa"/>
            <w:vAlign w:val="center"/>
          </w:tcPr>
          <w:p w:rsidR="006066A1" w:rsidRDefault="006E07AE">
            <w:pPr>
              <w:jc w:val="right"/>
            </w:pPr>
            <w:r>
              <w:rPr>
                <w:rFonts w:eastAsiaTheme="minorEastAsia"/>
                <w:color w:val="000000" w:themeColor="text1"/>
                <w:szCs w:val="21"/>
              </w:rPr>
              <w:t>0.63%</w:t>
            </w:r>
          </w:p>
        </w:tc>
        <w:tc>
          <w:tcPr>
            <w:tcW w:w="1291" w:type="dxa"/>
            <w:vAlign w:val="center"/>
          </w:tcPr>
          <w:p w:rsidR="006066A1" w:rsidRDefault="006E07AE">
            <w:pPr>
              <w:jc w:val="right"/>
            </w:pPr>
            <w:r>
              <w:rPr>
                <w:rFonts w:eastAsiaTheme="minorEastAsia"/>
                <w:color w:val="000000" w:themeColor="text1"/>
                <w:szCs w:val="21"/>
              </w:rPr>
              <w:t>-1.19%</w:t>
            </w:r>
          </w:p>
        </w:tc>
        <w:tc>
          <w:tcPr>
            <w:tcW w:w="1291" w:type="dxa"/>
            <w:vAlign w:val="center"/>
          </w:tcPr>
          <w:p w:rsidR="006066A1" w:rsidRDefault="006E07AE">
            <w:pPr>
              <w:jc w:val="right"/>
            </w:pPr>
            <w:r>
              <w:rPr>
                <w:rFonts w:eastAsiaTheme="minorEastAsia"/>
                <w:color w:val="000000" w:themeColor="text1"/>
                <w:szCs w:val="21"/>
              </w:rPr>
              <w:t>0.39%</w:t>
            </w:r>
          </w:p>
        </w:tc>
      </w:tr>
      <w:tr w:rsidR="006066A1">
        <w:tc>
          <w:tcPr>
            <w:tcW w:w="1290" w:type="dxa"/>
            <w:vAlign w:val="center"/>
          </w:tcPr>
          <w:p w:rsidR="006066A1" w:rsidRDefault="006E07AE">
            <w:pPr>
              <w:jc w:val="left"/>
            </w:pPr>
            <w:r>
              <w:rPr>
                <w:rFonts w:eastAsiaTheme="minorEastAsia"/>
                <w:color w:val="000000" w:themeColor="text1"/>
                <w:szCs w:val="21"/>
              </w:rPr>
              <w:t>过去六个月</w:t>
            </w:r>
          </w:p>
        </w:tc>
        <w:tc>
          <w:tcPr>
            <w:tcW w:w="1291" w:type="dxa"/>
            <w:vAlign w:val="center"/>
          </w:tcPr>
          <w:p w:rsidR="006066A1" w:rsidRDefault="006E07AE">
            <w:pPr>
              <w:jc w:val="right"/>
            </w:pPr>
            <w:r>
              <w:rPr>
                <w:rFonts w:eastAsiaTheme="minorEastAsia"/>
                <w:color w:val="000000" w:themeColor="text1"/>
                <w:szCs w:val="21"/>
              </w:rPr>
              <w:t>-23.98%</w:t>
            </w:r>
          </w:p>
        </w:tc>
        <w:tc>
          <w:tcPr>
            <w:tcW w:w="1291" w:type="dxa"/>
            <w:vAlign w:val="center"/>
          </w:tcPr>
          <w:p w:rsidR="006066A1" w:rsidRDefault="006E07AE">
            <w:pPr>
              <w:jc w:val="right"/>
            </w:pPr>
            <w:r>
              <w:rPr>
                <w:rFonts w:eastAsiaTheme="minorEastAsia"/>
                <w:color w:val="000000" w:themeColor="text1"/>
                <w:szCs w:val="21"/>
              </w:rPr>
              <w:t>1.25%</w:t>
            </w:r>
          </w:p>
        </w:tc>
        <w:tc>
          <w:tcPr>
            <w:tcW w:w="1291" w:type="dxa"/>
            <w:vAlign w:val="center"/>
          </w:tcPr>
          <w:p w:rsidR="006066A1" w:rsidRDefault="006E07AE">
            <w:pPr>
              <w:jc w:val="right"/>
            </w:pPr>
            <w:r>
              <w:rPr>
                <w:rFonts w:eastAsiaTheme="minorEastAsia"/>
                <w:color w:val="000000" w:themeColor="text1"/>
                <w:szCs w:val="21"/>
              </w:rPr>
              <w:t>-8.41%</w:t>
            </w:r>
          </w:p>
        </w:tc>
        <w:tc>
          <w:tcPr>
            <w:tcW w:w="1291" w:type="dxa"/>
            <w:vAlign w:val="center"/>
          </w:tcPr>
          <w:p w:rsidR="006066A1" w:rsidRDefault="006E07AE">
            <w:pPr>
              <w:jc w:val="right"/>
            </w:pPr>
            <w:r>
              <w:rPr>
                <w:rFonts w:eastAsiaTheme="minorEastAsia"/>
                <w:color w:val="000000" w:themeColor="text1"/>
                <w:szCs w:val="21"/>
              </w:rPr>
              <w:t>0.68%</w:t>
            </w:r>
          </w:p>
        </w:tc>
        <w:tc>
          <w:tcPr>
            <w:tcW w:w="1291" w:type="dxa"/>
            <w:vAlign w:val="center"/>
          </w:tcPr>
          <w:p w:rsidR="006066A1" w:rsidRDefault="006E07AE">
            <w:pPr>
              <w:jc w:val="right"/>
            </w:pPr>
            <w:r>
              <w:rPr>
                <w:rFonts w:eastAsiaTheme="minorEastAsia"/>
                <w:color w:val="000000" w:themeColor="text1"/>
                <w:szCs w:val="21"/>
              </w:rPr>
              <w:t>-15.57%</w:t>
            </w:r>
          </w:p>
        </w:tc>
        <w:tc>
          <w:tcPr>
            <w:tcW w:w="1291" w:type="dxa"/>
            <w:vAlign w:val="center"/>
          </w:tcPr>
          <w:p w:rsidR="006066A1" w:rsidRDefault="006E07AE">
            <w:pPr>
              <w:jc w:val="right"/>
            </w:pPr>
            <w:r>
              <w:rPr>
                <w:rFonts w:eastAsiaTheme="minorEastAsia"/>
                <w:color w:val="000000" w:themeColor="text1"/>
                <w:szCs w:val="21"/>
              </w:rPr>
              <w:t>0.57%</w:t>
            </w:r>
          </w:p>
        </w:tc>
      </w:tr>
      <w:tr w:rsidR="006066A1">
        <w:tc>
          <w:tcPr>
            <w:tcW w:w="1290" w:type="dxa"/>
            <w:vAlign w:val="center"/>
          </w:tcPr>
          <w:p w:rsidR="006066A1" w:rsidRDefault="006E07AE">
            <w:pPr>
              <w:jc w:val="left"/>
            </w:pPr>
            <w:r>
              <w:rPr>
                <w:rFonts w:eastAsiaTheme="minorEastAsia"/>
                <w:color w:val="000000" w:themeColor="text1"/>
                <w:szCs w:val="21"/>
              </w:rPr>
              <w:lastRenderedPageBreak/>
              <w:t>过去一年</w:t>
            </w:r>
          </w:p>
        </w:tc>
        <w:tc>
          <w:tcPr>
            <w:tcW w:w="1291" w:type="dxa"/>
            <w:vAlign w:val="center"/>
          </w:tcPr>
          <w:p w:rsidR="006066A1" w:rsidRDefault="006E07AE">
            <w:pPr>
              <w:jc w:val="right"/>
            </w:pPr>
            <w:r>
              <w:rPr>
                <w:rFonts w:eastAsiaTheme="minorEastAsia"/>
                <w:color w:val="000000" w:themeColor="text1"/>
                <w:szCs w:val="21"/>
              </w:rPr>
              <w:t>-20.58%</w:t>
            </w:r>
          </w:p>
        </w:tc>
        <w:tc>
          <w:tcPr>
            <w:tcW w:w="1291" w:type="dxa"/>
            <w:vAlign w:val="center"/>
          </w:tcPr>
          <w:p w:rsidR="006066A1" w:rsidRDefault="006E07AE">
            <w:pPr>
              <w:jc w:val="right"/>
            </w:pPr>
            <w:r>
              <w:rPr>
                <w:rFonts w:eastAsiaTheme="minorEastAsia"/>
                <w:color w:val="000000" w:themeColor="text1"/>
                <w:szCs w:val="21"/>
              </w:rPr>
              <w:t>1.39%</w:t>
            </w:r>
          </w:p>
        </w:tc>
        <w:tc>
          <w:tcPr>
            <w:tcW w:w="1291" w:type="dxa"/>
            <w:vAlign w:val="center"/>
          </w:tcPr>
          <w:p w:rsidR="006066A1" w:rsidRDefault="006E07AE">
            <w:pPr>
              <w:jc w:val="right"/>
            </w:pPr>
            <w:r>
              <w:rPr>
                <w:rFonts w:eastAsiaTheme="minorEastAsia"/>
                <w:color w:val="000000" w:themeColor="text1"/>
                <w:szCs w:val="21"/>
              </w:rPr>
              <w:t>-8.77%</w:t>
            </w:r>
          </w:p>
        </w:tc>
        <w:tc>
          <w:tcPr>
            <w:tcW w:w="1291" w:type="dxa"/>
            <w:vAlign w:val="center"/>
          </w:tcPr>
          <w:p w:rsidR="006066A1" w:rsidRDefault="006E07AE">
            <w:pPr>
              <w:jc w:val="right"/>
            </w:pPr>
            <w:r>
              <w:rPr>
                <w:rFonts w:eastAsiaTheme="minorEastAsia"/>
                <w:color w:val="000000" w:themeColor="text1"/>
                <w:szCs w:val="21"/>
              </w:rPr>
              <w:t>0.67%</w:t>
            </w:r>
          </w:p>
        </w:tc>
        <w:tc>
          <w:tcPr>
            <w:tcW w:w="1291" w:type="dxa"/>
            <w:vAlign w:val="center"/>
          </w:tcPr>
          <w:p w:rsidR="006066A1" w:rsidRDefault="006E07AE">
            <w:pPr>
              <w:jc w:val="right"/>
            </w:pPr>
            <w:r>
              <w:rPr>
                <w:rFonts w:eastAsiaTheme="minorEastAsia"/>
                <w:color w:val="000000" w:themeColor="text1"/>
                <w:szCs w:val="21"/>
              </w:rPr>
              <w:t>-11.81%</w:t>
            </w:r>
          </w:p>
        </w:tc>
        <w:tc>
          <w:tcPr>
            <w:tcW w:w="1291" w:type="dxa"/>
            <w:vAlign w:val="center"/>
          </w:tcPr>
          <w:p w:rsidR="006066A1" w:rsidRDefault="006E07AE">
            <w:pPr>
              <w:jc w:val="right"/>
            </w:pPr>
            <w:r>
              <w:rPr>
                <w:rFonts w:eastAsiaTheme="minorEastAsia"/>
                <w:color w:val="000000" w:themeColor="text1"/>
                <w:szCs w:val="21"/>
              </w:rPr>
              <w:t>0.72%</w:t>
            </w:r>
          </w:p>
        </w:tc>
      </w:tr>
      <w:tr w:rsidR="006066A1">
        <w:tc>
          <w:tcPr>
            <w:tcW w:w="1290" w:type="dxa"/>
            <w:vAlign w:val="center"/>
          </w:tcPr>
          <w:p w:rsidR="006066A1" w:rsidRDefault="006E07AE">
            <w:pPr>
              <w:jc w:val="left"/>
            </w:pPr>
            <w:r>
              <w:rPr>
                <w:rFonts w:eastAsiaTheme="minorEastAsia"/>
                <w:color w:val="000000" w:themeColor="text1"/>
                <w:szCs w:val="21"/>
              </w:rPr>
              <w:t>过去三年</w:t>
            </w:r>
          </w:p>
        </w:tc>
        <w:tc>
          <w:tcPr>
            <w:tcW w:w="1291" w:type="dxa"/>
            <w:vAlign w:val="center"/>
          </w:tcPr>
          <w:p w:rsidR="006066A1" w:rsidRDefault="006E07AE">
            <w:pPr>
              <w:jc w:val="right"/>
            </w:pPr>
            <w:r>
              <w:rPr>
                <w:rFonts w:eastAsiaTheme="minorEastAsia"/>
                <w:color w:val="000000" w:themeColor="text1"/>
                <w:szCs w:val="21"/>
              </w:rPr>
              <w:t>-</w:t>
            </w:r>
          </w:p>
        </w:tc>
        <w:tc>
          <w:tcPr>
            <w:tcW w:w="1291" w:type="dxa"/>
            <w:vAlign w:val="center"/>
          </w:tcPr>
          <w:p w:rsidR="006066A1" w:rsidRDefault="006E07AE">
            <w:pPr>
              <w:jc w:val="right"/>
            </w:pPr>
            <w:r>
              <w:rPr>
                <w:rFonts w:eastAsiaTheme="minorEastAsia"/>
                <w:color w:val="000000" w:themeColor="text1"/>
                <w:szCs w:val="21"/>
              </w:rPr>
              <w:t>-</w:t>
            </w:r>
          </w:p>
        </w:tc>
        <w:tc>
          <w:tcPr>
            <w:tcW w:w="1291" w:type="dxa"/>
            <w:vAlign w:val="center"/>
          </w:tcPr>
          <w:p w:rsidR="006066A1" w:rsidRDefault="006E07AE">
            <w:pPr>
              <w:jc w:val="right"/>
            </w:pPr>
            <w:r>
              <w:rPr>
                <w:rFonts w:eastAsiaTheme="minorEastAsia"/>
                <w:color w:val="000000" w:themeColor="text1"/>
                <w:szCs w:val="21"/>
              </w:rPr>
              <w:t>-</w:t>
            </w:r>
          </w:p>
        </w:tc>
        <w:tc>
          <w:tcPr>
            <w:tcW w:w="1291" w:type="dxa"/>
            <w:vAlign w:val="center"/>
          </w:tcPr>
          <w:p w:rsidR="006066A1" w:rsidRDefault="006E07AE">
            <w:pPr>
              <w:jc w:val="right"/>
            </w:pPr>
            <w:r>
              <w:rPr>
                <w:rFonts w:eastAsiaTheme="minorEastAsia"/>
                <w:color w:val="000000" w:themeColor="text1"/>
                <w:szCs w:val="21"/>
              </w:rPr>
              <w:t>-</w:t>
            </w:r>
          </w:p>
        </w:tc>
        <w:tc>
          <w:tcPr>
            <w:tcW w:w="1291" w:type="dxa"/>
            <w:vAlign w:val="center"/>
          </w:tcPr>
          <w:p w:rsidR="006066A1" w:rsidRDefault="006E07AE">
            <w:pPr>
              <w:jc w:val="right"/>
            </w:pPr>
            <w:r>
              <w:rPr>
                <w:rFonts w:eastAsiaTheme="minorEastAsia"/>
                <w:color w:val="000000" w:themeColor="text1"/>
                <w:szCs w:val="21"/>
              </w:rPr>
              <w:t>-</w:t>
            </w:r>
          </w:p>
        </w:tc>
        <w:tc>
          <w:tcPr>
            <w:tcW w:w="1291" w:type="dxa"/>
            <w:vAlign w:val="center"/>
          </w:tcPr>
          <w:p w:rsidR="006066A1" w:rsidRDefault="006E07AE">
            <w:pPr>
              <w:jc w:val="right"/>
            </w:pPr>
            <w:r>
              <w:rPr>
                <w:rFonts w:eastAsiaTheme="minorEastAsia"/>
                <w:color w:val="000000" w:themeColor="text1"/>
                <w:szCs w:val="21"/>
              </w:rPr>
              <w:t>-</w:t>
            </w:r>
          </w:p>
        </w:tc>
      </w:tr>
      <w:tr w:rsidR="006066A1">
        <w:tc>
          <w:tcPr>
            <w:tcW w:w="1290" w:type="dxa"/>
            <w:vAlign w:val="center"/>
          </w:tcPr>
          <w:p w:rsidR="006066A1" w:rsidRDefault="006E07AE">
            <w:pPr>
              <w:jc w:val="left"/>
            </w:pPr>
            <w:r>
              <w:rPr>
                <w:rFonts w:eastAsiaTheme="minorEastAsia"/>
                <w:color w:val="000000" w:themeColor="text1"/>
                <w:szCs w:val="21"/>
              </w:rPr>
              <w:t>过去五年</w:t>
            </w:r>
          </w:p>
        </w:tc>
        <w:tc>
          <w:tcPr>
            <w:tcW w:w="1291" w:type="dxa"/>
            <w:vAlign w:val="center"/>
          </w:tcPr>
          <w:p w:rsidR="006066A1" w:rsidRDefault="006E07AE">
            <w:pPr>
              <w:jc w:val="right"/>
            </w:pPr>
            <w:r>
              <w:rPr>
                <w:rFonts w:eastAsiaTheme="minorEastAsia"/>
                <w:color w:val="000000" w:themeColor="text1"/>
                <w:szCs w:val="21"/>
              </w:rPr>
              <w:t>-</w:t>
            </w:r>
          </w:p>
        </w:tc>
        <w:tc>
          <w:tcPr>
            <w:tcW w:w="1291" w:type="dxa"/>
            <w:vAlign w:val="center"/>
          </w:tcPr>
          <w:p w:rsidR="006066A1" w:rsidRDefault="006E07AE">
            <w:pPr>
              <w:jc w:val="right"/>
            </w:pPr>
            <w:r>
              <w:rPr>
                <w:rFonts w:eastAsiaTheme="minorEastAsia"/>
                <w:color w:val="000000" w:themeColor="text1"/>
                <w:szCs w:val="21"/>
              </w:rPr>
              <w:t>-</w:t>
            </w:r>
          </w:p>
        </w:tc>
        <w:tc>
          <w:tcPr>
            <w:tcW w:w="1291" w:type="dxa"/>
            <w:vAlign w:val="center"/>
          </w:tcPr>
          <w:p w:rsidR="006066A1" w:rsidRDefault="006E07AE">
            <w:pPr>
              <w:jc w:val="right"/>
            </w:pPr>
            <w:r>
              <w:rPr>
                <w:rFonts w:eastAsiaTheme="minorEastAsia"/>
                <w:color w:val="000000" w:themeColor="text1"/>
                <w:szCs w:val="21"/>
              </w:rPr>
              <w:t>-</w:t>
            </w:r>
          </w:p>
        </w:tc>
        <w:tc>
          <w:tcPr>
            <w:tcW w:w="1291" w:type="dxa"/>
            <w:vAlign w:val="center"/>
          </w:tcPr>
          <w:p w:rsidR="006066A1" w:rsidRDefault="006E07AE">
            <w:pPr>
              <w:jc w:val="right"/>
            </w:pPr>
            <w:r>
              <w:rPr>
                <w:rFonts w:eastAsiaTheme="minorEastAsia"/>
                <w:color w:val="000000" w:themeColor="text1"/>
                <w:szCs w:val="21"/>
              </w:rPr>
              <w:t>-</w:t>
            </w:r>
          </w:p>
        </w:tc>
        <w:tc>
          <w:tcPr>
            <w:tcW w:w="1291" w:type="dxa"/>
            <w:vAlign w:val="center"/>
          </w:tcPr>
          <w:p w:rsidR="006066A1" w:rsidRDefault="006E07AE">
            <w:pPr>
              <w:jc w:val="right"/>
            </w:pPr>
            <w:r>
              <w:rPr>
                <w:rFonts w:eastAsiaTheme="minorEastAsia"/>
                <w:color w:val="000000" w:themeColor="text1"/>
                <w:szCs w:val="21"/>
              </w:rPr>
              <w:t>-</w:t>
            </w:r>
          </w:p>
        </w:tc>
        <w:tc>
          <w:tcPr>
            <w:tcW w:w="1291" w:type="dxa"/>
            <w:vAlign w:val="center"/>
          </w:tcPr>
          <w:p w:rsidR="006066A1" w:rsidRDefault="006E07AE">
            <w:pPr>
              <w:jc w:val="right"/>
            </w:pPr>
            <w:r>
              <w:rPr>
                <w:rFonts w:eastAsiaTheme="minorEastAsia"/>
                <w:color w:val="000000" w:themeColor="text1"/>
                <w:szCs w:val="21"/>
              </w:rPr>
              <w:t>-</w:t>
            </w:r>
          </w:p>
        </w:tc>
      </w:tr>
      <w:tr w:rsidR="006066A1">
        <w:tc>
          <w:tcPr>
            <w:tcW w:w="1290" w:type="dxa"/>
            <w:vAlign w:val="center"/>
          </w:tcPr>
          <w:p w:rsidR="006066A1" w:rsidRDefault="006E07AE">
            <w:pPr>
              <w:jc w:val="left"/>
            </w:pPr>
            <w:r>
              <w:rPr>
                <w:rFonts w:eastAsiaTheme="minorEastAsia"/>
                <w:color w:val="000000" w:themeColor="text1"/>
                <w:szCs w:val="21"/>
              </w:rPr>
              <w:t>自基金合同生效起至今</w:t>
            </w:r>
          </w:p>
        </w:tc>
        <w:tc>
          <w:tcPr>
            <w:tcW w:w="1291" w:type="dxa"/>
            <w:vAlign w:val="center"/>
          </w:tcPr>
          <w:p w:rsidR="006066A1" w:rsidRDefault="006E07AE">
            <w:pPr>
              <w:jc w:val="right"/>
            </w:pPr>
            <w:r>
              <w:rPr>
                <w:rFonts w:eastAsiaTheme="minorEastAsia"/>
                <w:color w:val="000000" w:themeColor="text1"/>
                <w:szCs w:val="21"/>
              </w:rPr>
              <w:t>-43.71%</w:t>
            </w:r>
          </w:p>
        </w:tc>
        <w:tc>
          <w:tcPr>
            <w:tcW w:w="1291" w:type="dxa"/>
            <w:vAlign w:val="center"/>
          </w:tcPr>
          <w:p w:rsidR="006066A1" w:rsidRDefault="006E07AE">
            <w:pPr>
              <w:jc w:val="right"/>
            </w:pPr>
            <w:r>
              <w:rPr>
                <w:rFonts w:eastAsiaTheme="minorEastAsia"/>
                <w:color w:val="000000" w:themeColor="text1"/>
                <w:szCs w:val="21"/>
              </w:rPr>
              <w:t>1.54%</w:t>
            </w:r>
          </w:p>
        </w:tc>
        <w:tc>
          <w:tcPr>
            <w:tcW w:w="1291" w:type="dxa"/>
            <w:vAlign w:val="center"/>
          </w:tcPr>
          <w:p w:rsidR="006066A1" w:rsidRDefault="006E07AE">
            <w:pPr>
              <w:jc w:val="right"/>
            </w:pPr>
            <w:r>
              <w:rPr>
                <w:rFonts w:eastAsiaTheme="minorEastAsia"/>
                <w:color w:val="000000" w:themeColor="text1"/>
                <w:szCs w:val="21"/>
              </w:rPr>
              <w:t>-19.98%</w:t>
            </w:r>
          </w:p>
        </w:tc>
        <w:tc>
          <w:tcPr>
            <w:tcW w:w="1291" w:type="dxa"/>
            <w:vAlign w:val="center"/>
          </w:tcPr>
          <w:p w:rsidR="006066A1" w:rsidRDefault="006E07AE">
            <w:pPr>
              <w:jc w:val="right"/>
            </w:pPr>
            <w:r>
              <w:rPr>
                <w:rFonts w:eastAsiaTheme="minorEastAsia"/>
                <w:color w:val="000000" w:themeColor="text1"/>
                <w:szCs w:val="21"/>
              </w:rPr>
              <w:t>0.87%</w:t>
            </w:r>
          </w:p>
        </w:tc>
        <w:tc>
          <w:tcPr>
            <w:tcW w:w="1291" w:type="dxa"/>
            <w:vAlign w:val="center"/>
          </w:tcPr>
          <w:p w:rsidR="006066A1" w:rsidRDefault="006E07AE">
            <w:pPr>
              <w:jc w:val="right"/>
            </w:pPr>
            <w:r>
              <w:rPr>
                <w:rFonts w:eastAsiaTheme="minorEastAsia"/>
                <w:color w:val="000000" w:themeColor="text1"/>
                <w:szCs w:val="21"/>
              </w:rPr>
              <w:t>-23.73%</w:t>
            </w:r>
          </w:p>
        </w:tc>
        <w:tc>
          <w:tcPr>
            <w:tcW w:w="1291" w:type="dxa"/>
            <w:vAlign w:val="center"/>
          </w:tcPr>
          <w:p w:rsidR="006066A1" w:rsidRDefault="006E07AE">
            <w:pPr>
              <w:jc w:val="right"/>
            </w:pPr>
            <w:r>
              <w:rPr>
                <w:rFonts w:eastAsiaTheme="minorEastAsia"/>
                <w:color w:val="000000" w:themeColor="text1"/>
                <w:szCs w:val="21"/>
              </w:rPr>
              <w:t>0.67%</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摩根转型动力灵活配置混合型证券投资基金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(2013</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11</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25</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2023</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．摩根转型动力混合</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6066A1" w:rsidRDefault="006E07AE">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2013</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w:t>
      </w:r>
      <w:r>
        <w:rPr>
          <w:rFonts w:eastAsiaTheme="minorEastAsia"/>
          <w:color w:val="000000" w:themeColor="text1"/>
          <w:szCs w:val="21"/>
        </w:rPr>
        <w:t xml:space="preserve"> </w:t>
      </w:r>
      <w:r>
        <w:rPr>
          <w:rFonts w:eastAsiaTheme="minorEastAsia"/>
          <w:color w:val="000000" w:themeColor="text1"/>
          <w:szCs w:val="21"/>
        </w:rPr>
        <w:t>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．摩根转型动力混合</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6066A1" w:rsidRDefault="006E07AE">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 xml:space="preserve"> 2022</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15</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6066A1">
        <w:tc>
          <w:tcPr>
            <w:tcW w:w="952" w:type="dxa"/>
            <w:vAlign w:val="center"/>
          </w:tcPr>
          <w:p w:rsidR="006066A1" w:rsidRDefault="006E07AE">
            <w:pPr>
              <w:jc w:val="center"/>
            </w:pPr>
            <w:r>
              <w:rPr>
                <w:rFonts w:eastAsiaTheme="minorEastAsia"/>
                <w:color w:val="000000" w:themeColor="text1"/>
                <w:szCs w:val="21"/>
              </w:rPr>
              <w:t>杨景喻</w:t>
            </w:r>
          </w:p>
        </w:tc>
        <w:tc>
          <w:tcPr>
            <w:tcW w:w="930" w:type="dxa"/>
            <w:vAlign w:val="center"/>
          </w:tcPr>
          <w:p w:rsidR="006066A1" w:rsidRDefault="006E07AE">
            <w:pPr>
              <w:jc w:val="center"/>
            </w:pPr>
            <w:r>
              <w:rPr>
                <w:rFonts w:eastAsiaTheme="minorEastAsia"/>
                <w:color w:val="000000" w:themeColor="text1"/>
                <w:szCs w:val="21"/>
              </w:rPr>
              <w:t>本基金基金经理</w:t>
            </w:r>
          </w:p>
        </w:tc>
        <w:tc>
          <w:tcPr>
            <w:tcW w:w="1210" w:type="dxa"/>
            <w:vAlign w:val="center"/>
          </w:tcPr>
          <w:p w:rsidR="006066A1" w:rsidRDefault="006E07AE">
            <w:pPr>
              <w:jc w:val="center"/>
            </w:pPr>
            <w:r>
              <w:rPr>
                <w:rFonts w:eastAsiaTheme="minorEastAsia"/>
                <w:color w:val="000000" w:themeColor="text1"/>
                <w:szCs w:val="21"/>
              </w:rPr>
              <w:t>2021-10-29</w:t>
            </w:r>
          </w:p>
        </w:tc>
        <w:tc>
          <w:tcPr>
            <w:tcW w:w="1309" w:type="dxa"/>
            <w:vAlign w:val="center"/>
          </w:tcPr>
          <w:p w:rsidR="006066A1" w:rsidRDefault="006E07AE">
            <w:pPr>
              <w:jc w:val="center"/>
            </w:pPr>
            <w:r>
              <w:rPr>
                <w:rFonts w:eastAsiaTheme="minorEastAsia"/>
                <w:color w:val="000000" w:themeColor="text1"/>
                <w:szCs w:val="21"/>
              </w:rPr>
              <w:t>-</w:t>
            </w:r>
          </w:p>
        </w:tc>
        <w:tc>
          <w:tcPr>
            <w:tcW w:w="1254" w:type="dxa"/>
            <w:vAlign w:val="center"/>
          </w:tcPr>
          <w:p w:rsidR="006066A1" w:rsidRDefault="006E07AE">
            <w:pPr>
              <w:jc w:val="center"/>
            </w:pPr>
            <w:r>
              <w:rPr>
                <w:rFonts w:eastAsiaTheme="minorEastAsia"/>
                <w:color w:val="000000" w:themeColor="text1"/>
                <w:szCs w:val="21"/>
              </w:rPr>
              <w:t>14</w:t>
            </w:r>
            <w:r>
              <w:rPr>
                <w:rFonts w:eastAsiaTheme="minorEastAsia"/>
                <w:color w:val="000000" w:themeColor="text1"/>
                <w:szCs w:val="21"/>
              </w:rPr>
              <w:t>年</w:t>
            </w:r>
          </w:p>
        </w:tc>
        <w:tc>
          <w:tcPr>
            <w:tcW w:w="3276" w:type="dxa"/>
            <w:vAlign w:val="center"/>
          </w:tcPr>
          <w:p w:rsidR="006066A1" w:rsidRDefault="006E07AE">
            <w:r>
              <w:rPr>
                <w:rFonts w:eastAsiaTheme="minorEastAsia"/>
                <w:color w:val="000000" w:themeColor="text1"/>
                <w:szCs w:val="21"/>
              </w:rPr>
              <w:t>杨景喻先生曾任广发基金管理有限公司研究员。</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月起加入摩根基金管理（中国）有限公司（原上投摩根基金管理有限公司），历任行业专家、基金经理助理、基金经理，现任高级基金经理。</w:t>
            </w:r>
          </w:p>
        </w:tc>
      </w:tr>
    </w:tbl>
    <w:p w:rsidR="006066A1" w:rsidRDefault="006E07AE">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rsidR="005C671B" w:rsidRPr="00B27A29" w:rsidRDefault="005C671B" w:rsidP="005C671B">
      <w:pPr>
        <w:autoSpaceDE w:val="0"/>
        <w:autoSpaceDN w:val="0"/>
        <w:adjustRightInd w:val="0"/>
        <w:spacing w:line="360" w:lineRule="auto"/>
        <w:jc w:val="left"/>
        <w:rPr>
          <w:rFonts w:eastAsia="Times New Roman"/>
          <w:b/>
          <w:color w:val="000000"/>
          <w:kern w:val="0"/>
          <w:sz w:val="24"/>
          <w:szCs w:val="21"/>
        </w:rPr>
      </w:pPr>
      <w:bookmarkStart w:id="1" w:name="_Hlk44921484"/>
      <w:r w:rsidRPr="00B27A29">
        <w:rPr>
          <w:b/>
          <w:color w:val="000000"/>
          <w:kern w:val="0"/>
          <w:sz w:val="24"/>
        </w:rPr>
        <w:t>4</w:t>
      </w:r>
      <w:r w:rsidRPr="00B27A29">
        <w:rPr>
          <w:rFonts w:eastAsia="Times New Roman"/>
          <w:b/>
          <w:color w:val="000000"/>
          <w:kern w:val="0"/>
          <w:sz w:val="24"/>
        </w:rPr>
        <w:t>.</w:t>
      </w:r>
      <w:r w:rsidRPr="00B27A29">
        <w:rPr>
          <w:b/>
          <w:color w:val="000000"/>
          <w:kern w:val="0"/>
          <w:sz w:val="24"/>
        </w:rPr>
        <w:t xml:space="preserve">1.1 </w:t>
      </w:r>
      <w:r w:rsidRPr="00B27A29">
        <w:rPr>
          <w:b/>
          <w:color w:val="000000"/>
          <w:kern w:val="0"/>
          <w:sz w:val="24"/>
        </w:rPr>
        <w:t>期末兼任私募资产管理计划投资经理的基金经理同时管理的产品情况</w:t>
      </w:r>
      <w:bookmarkEnd w:id="1"/>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2305"/>
        <w:gridCol w:w="2595"/>
        <w:gridCol w:w="1835"/>
        <w:gridCol w:w="1371"/>
      </w:tblGrid>
      <w:tr w:rsidR="005C671B" w:rsidRPr="00B27A29" w:rsidTr="005C671B">
        <w:tc>
          <w:tcPr>
            <w:tcW w:w="959"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color w:val="000000"/>
                <w:szCs w:val="21"/>
              </w:rPr>
            </w:pPr>
            <w:r w:rsidRPr="00B27A29">
              <w:rPr>
                <w:color w:val="000000"/>
                <w:szCs w:val="21"/>
              </w:rPr>
              <w:t>资产净值</w:t>
            </w:r>
            <w:r w:rsidRPr="00B27A29">
              <w:rPr>
                <w:color w:val="000000"/>
                <w:szCs w:val="21"/>
              </w:rPr>
              <w:t>(</w:t>
            </w:r>
            <w:r w:rsidRPr="00B27A29">
              <w:rPr>
                <w:color w:val="000000"/>
                <w:szCs w:val="21"/>
              </w:rPr>
              <w:t>元</w:t>
            </w: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任职时间</w:t>
            </w:r>
          </w:p>
        </w:tc>
      </w:tr>
      <w:tr w:rsidR="005C671B" w:rsidRPr="00B27A29" w:rsidTr="005C671B">
        <w:tc>
          <w:tcPr>
            <w:tcW w:w="959" w:type="dxa"/>
            <w:vMerge w:val="restart"/>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杨景喻</w:t>
            </w: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公募基金</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5</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1,929,170,302.76</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2015-08-04</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1</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2,292,651,455.74</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2022-06-06</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其他组合</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合计</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6</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4,221,821,758.50</w:t>
            </w:r>
          </w:p>
        </w:tc>
        <w:tc>
          <w:tcPr>
            <w:tcW w:w="1381" w:type="dxa"/>
            <w:tcBorders>
              <w:top w:val="single" w:sz="4" w:space="0" w:color="auto"/>
              <w:left w:val="single" w:sz="4" w:space="0" w:color="auto"/>
              <w:bottom w:val="single" w:sz="4" w:space="0" w:color="auto"/>
              <w:right w:val="single" w:sz="4" w:space="0" w:color="auto"/>
            </w:tcBorders>
          </w:tcPr>
          <w:p w:rsidR="005C671B" w:rsidRPr="00B27A29" w:rsidRDefault="005C671B">
            <w:pPr>
              <w:spacing w:line="288" w:lineRule="auto"/>
              <w:jc w:val="left"/>
              <w:rPr>
                <w:color w:val="000000"/>
                <w:szCs w:val="21"/>
              </w:rPr>
            </w:pP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6066A1" w:rsidRDefault="006E07AE">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w:t>
      </w:r>
      <w:r>
        <w:rPr>
          <w:rFonts w:eastAsiaTheme="minorEastAsia"/>
          <w:color w:val="000000" w:themeColor="text1"/>
          <w:szCs w:val="21"/>
        </w:rPr>
        <w:t>易等活动，通过系统和人工相结合的方式进行交易执行和监控分析，以确保本公司管理的不同投资组合在授权、研究分析、投资决策、交易执行、业绩评估等投资管理活动相关的环节均得到公平对待。</w:t>
      </w:r>
    </w:p>
    <w:p w:rsidR="006066A1" w:rsidRDefault="006E07AE">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6066A1" w:rsidRDefault="006E07AE">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lastRenderedPageBreak/>
        <w:t>4.4.1</w:t>
      </w:r>
      <w:r w:rsidRPr="00B27A29">
        <w:rPr>
          <w:rFonts w:eastAsiaTheme="minorEastAsia"/>
          <w:color w:val="000000" w:themeColor="text1"/>
          <w:szCs w:val="21"/>
        </w:rPr>
        <w:t>报告期内基金投资策略和运作分析</w:t>
      </w:r>
    </w:p>
    <w:p w:rsidR="006066A1" w:rsidRDefault="006E07AE">
      <w:pPr>
        <w:spacing w:line="360" w:lineRule="auto"/>
        <w:ind w:firstLineChars="200" w:firstLine="420"/>
        <w:rPr>
          <w:rFonts w:eastAsiaTheme="minorEastAsia"/>
          <w:color w:val="000000" w:themeColor="text1"/>
          <w:szCs w:val="21"/>
        </w:rPr>
      </w:pPr>
      <w:r>
        <w:rPr>
          <w:rFonts w:eastAsiaTheme="minorEastAsia"/>
          <w:color w:val="000000" w:themeColor="text1"/>
          <w:szCs w:val="21"/>
        </w:rPr>
        <w:t>2023</w:t>
      </w:r>
      <w:r>
        <w:rPr>
          <w:rFonts w:eastAsiaTheme="minorEastAsia"/>
          <w:color w:val="000000" w:themeColor="text1"/>
          <w:szCs w:val="21"/>
        </w:rPr>
        <w:t>年第四季度市场基本延续了此前一路下跌的势头，沪深</w:t>
      </w:r>
      <w:r>
        <w:rPr>
          <w:rFonts w:eastAsiaTheme="minorEastAsia"/>
          <w:color w:val="000000" w:themeColor="text1"/>
          <w:szCs w:val="21"/>
        </w:rPr>
        <w:t>300</w:t>
      </w:r>
      <w:r>
        <w:rPr>
          <w:rFonts w:eastAsiaTheme="minorEastAsia"/>
          <w:color w:val="000000" w:themeColor="text1"/>
          <w:szCs w:val="21"/>
        </w:rPr>
        <w:t>指数下跌</w:t>
      </w:r>
      <w:r>
        <w:rPr>
          <w:rFonts w:eastAsiaTheme="minorEastAsia"/>
          <w:color w:val="000000" w:themeColor="text1"/>
          <w:szCs w:val="21"/>
        </w:rPr>
        <w:t>7.0%</w:t>
      </w:r>
      <w:r>
        <w:rPr>
          <w:rFonts w:eastAsiaTheme="minorEastAsia"/>
          <w:color w:val="000000" w:themeColor="text1"/>
          <w:szCs w:val="21"/>
        </w:rPr>
        <w:t>，中证</w:t>
      </w:r>
      <w:r>
        <w:rPr>
          <w:rFonts w:eastAsiaTheme="minorEastAsia"/>
          <w:color w:val="000000" w:themeColor="text1"/>
          <w:szCs w:val="21"/>
        </w:rPr>
        <w:t>500</w:t>
      </w:r>
      <w:r>
        <w:rPr>
          <w:rFonts w:eastAsiaTheme="minorEastAsia"/>
          <w:color w:val="000000" w:themeColor="text1"/>
          <w:szCs w:val="21"/>
        </w:rPr>
        <w:t>指数下跌</w:t>
      </w:r>
      <w:r>
        <w:rPr>
          <w:rFonts w:eastAsiaTheme="minorEastAsia"/>
          <w:color w:val="000000" w:themeColor="text1"/>
          <w:szCs w:val="21"/>
        </w:rPr>
        <w:t>4.6%</w:t>
      </w:r>
      <w:r>
        <w:rPr>
          <w:rFonts w:eastAsiaTheme="minorEastAsia"/>
          <w:color w:val="000000" w:themeColor="text1"/>
          <w:szCs w:val="21"/>
        </w:rPr>
        <w:t>，创业板下跌</w:t>
      </w:r>
      <w:r>
        <w:rPr>
          <w:rFonts w:eastAsiaTheme="minorEastAsia"/>
          <w:color w:val="000000" w:themeColor="text1"/>
          <w:szCs w:val="21"/>
        </w:rPr>
        <w:t>5.6%</w:t>
      </w:r>
      <w:r>
        <w:rPr>
          <w:rFonts w:eastAsiaTheme="minorEastAsia"/>
          <w:color w:val="000000" w:themeColor="text1"/>
          <w:szCs w:val="21"/>
        </w:rPr>
        <w:t>，科创</w:t>
      </w:r>
      <w:r>
        <w:rPr>
          <w:rFonts w:eastAsiaTheme="minorEastAsia"/>
          <w:color w:val="000000" w:themeColor="text1"/>
          <w:szCs w:val="21"/>
        </w:rPr>
        <w:t>50</w:t>
      </w:r>
      <w:r>
        <w:rPr>
          <w:rFonts w:eastAsiaTheme="minorEastAsia"/>
          <w:color w:val="000000" w:themeColor="text1"/>
          <w:szCs w:val="21"/>
        </w:rPr>
        <w:t>指数下跌</w:t>
      </w:r>
      <w:r>
        <w:rPr>
          <w:rFonts w:eastAsiaTheme="minorEastAsia"/>
          <w:color w:val="000000" w:themeColor="text1"/>
          <w:szCs w:val="21"/>
        </w:rPr>
        <w:t>4.0%</w:t>
      </w:r>
      <w:r>
        <w:rPr>
          <w:rFonts w:eastAsiaTheme="minorEastAsia"/>
          <w:color w:val="000000" w:themeColor="text1"/>
          <w:szCs w:val="21"/>
        </w:rPr>
        <w:t>。行业板块亦是跌多涨少，以煤炭、水电为代表的高股息特</w:t>
      </w:r>
      <w:r>
        <w:rPr>
          <w:rFonts w:eastAsiaTheme="minorEastAsia"/>
          <w:color w:val="000000" w:themeColor="text1"/>
          <w:szCs w:val="21"/>
        </w:rPr>
        <w:t>征板块获得正收益，大消费、制造业、科技板块均表现不佳，仅医药和部分科技细分赛道如华为产业链、混合现实（</w:t>
      </w:r>
      <w:r>
        <w:rPr>
          <w:rFonts w:eastAsiaTheme="minorEastAsia"/>
          <w:color w:val="000000" w:themeColor="text1"/>
          <w:szCs w:val="21"/>
        </w:rPr>
        <w:t>MR</w:t>
      </w:r>
      <w:r>
        <w:rPr>
          <w:rFonts w:eastAsiaTheme="minorEastAsia"/>
          <w:color w:val="000000" w:themeColor="text1"/>
          <w:szCs w:val="21"/>
        </w:rPr>
        <w:t>）产业链表现突出。</w:t>
      </w:r>
    </w:p>
    <w:p w:rsidR="006066A1" w:rsidRDefault="006E07AE">
      <w:pPr>
        <w:spacing w:line="360" w:lineRule="auto"/>
        <w:ind w:firstLineChars="200" w:firstLine="420"/>
        <w:rPr>
          <w:rFonts w:eastAsiaTheme="minorEastAsia"/>
          <w:color w:val="000000" w:themeColor="text1"/>
          <w:szCs w:val="21"/>
        </w:rPr>
      </w:pPr>
      <w:r>
        <w:rPr>
          <w:rFonts w:eastAsiaTheme="minorEastAsia"/>
          <w:color w:val="000000" w:themeColor="text1"/>
          <w:szCs w:val="21"/>
        </w:rPr>
        <w:t>四季度的弱势市场是以下几个方面共同作用的结果：第一，宏观经济增长不佳，从宏观数据和微观企业体感上均可验证，制约了需求端的增速；第二，价格指标偏弱，给未来预期带来不确定性；第三，宏观经济的一些关键因素如房地产、广义债务等问题仍在解决过程当中。面对这三方面的问题，作为投资者，我们必须既对未来充满信心，也要对当下给予耐心。</w:t>
      </w:r>
    </w:p>
    <w:p w:rsidR="006066A1" w:rsidRDefault="006E07AE">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w:t>
      </w:r>
      <w:r>
        <w:rPr>
          <w:rFonts w:eastAsiaTheme="minorEastAsia"/>
          <w:color w:val="000000" w:themeColor="text1"/>
          <w:szCs w:val="21"/>
        </w:rPr>
        <w:t>2024</w:t>
      </w:r>
      <w:r>
        <w:rPr>
          <w:rFonts w:eastAsiaTheme="minorEastAsia"/>
          <w:color w:val="000000" w:themeColor="text1"/>
          <w:szCs w:val="21"/>
        </w:rPr>
        <w:t>年，上文所述的</w:t>
      </w:r>
      <w:r>
        <w:rPr>
          <w:rFonts w:eastAsiaTheme="minorEastAsia"/>
          <w:color w:val="000000" w:themeColor="text1"/>
          <w:szCs w:val="21"/>
        </w:rPr>
        <w:t>“</w:t>
      </w:r>
      <w:r>
        <w:rPr>
          <w:rFonts w:eastAsiaTheme="minorEastAsia"/>
          <w:color w:val="000000" w:themeColor="text1"/>
          <w:szCs w:val="21"/>
        </w:rPr>
        <w:t>信心</w:t>
      </w:r>
      <w:r>
        <w:rPr>
          <w:rFonts w:eastAsiaTheme="minorEastAsia"/>
          <w:color w:val="000000" w:themeColor="text1"/>
          <w:szCs w:val="21"/>
        </w:rPr>
        <w:t>”</w:t>
      </w:r>
      <w:r>
        <w:rPr>
          <w:rFonts w:eastAsiaTheme="minorEastAsia"/>
          <w:color w:val="000000" w:themeColor="text1"/>
          <w:szCs w:val="21"/>
        </w:rPr>
        <w:t>和</w:t>
      </w:r>
      <w:r>
        <w:rPr>
          <w:rFonts w:eastAsiaTheme="minorEastAsia"/>
          <w:color w:val="000000" w:themeColor="text1"/>
          <w:szCs w:val="21"/>
        </w:rPr>
        <w:t>“</w:t>
      </w:r>
      <w:r>
        <w:rPr>
          <w:rFonts w:eastAsiaTheme="minorEastAsia"/>
          <w:color w:val="000000" w:themeColor="text1"/>
          <w:szCs w:val="21"/>
        </w:rPr>
        <w:t>耐心</w:t>
      </w:r>
      <w:r>
        <w:rPr>
          <w:rFonts w:eastAsiaTheme="minorEastAsia"/>
          <w:color w:val="000000" w:themeColor="text1"/>
          <w:szCs w:val="21"/>
        </w:rPr>
        <w:t>”</w:t>
      </w:r>
      <w:r>
        <w:rPr>
          <w:rFonts w:eastAsiaTheme="minorEastAsia"/>
          <w:color w:val="000000" w:themeColor="text1"/>
          <w:szCs w:val="21"/>
        </w:rPr>
        <w:t>是投资的两个重点。我们的信心来自于如下几方面：第一，我国在应对宏观经济的问题时，仍有相当多的工具选择，如</w:t>
      </w:r>
      <w:r>
        <w:rPr>
          <w:rFonts w:eastAsiaTheme="minorEastAsia"/>
          <w:color w:val="000000" w:themeColor="text1"/>
          <w:szCs w:val="21"/>
        </w:rPr>
        <w:t>2023</w:t>
      </w:r>
      <w:r>
        <w:rPr>
          <w:rFonts w:eastAsiaTheme="minorEastAsia"/>
          <w:color w:val="000000" w:themeColor="text1"/>
          <w:szCs w:val="21"/>
        </w:rPr>
        <w:t>年年末已经增加</w:t>
      </w:r>
      <w:r>
        <w:rPr>
          <w:rFonts w:eastAsiaTheme="minorEastAsia"/>
          <w:color w:val="000000" w:themeColor="text1"/>
          <w:szCs w:val="21"/>
        </w:rPr>
        <w:t>1</w:t>
      </w:r>
      <w:r>
        <w:rPr>
          <w:rFonts w:eastAsiaTheme="minorEastAsia"/>
          <w:color w:val="000000" w:themeColor="text1"/>
          <w:szCs w:val="21"/>
        </w:rPr>
        <w:t>万亿国债的发行，中央财政开始发力；第二，我国正确地将高质量发展摆在首位，科技与创新成为企业和经济发展的最重要驱动因素；第三，我国的</w:t>
      </w:r>
      <w:r>
        <w:rPr>
          <w:rFonts w:eastAsiaTheme="minorEastAsia"/>
          <w:color w:val="000000" w:themeColor="text1"/>
          <w:szCs w:val="21"/>
        </w:rPr>
        <w:t>“</w:t>
      </w:r>
      <w:r>
        <w:rPr>
          <w:rFonts w:eastAsiaTheme="minorEastAsia"/>
          <w:color w:val="000000" w:themeColor="text1"/>
          <w:szCs w:val="21"/>
        </w:rPr>
        <w:t>工程师红利</w:t>
      </w:r>
      <w:r>
        <w:rPr>
          <w:rFonts w:eastAsiaTheme="minorEastAsia"/>
          <w:color w:val="000000" w:themeColor="text1"/>
          <w:szCs w:val="21"/>
        </w:rPr>
        <w:t>”</w:t>
      </w:r>
      <w:r>
        <w:rPr>
          <w:rFonts w:eastAsiaTheme="minorEastAsia"/>
          <w:color w:val="000000" w:themeColor="text1"/>
          <w:szCs w:val="21"/>
        </w:rPr>
        <w:t>逐步体现在各行各业，无论是具有战略意义的大国重器，还是处在创新前沿的</w:t>
      </w:r>
      <w:r>
        <w:rPr>
          <w:rFonts w:eastAsiaTheme="minorEastAsia"/>
          <w:color w:val="000000" w:themeColor="text1"/>
          <w:szCs w:val="21"/>
        </w:rPr>
        <w:t>“</w:t>
      </w:r>
      <w:r>
        <w:rPr>
          <w:rFonts w:eastAsiaTheme="minorEastAsia"/>
          <w:color w:val="000000" w:themeColor="text1"/>
          <w:szCs w:val="21"/>
        </w:rPr>
        <w:t>专精特尖</w:t>
      </w:r>
      <w:r>
        <w:rPr>
          <w:rFonts w:eastAsiaTheme="minorEastAsia"/>
          <w:color w:val="000000" w:themeColor="text1"/>
          <w:szCs w:val="21"/>
        </w:rPr>
        <w:t>”</w:t>
      </w:r>
      <w:r>
        <w:rPr>
          <w:rFonts w:eastAsiaTheme="minorEastAsia"/>
          <w:color w:val="000000" w:themeColor="text1"/>
          <w:szCs w:val="21"/>
        </w:rPr>
        <w:t>企业，均在接近、赶超、甚至引领全球科技发展的先进水平；第四，市场的整体估值水平较低。与此同时，我们也必须具备耐心，当</w:t>
      </w:r>
      <w:r>
        <w:rPr>
          <w:rFonts w:eastAsiaTheme="minorEastAsia"/>
          <w:color w:val="000000" w:themeColor="text1"/>
          <w:szCs w:val="21"/>
        </w:rPr>
        <w:t>前市场的增量资金还很不明显，市场信心也需要较长的时间来修复，市场的波动仍将较大，我们必须将估值作为极度重要的考量因素，切不可操之过急。</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产品在四季度降低了消费板块和新能源板块的持仓，增加了医药、电子和高股息板块的持仓，未来仍将秉承均衡的思路，综合估值、成长性和企业质地，投资于基本面持续向上的企业，争取为持有人创造超额收益。</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6066A1" w:rsidRDefault="006E07AE">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本报告期摩根转型动力</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:-6.49%</w:t>
      </w:r>
      <w:r>
        <w:rPr>
          <w:rFonts w:eastAsiaTheme="minorEastAsia"/>
          <w:color w:val="000000" w:themeColor="text1"/>
          <w:szCs w:val="21"/>
        </w:rPr>
        <w:t>，同期业绩比较基准收益率为</w:t>
      </w:r>
      <w:r>
        <w:rPr>
          <w:rFonts w:eastAsiaTheme="minorEastAsia"/>
          <w:color w:val="000000" w:themeColor="text1"/>
          <w:szCs w:val="21"/>
        </w:rPr>
        <w:t>:-5.44%</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摩根转型动力</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:-6.63%</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:-5.44%</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120,769,486.85</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76.13</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120,769,486.85</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76.13</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37,674,146.66</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23.75</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187,946.94</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0.12</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158,631,580.45</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4,623,078.00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2.93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4,602,067.00</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2.92</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96,704,474.28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61.26</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7,456,383.18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4.72</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31,871.95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0.02</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7,351,612.44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4.66</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120,769,486.85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76.50</w:t>
            </w:r>
          </w:p>
        </w:tc>
      </w:tr>
    </w:tbl>
    <w:p w:rsidR="00B27A29" w:rsidRPr="00B27A29" w:rsidRDefault="00B27A29" w:rsidP="00B27A29">
      <w:pPr>
        <w:spacing w:line="360" w:lineRule="auto"/>
        <w:rPr>
          <w:rFonts w:eastAsiaTheme="minorEastAsia"/>
          <w:szCs w:val="21"/>
        </w:rPr>
      </w:pPr>
      <w:bookmarkStart w:id="2"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6066A1">
        <w:tc>
          <w:tcPr>
            <w:tcW w:w="817" w:type="dxa"/>
            <w:vAlign w:val="center"/>
          </w:tcPr>
          <w:p w:rsidR="006066A1" w:rsidRDefault="006E07AE">
            <w:pPr>
              <w:jc w:val="center"/>
            </w:pPr>
            <w:r>
              <w:rPr>
                <w:rFonts w:eastAsiaTheme="minorEastAsia"/>
                <w:kern w:val="0"/>
                <w:szCs w:val="21"/>
              </w:rPr>
              <w:t>1</w:t>
            </w:r>
          </w:p>
        </w:tc>
        <w:tc>
          <w:tcPr>
            <w:tcW w:w="1276" w:type="dxa"/>
            <w:vAlign w:val="center"/>
          </w:tcPr>
          <w:p w:rsidR="006066A1" w:rsidRDefault="006E07AE">
            <w:pPr>
              <w:jc w:val="center"/>
            </w:pPr>
            <w:r>
              <w:rPr>
                <w:rFonts w:eastAsiaTheme="minorEastAsia"/>
                <w:kern w:val="0"/>
                <w:szCs w:val="21"/>
              </w:rPr>
              <w:t>002236</w:t>
            </w:r>
          </w:p>
        </w:tc>
        <w:tc>
          <w:tcPr>
            <w:tcW w:w="1701" w:type="dxa"/>
            <w:vAlign w:val="center"/>
          </w:tcPr>
          <w:p w:rsidR="006066A1" w:rsidRDefault="006E07AE">
            <w:pPr>
              <w:jc w:val="center"/>
            </w:pPr>
            <w:r>
              <w:rPr>
                <w:rFonts w:eastAsiaTheme="minorEastAsia"/>
                <w:kern w:val="0"/>
                <w:szCs w:val="21"/>
              </w:rPr>
              <w:t>大华股份</w:t>
            </w:r>
          </w:p>
        </w:tc>
        <w:tc>
          <w:tcPr>
            <w:tcW w:w="1276" w:type="dxa"/>
            <w:vAlign w:val="center"/>
          </w:tcPr>
          <w:p w:rsidR="006066A1" w:rsidRDefault="006E07AE">
            <w:pPr>
              <w:jc w:val="right"/>
            </w:pPr>
            <w:r>
              <w:rPr>
                <w:rFonts w:eastAsiaTheme="minorEastAsia"/>
                <w:kern w:val="0"/>
                <w:szCs w:val="21"/>
              </w:rPr>
              <w:t>496,474</w:t>
            </w:r>
          </w:p>
        </w:tc>
        <w:tc>
          <w:tcPr>
            <w:tcW w:w="1842" w:type="dxa"/>
            <w:vAlign w:val="center"/>
          </w:tcPr>
          <w:p w:rsidR="006066A1" w:rsidRDefault="006E07AE">
            <w:pPr>
              <w:jc w:val="right"/>
            </w:pPr>
            <w:r>
              <w:rPr>
                <w:rFonts w:eastAsiaTheme="minorEastAsia"/>
                <w:kern w:val="0"/>
                <w:szCs w:val="21"/>
              </w:rPr>
              <w:t>9,159,945.30</w:t>
            </w:r>
          </w:p>
        </w:tc>
        <w:tc>
          <w:tcPr>
            <w:tcW w:w="1616" w:type="dxa"/>
            <w:vAlign w:val="center"/>
          </w:tcPr>
          <w:p w:rsidR="006066A1" w:rsidRDefault="006E07AE">
            <w:pPr>
              <w:jc w:val="right"/>
            </w:pPr>
            <w:r>
              <w:rPr>
                <w:rFonts w:eastAsiaTheme="minorEastAsia"/>
                <w:kern w:val="0"/>
                <w:szCs w:val="21"/>
              </w:rPr>
              <w:t>5.80</w:t>
            </w:r>
          </w:p>
        </w:tc>
      </w:tr>
      <w:tr w:rsidR="006066A1">
        <w:tc>
          <w:tcPr>
            <w:tcW w:w="817" w:type="dxa"/>
            <w:vAlign w:val="center"/>
          </w:tcPr>
          <w:p w:rsidR="006066A1" w:rsidRDefault="006E07AE">
            <w:pPr>
              <w:jc w:val="center"/>
            </w:pPr>
            <w:r>
              <w:rPr>
                <w:rFonts w:eastAsiaTheme="minorEastAsia"/>
                <w:kern w:val="0"/>
                <w:szCs w:val="21"/>
              </w:rPr>
              <w:t>2</w:t>
            </w:r>
          </w:p>
        </w:tc>
        <w:tc>
          <w:tcPr>
            <w:tcW w:w="1276" w:type="dxa"/>
            <w:vAlign w:val="center"/>
          </w:tcPr>
          <w:p w:rsidR="006066A1" w:rsidRDefault="006E07AE">
            <w:pPr>
              <w:jc w:val="center"/>
            </w:pPr>
            <w:r>
              <w:rPr>
                <w:rFonts w:eastAsiaTheme="minorEastAsia"/>
                <w:kern w:val="0"/>
                <w:szCs w:val="21"/>
              </w:rPr>
              <w:t>300394</w:t>
            </w:r>
          </w:p>
        </w:tc>
        <w:tc>
          <w:tcPr>
            <w:tcW w:w="1701" w:type="dxa"/>
            <w:vAlign w:val="center"/>
          </w:tcPr>
          <w:p w:rsidR="006066A1" w:rsidRDefault="006E07AE">
            <w:pPr>
              <w:jc w:val="center"/>
            </w:pPr>
            <w:r>
              <w:rPr>
                <w:rFonts w:eastAsiaTheme="minorEastAsia"/>
                <w:kern w:val="0"/>
                <w:szCs w:val="21"/>
              </w:rPr>
              <w:t>天孚通信</w:t>
            </w:r>
          </w:p>
        </w:tc>
        <w:tc>
          <w:tcPr>
            <w:tcW w:w="1276" w:type="dxa"/>
            <w:vAlign w:val="center"/>
          </w:tcPr>
          <w:p w:rsidR="006066A1" w:rsidRDefault="006E07AE">
            <w:pPr>
              <w:jc w:val="right"/>
            </w:pPr>
            <w:r>
              <w:rPr>
                <w:rFonts w:eastAsiaTheme="minorEastAsia"/>
                <w:kern w:val="0"/>
                <w:szCs w:val="21"/>
              </w:rPr>
              <w:t>67,572</w:t>
            </w:r>
          </w:p>
        </w:tc>
        <w:tc>
          <w:tcPr>
            <w:tcW w:w="1842" w:type="dxa"/>
            <w:vAlign w:val="center"/>
          </w:tcPr>
          <w:p w:rsidR="006066A1" w:rsidRDefault="006E07AE">
            <w:pPr>
              <w:jc w:val="right"/>
            </w:pPr>
            <w:r>
              <w:rPr>
                <w:rFonts w:eastAsiaTheme="minorEastAsia"/>
                <w:kern w:val="0"/>
                <w:szCs w:val="21"/>
              </w:rPr>
              <w:t>6,184,189.44</w:t>
            </w:r>
          </w:p>
        </w:tc>
        <w:tc>
          <w:tcPr>
            <w:tcW w:w="1616" w:type="dxa"/>
            <w:vAlign w:val="center"/>
          </w:tcPr>
          <w:p w:rsidR="006066A1" w:rsidRDefault="006E07AE">
            <w:pPr>
              <w:jc w:val="right"/>
            </w:pPr>
            <w:r>
              <w:rPr>
                <w:rFonts w:eastAsiaTheme="minorEastAsia"/>
                <w:kern w:val="0"/>
                <w:szCs w:val="21"/>
              </w:rPr>
              <w:t>3.92</w:t>
            </w:r>
          </w:p>
        </w:tc>
      </w:tr>
      <w:tr w:rsidR="006066A1">
        <w:tc>
          <w:tcPr>
            <w:tcW w:w="817" w:type="dxa"/>
            <w:vAlign w:val="center"/>
          </w:tcPr>
          <w:p w:rsidR="006066A1" w:rsidRDefault="006E07AE">
            <w:pPr>
              <w:jc w:val="center"/>
            </w:pPr>
            <w:r>
              <w:rPr>
                <w:rFonts w:eastAsiaTheme="minorEastAsia"/>
                <w:kern w:val="0"/>
                <w:szCs w:val="21"/>
              </w:rPr>
              <w:t>3</w:t>
            </w:r>
          </w:p>
        </w:tc>
        <w:tc>
          <w:tcPr>
            <w:tcW w:w="1276" w:type="dxa"/>
            <w:vAlign w:val="center"/>
          </w:tcPr>
          <w:p w:rsidR="006066A1" w:rsidRDefault="006E07AE">
            <w:pPr>
              <w:jc w:val="center"/>
            </w:pPr>
            <w:r>
              <w:rPr>
                <w:rFonts w:eastAsiaTheme="minorEastAsia"/>
                <w:kern w:val="0"/>
                <w:szCs w:val="21"/>
              </w:rPr>
              <w:t>002050</w:t>
            </w:r>
          </w:p>
        </w:tc>
        <w:tc>
          <w:tcPr>
            <w:tcW w:w="1701" w:type="dxa"/>
            <w:vAlign w:val="center"/>
          </w:tcPr>
          <w:p w:rsidR="006066A1" w:rsidRDefault="006E07AE">
            <w:pPr>
              <w:jc w:val="center"/>
            </w:pPr>
            <w:r>
              <w:rPr>
                <w:rFonts w:eastAsiaTheme="minorEastAsia"/>
                <w:kern w:val="0"/>
                <w:szCs w:val="21"/>
              </w:rPr>
              <w:t>三花智控</w:t>
            </w:r>
          </w:p>
        </w:tc>
        <w:tc>
          <w:tcPr>
            <w:tcW w:w="1276" w:type="dxa"/>
            <w:vAlign w:val="center"/>
          </w:tcPr>
          <w:p w:rsidR="006066A1" w:rsidRDefault="006E07AE">
            <w:pPr>
              <w:jc w:val="right"/>
            </w:pPr>
            <w:r>
              <w:rPr>
                <w:rFonts w:eastAsiaTheme="minorEastAsia"/>
                <w:kern w:val="0"/>
                <w:szCs w:val="21"/>
              </w:rPr>
              <w:t>194,360</w:t>
            </w:r>
          </w:p>
        </w:tc>
        <w:tc>
          <w:tcPr>
            <w:tcW w:w="1842" w:type="dxa"/>
            <w:vAlign w:val="center"/>
          </w:tcPr>
          <w:p w:rsidR="006066A1" w:rsidRDefault="006E07AE">
            <w:pPr>
              <w:jc w:val="right"/>
            </w:pPr>
            <w:r>
              <w:rPr>
                <w:rFonts w:eastAsiaTheme="minorEastAsia"/>
                <w:kern w:val="0"/>
                <w:szCs w:val="21"/>
              </w:rPr>
              <w:t>5,714,184.00</w:t>
            </w:r>
          </w:p>
        </w:tc>
        <w:tc>
          <w:tcPr>
            <w:tcW w:w="1616" w:type="dxa"/>
            <w:vAlign w:val="center"/>
          </w:tcPr>
          <w:p w:rsidR="006066A1" w:rsidRDefault="006E07AE">
            <w:pPr>
              <w:jc w:val="right"/>
            </w:pPr>
            <w:r>
              <w:rPr>
                <w:rFonts w:eastAsiaTheme="minorEastAsia"/>
                <w:kern w:val="0"/>
                <w:szCs w:val="21"/>
              </w:rPr>
              <w:t>3.62</w:t>
            </w:r>
          </w:p>
        </w:tc>
      </w:tr>
      <w:tr w:rsidR="006066A1">
        <w:tc>
          <w:tcPr>
            <w:tcW w:w="817" w:type="dxa"/>
            <w:vAlign w:val="center"/>
          </w:tcPr>
          <w:p w:rsidR="006066A1" w:rsidRDefault="006E07AE">
            <w:pPr>
              <w:jc w:val="center"/>
            </w:pPr>
            <w:r>
              <w:rPr>
                <w:rFonts w:eastAsiaTheme="minorEastAsia"/>
                <w:kern w:val="0"/>
                <w:szCs w:val="21"/>
              </w:rPr>
              <w:t>4</w:t>
            </w:r>
          </w:p>
        </w:tc>
        <w:tc>
          <w:tcPr>
            <w:tcW w:w="1276" w:type="dxa"/>
            <w:vAlign w:val="center"/>
          </w:tcPr>
          <w:p w:rsidR="006066A1" w:rsidRDefault="006E07AE">
            <w:pPr>
              <w:jc w:val="center"/>
            </w:pPr>
            <w:r>
              <w:rPr>
                <w:rFonts w:eastAsiaTheme="minorEastAsia"/>
                <w:kern w:val="0"/>
                <w:szCs w:val="21"/>
              </w:rPr>
              <w:t>002475</w:t>
            </w:r>
          </w:p>
        </w:tc>
        <w:tc>
          <w:tcPr>
            <w:tcW w:w="1701" w:type="dxa"/>
            <w:vAlign w:val="center"/>
          </w:tcPr>
          <w:p w:rsidR="006066A1" w:rsidRDefault="006E07AE">
            <w:pPr>
              <w:jc w:val="center"/>
            </w:pPr>
            <w:r>
              <w:rPr>
                <w:rFonts w:eastAsiaTheme="minorEastAsia"/>
                <w:kern w:val="0"/>
                <w:szCs w:val="21"/>
              </w:rPr>
              <w:t>立讯精密</w:t>
            </w:r>
          </w:p>
        </w:tc>
        <w:tc>
          <w:tcPr>
            <w:tcW w:w="1276" w:type="dxa"/>
            <w:vAlign w:val="center"/>
          </w:tcPr>
          <w:p w:rsidR="006066A1" w:rsidRDefault="006E07AE">
            <w:pPr>
              <w:jc w:val="right"/>
            </w:pPr>
            <w:r>
              <w:rPr>
                <w:rFonts w:eastAsiaTheme="minorEastAsia"/>
                <w:kern w:val="0"/>
                <w:szCs w:val="21"/>
              </w:rPr>
              <w:t>147,300</w:t>
            </w:r>
          </w:p>
        </w:tc>
        <w:tc>
          <w:tcPr>
            <w:tcW w:w="1842" w:type="dxa"/>
            <w:vAlign w:val="center"/>
          </w:tcPr>
          <w:p w:rsidR="006066A1" w:rsidRDefault="006E07AE">
            <w:pPr>
              <w:jc w:val="right"/>
            </w:pPr>
            <w:r>
              <w:rPr>
                <w:rFonts w:eastAsiaTheme="minorEastAsia"/>
                <w:kern w:val="0"/>
                <w:szCs w:val="21"/>
              </w:rPr>
              <w:t>5,074,485.00</w:t>
            </w:r>
          </w:p>
        </w:tc>
        <w:tc>
          <w:tcPr>
            <w:tcW w:w="1616" w:type="dxa"/>
            <w:vAlign w:val="center"/>
          </w:tcPr>
          <w:p w:rsidR="006066A1" w:rsidRDefault="006E07AE">
            <w:pPr>
              <w:jc w:val="right"/>
            </w:pPr>
            <w:r>
              <w:rPr>
                <w:rFonts w:eastAsiaTheme="minorEastAsia"/>
                <w:kern w:val="0"/>
                <w:szCs w:val="21"/>
              </w:rPr>
              <w:t>3.21</w:t>
            </w:r>
          </w:p>
        </w:tc>
      </w:tr>
      <w:tr w:rsidR="006066A1">
        <w:tc>
          <w:tcPr>
            <w:tcW w:w="817" w:type="dxa"/>
            <w:vAlign w:val="center"/>
          </w:tcPr>
          <w:p w:rsidR="006066A1" w:rsidRDefault="006E07AE">
            <w:pPr>
              <w:jc w:val="center"/>
            </w:pPr>
            <w:r>
              <w:rPr>
                <w:rFonts w:eastAsiaTheme="minorEastAsia"/>
                <w:kern w:val="0"/>
                <w:szCs w:val="21"/>
              </w:rPr>
              <w:t>5</w:t>
            </w:r>
          </w:p>
        </w:tc>
        <w:tc>
          <w:tcPr>
            <w:tcW w:w="1276" w:type="dxa"/>
            <w:vAlign w:val="center"/>
          </w:tcPr>
          <w:p w:rsidR="006066A1" w:rsidRDefault="006E07AE">
            <w:pPr>
              <w:jc w:val="center"/>
            </w:pPr>
            <w:r>
              <w:rPr>
                <w:rFonts w:eastAsiaTheme="minorEastAsia"/>
                <w:kern w:val="0"/>
                <w:szCs w:val="21"/>
              </w:rPr>
              <w:t>300308</w:t>
            </w:r>
          </w:p>
        </w:tc>
        <w:tc>
          <w:tcPr>
            <w:tcW w:w="1701" w:type="dxa"/>
            <w:vAlign w:val="center"/>
          </w:tcPr>
          <w:p w:rsidR="006066A1" w:rsidRDefault="006E07AE">
            <w:pPr>
              <w:jc w:val="center"/>
            </w:pPr>
            <w:r>
              <w:rPr>
                <w:rFonts w:eastAsiaTheme="minorEastAsia"/>
                <w:kern w:val="0"/>
                <w:szCs w:val="21"/>
              </w:rPr>
              <w:t>中际旭创</w:t>
            </w:r>
          </w:p>
        </w:tc>
        <w:tc>
          <w:tcPr>
            <w:tcW w:w="1276" w:type="dxa"/>
            <w:vAlign w:val="center"/>
          </w:tcPr>
          <w:p w:rsidR="006066A1" w:rsidRDefault="006E07AE">
            <w:pPr>
              <w:jc w:val="right"/>
            </w:pPr>
            <w:r>
              <w:rPr>
                <w:rFonts w:eastAsiaTheme="minorEastAsia"/>
                <w:kern w:val="0"/>
                <w:szCs w:val="21"/>
              </w:rPr>
              <w:t>42,020</w:t>
            </w:r>
          </w:p>
        </w:tc>
        <w:tc>
          <w:tcPr>
            <w:tcW w:w="1842" w:type="dxa"/>
            <w:vAlign w:val="center"/>
          </w:tcPr>
          <w:p w:rsidR="006066A1" w:rsidRDefault="006E07AE">
            <w:pPr>
              <w:jc w:val="right"/>
            </w:pPr>
            <w:r>
              <w:rPr>
                <w:rFonts w:eastAsiaTheme="minorEastAsia"/>
                <w:kern w:val="0"/>
                <w:szCs w:val="21"/>
              </w:rPr>
              <w:t>4,744,478.20</w:t>
            </w:r>
          </w:p>
        </w:tc>
        <w:tc>
          <w:tcPr>
            <w:tcW w:w="1616" w:type="dxa"/>
            <w:vAlign w:val="center"/>
          </w:tcPr>
          <w:p w:rsidR="006066A1" w:rsidRDefault="006E07AE">
            <w:pPr>
              <w:jc w:val="right"/>
            </w:pPr>
            <w:r>
              <w:rPr>
                <w:rFonts w:eastAsiaTheme="minorEastAsia"/>
                <w:kern w:val="0"/>
                <w:szCs w:val="21"/>
              </w:rPr>
              <w:t>3.01</w:t>
            </w:r>
          </w:p>
        </w:tc>
      </w:tr>
      <w:tr w:rsidR="006066A1">
        <w:tc>
          <w:tcPr>
            <w:tcW w:w="817" w:type="dxa"/>
            <w:vAlign w:val="center"/>
          </w:tcPr>
          <w:p w:rsidR="006066A1" w:rsidRDefault="006E07AE">
            <w:pPr>
              <w:jc w:val="center"/>
            </w:pPr>
            <w:r>
              <w:rPr>
                <w:rFonts w:eastAsiaTheme="minorEastAsia"/>
                <w:kern w:val="0"/>
                <w:szCs w:val="21"/>
              </w:rPr>
              <w:t>6</w:t>
            </w:r>
          </w:p>
        </w:tc>
        <w:tc>
          <w:tcPr>
            <w:tcW w:w="1276" w:type="dxa"/>
            <w:vAlign w:val="center"/>
          </w:tcPr>
          <w:p w:rsidR="006066A1" w:rsidRDefault="006E07AE">
            <w:pPr>
              <w:jc w:val="center"/>
            </w:pPr>
            <w:r>
              <w:rPr>
                <w:rFonts w:eastAsiaTheme="minorEastAsia"/>
                <w:kern w:val="0"/>
                <w:szCs w:val="21"/>
              </w:rPr>
              <w:t>300122</w:t>
            </w:r>
          </w:p>
        </w:tc>
        <w:tc>
          <w:tcPr>
            <w:tcW w:w="1701" w:type="dxa"/>
            <w:vAlign w:val="center"/>
          </w:tcPr>
          <w:p w:rsidR="006066A1" w:rsidRDefault="006E07AE">
            <w:pPr>
              <w:jc w:val="center"/>
            </w:pPr>
            <w:r>
              <w:rPr>
                <w:rFonts w:eastAsiaTheme="minorEastAsia"/>
                <w:kern w:val="0"/>
                <w:szCs w:val="21"/>
              </w:rPr>
              <w:t>智飞生物</w:t>
            </w:r>
          </w:p>
        </w:tc>
        <w:tc>
          <w:tcPr>
            <w:tcW w:w="1276" w:type="dxa"/>
            <w:vAlign w:val="center"/>
          </w:tcPr>
          <w:p w:rsidR="006066A1" w:rsidRDefault="006E07AE">
            <w:pPr>
              <w:jc w:val="right"/>
            </w:pPr>
            <w:r>
              <w:rPr>
                <w:rFonts w:eastAsiaTheme="minorEastAsia"/>
                <w:kern w:val="0"/>
                <w:szCs w:val="21"/>
              </w:rPr>
              <w:t>75,500</w:t>
            </w:r>
          </w:p>
        </w:tc>
        <w:tc>
          <w:tcPr>
            <w:tcW w:w="1842" w:type="dxa"/>
            <w:vAlign w:val="center"/>
          </w:tcPr>
          <w:p w:rsidR="006066A1" w:rsidRDefault="006E07AE">
            <w:pPr>
              <w:jc w:val="right"/>
            </w:pPr>
            <w:r>
              <w:rPr>
                <w:rFonts w:eastAsiaTheme="minorEastAsia"/>
                <w:kern w:val="0"/>
                <w:szCs w:val="21"/>
              </w:rPr>
              <w:t>4,613,805.00</w:t>
            </w:r>
          </w:p>
        </w:tc>
        <w:tc>
          <w:tcPr>
            <w:tcW w:w="1616" w:type="dxa"/>
            <w:vAlign w:val="center"/>
          </w:tcPr>
          <w:p w:rsidR="006066A1" w:rsidRDefault="006E07AE">
            <w:pPr>
              <w:jc w:val="right"/>
            </w:pPr>
            <w:r>
              <w:rPr>
                <w:rFonts w:eastAsiaTheme="minorEastAsia"/>
                <w:kern w:val="0"/>
                <w:szCs w:val="21"/>
              </w:rPr>
              <w:t>2.92</w:t>
            </w:r>
          </w:p>
        </w:tc>
      </w:tr>
      <w:tr w:rsidR="006066A1">
        <w:tc>
          <w:tcPr>
            <w:tcW w:w="817" w:type="dxa"/>
            <w:vAlign w:val="center"/>
          </w:tcPr>
          <w:p w:rsidR="006066A1" w:rsidRDefault="006E07AE">
            <w:pPr>
              <w:jc w:val="center"/>
            </w:pPr>
            <w:r>
              <w:rPr>
                <w:rFonts w:eastAsiaTheme="minorEastAsia"/>
                <w:kern w:val="0"/>
                <w:szCs w:val="21"/>
              </w:rPr>
              <w:t>7</w:t>
            </w:r>
          </w:p>
        </w:tc>
        <w:tc>
          <w:tcPr>
            <w:tcW w:w="1276" w:type="dxa"/>
            <w:vAlign w:val="center"/>
          </w:tcPr>
          <w:p w:rsidR="006066A1" w:rsidRDefault="006E07AE">
            <w:pPr>
              <w:jc w:val="center"/>
            </w:pPr>
            <w:r>
              <w:rPr>
                <w:rFonts w:eastAsiaTheme="minorEastAsia"/>
                <w:kern w:val="0"/>
                <w:szCs w:val="21"/>
              </w:rPr>
              <w:t>601225</w:t>
            </w:r>
          </w:p>
        </w:tc>
        <w:tc>
          <w:tcPr>
            <w:tcW w:w="1701" w:type="dxa"/>
            <w:vAlign w:val="center"/>
          </w:tcPr>
          <w:p w:rsidR="006066A1" w:rsidRDefault="006E07AE">
            <w:pPr>
              <w:jc w:val="center"/>
            </w:pPr>
            <w:r>
              <w:rPr>
                <w:rFonts w:eastAsiaTheme="minorEastAsia"/>
                <w:kern w:val="0"/>
                <w:szCs w:val="21"/>
              </w:rPr>
              <w:t>陕西煤业</w:t>
            </w:r>
          </w:p>
        </w:tc>
        <w:tc>
          <w:tcPr>
            <w:tcW w:w="1276" w:type="dxa"/>
            <w:vAlign w:val="center"/>
          </w:tcPr>
          <w:p w:rsidR="006066A1" w:rsidRDefault="006E07AE">
            <w:pPr>
              <w:jc w:val="right"/>
            </w:pPr>
            <w:r>
              <w:rPr>
                <w:rFonts w:eastAsiaTheme="minorEastAsia"/>
                <w:kern w:val="0"/>
                <w:szCs w:val="21"/>
              </w:rPr>
              <w:t>220,300</w:t>
            </w:r>
          </w:p>
        </w:tc>
        <w:tc>
          <w:tcPr>
            <w:tcW w:w="1842" w:type="dxa"/>
            <w:vAlign w:val="center"/>
          </w:tcPr>
          <w:p w:rsidR="006066A1" w:rsidRDefault="006E07AE">
            <w:pPr>
              <w:jc w:val="right"/>
            </w:pPr>
            <w:r>
              <w:rPr>
                <w:rFonts w:eastAsiaTheme="minorEastAsia"/>
                <w:kern w:val="0"/>
                <w:szCs w:val="21"/>
              </w:rPr>
              <w:t>4,602,067.00</w:t>
            </w:r>
          </w:p>
        </w:tc>
        <w:tc>
          <w:tcPr>
            <w:tcW w:w="1616" w:type="dxa"/>
            <w:vAlign w:val="center"/>
          </w:tcPr>
          <w:p w:rsidR="006066A1" w:rsidRDefault="006E07AE">
            <w:pPr>
              <w:jc w:val="right"/>
            </w:pPr>
            <w:r>
              <w:rPr>
                <w:rFonts w:eastAsiaTheme="minorEastAsia"/>
                <w:kern w:val="0"/>
                <w:szCs w:val="21"/>
              </w:rPr>
              <w:t>2.92</w:t>
            </w:r>
          </w:p>
        </w:tc>
      </w:tr>
      <w:tr w:rsidR="006066A1">
        <w:tc>
          <w:tcPr>
            <w:tcW w:w="817" w:type="dxa"/>
            <w:vAlign w:val="center"/>
          </w:tcPr>
          <w:p w:rsidR="006066A1" w:rsidRDefault="006E07AE">
            <w:pPr>
              <w:jc w:val="center"/>
            </w:pPr>
            <w:r>
              <w:rPr>
                <w:rFonts w:eastAsiaTheme="minorEastAsia"/>
                <w:kern w:val="0"/>
                <w:szCs w:val="21"/>
              </w:rPr>
              <w:t>8</w:t>
            </w:r>
          </w:p>
        </w:tc>
        <w:tc>
          <w:tcPr>
            <w:tcW w:w="1276" w:type="dxa"/>
            <w:vAlign w:val="center"/>
          </w:tcPr>
          <w:p w:rsidR="006066A1" w:rsidRDefault="006E07AE">
            <w:pPr>
              <w:jc w:val="center"/>
            </w:pPr>
            <w:r>
              <w:rPr>
                <w:rFonts w:eastAsiaTheme="minorEastAsia"/>
                <w:kern w:val="0"/>
                <w:szCs w:val="21"/>
              </w:rPr>
              <w:t>300757</w:t>
            </w:r>
          </w:p>
        </w:tc>
        <w:tc>
          <w:tcPr>
            <w:tcW w:w="1701" w:type="dxa"/>
            <w:vAlign w:val="center"/>
          </w:tcPr>
          <w:p w:rsidR="006066A1" w:rsidRDefault="006E07AE">
            <w:pPr>
              <w:jc w:val="center"/>
            </w:pPr>
            <w:r>
              <w:rPr>
                <w:rFonts w:eastAsiaTheme="minorEastAsia"/>
                <w:kern w:val="0"/>
                <w:szCs w:val="21"/>
              </w:rPr>
              <w:t>罗博特科</w:t>
            </w:r>
          </w:p>
        </w:tc>
        <w:tc>
          <w:tcPr>
            <w:tcW w:w="1276" w:type="dxa"/>
            <w:vAlign w:val="center"/>
          </w:tcPr>
          <w:p w:rsidR="006066A1" w:rsidRDefault="006E07AE">
            <w:pPr>
              <w:jc w:val="right"/>
            </w:pPr>
            <w:r>
              <w:rPr>
                <w:rFonts w:eastAsiaTheme="minorEastAsia"/>
                <w:kern w:val="0"/>
                <w:szCs w:val="21"/>
              </w:rPr>
              <w:t>46,157</w:t>
            </w:r>
          </w:p>
        </w:tc>
        <w:tc>
          <w:tcPr>
            <w:tcW w:w="1842" w:type="dxa"/>
            <w:vAlign w:val="center"/>
          </w:tcPr>
          <w:p w:rsidR="006066A1" w:rsidRDefault="006E07AE">
            <w:pPr>
              <w:jc w:val="right"/>
            </w:pPr>
            <w:r>
              <w:rPr>
                <w:rFonts w:eastAsiaTheme="minorEastAsia"/>
                <w:kern w:val="0"/>
                <w:szCs w:val="21"/>
              </w:rPr>
              <w:t>3,756,718.23</w:t>
            </w:r>
          </w:p>
        </w:tc>
        <w:tc>
          <w:tcPr>
            <w:tcW w:w="1616" w:type="dxa"/>
            <w:vAlign w:val="center"/>
          </w:tcPr>
          <w:p w:rsidR="006066A1" w:rsidRDefault="006E07AE">
            <w:pPr>
              <w:jc w:val="right"/>
            </w:pPr>
            <w:r>
              <w:rPr>
                <w:rFonts w:eastAsiaTheme="minorEastAsia"/>
                <w:kern w:val="0"/>
                <w:szCs w:val="21"/>
              </w:rPr>
              <w:t>2.38</w:t>
            </w:r>
          </w:p>
        </w:tc>
      </w:tr>
      <w:tr w:rsidR="006066A1">
        <w:tc>
          <w:tcPr>
            <w:tcW w:w="817" w:type="dxa"/>
            <w:vAlign w:val="center"/>
          </w:tcPr>
          <w:p w:rsidR="006066A1" w:rsidRDefault="006E07AE">
            <w:pPr>
              <w:jc w:val="center"/>
            </w:pPr>
            <w:r>
              <w:rPr>
                <w:rFonts w:eastAsiaTheme="minorEastAsia"/>
                <w:kern w:val="0"/>
                <w:szCs w:val="21"/>
              </w:rPr>
              <w:t>9</w:t>
            </w:r>
          </w:p>
        </w:tc>
        <w:tc>
          <w:tcPr>
            <w:tcW w:w="1276" w:type="dxa"/>
            <w:vAlign w:val="center"/>
          </w:tcPr>
          <w:p w:rsidR="006066A1" w:rsidRDefault="006E07AE">
            <w:pPr>
              <w:jc w:val="center"/>
            </w:pPr>
            <w:r>
              <w:rPr>
                <w:rFonts w:eastAsiaTheme="minorEastAsia"/>
                <w:kern w:val="0"/>
                <w:szCs w:val="21"/>
              </w:rPr>
              <w:t>601689</w:t>
            </w:r>
          </w:p>
        </w:tc>
        <w:tc>
          <w:tcPr>
            <w:tcW w:w="1701" w:type="dxa"/>
            <w:vAlign w:val="center"/>
          </w:tcPr>
          <w:p w:rsidR="006066A1" w:rsidRDefault="006E07AE">
            <w:pPr>
              <w:jc w:val="center"/>
            </w:pPr>
            <w:r>
              <w:rPr>
                <w:rFonts w:eastAsiaTheme="minorEastAsia"/>
                <w:kern w:val="0"/>
                <w:szCs w:val="21"/>
              </w:rPr>
              <w:t>拓普集团</w:t>
            </w:r>
          </w:p>
        </w:tc>
        <w:tc>
          <w:tcPr>
            <w:tcW w:w="1276" w:type="dxa"/>
            <w:vAlign w:val="center"/>
          </w:tcPr>
          <w:p w:rsidR="006066A1" w:rsidRDefault="006E07AE">
            <w:pPr>
              <w:jc w:val="right"/>
            </w:pPr>
            <w:r>
              <w:rPr>
                <w:rFonts w:eastAsiaTheme="minorEastAsia"/>
                <w:kern w:val="0"/>
                <w:szCs w:val="21"/>
              </w:rPr>
              <w:t>47,754</w:t>
            </w:r>
          </w:p>
        </w:tc>
        <w:tc>
          <w:tcPr>
            <w:tcW w:w="1842" w:type="dxa"/>
            <w:vAlign w:val="center"/>
          </w:tcPr>
          <w:p w:rsidR="006066A1" w:rsidRDefault="006E07AE">
            <w:pPr>
              <w:jc w:val="right"/>
            </w:pPr>
            <w:r>
              <w:rPr>
                <w:rFonts w:eastAsiaTheme="minorEastAsia"/>
                <w:kern w:val="0"/>
                <w:szCs w:val="21"/>
              </w:rPr>
              <w:t>3,509,919.00</w:t>
            </w:r>
          </w:p>
        </w:tc>
        <w:tc>
          <w:tcPr>
            <w:tcW w:w="1616" w:type="dxa"/>
            <w:vAlign w:val="center"/>
          </w:tcPr>
          <w:p w:rsidR="006066A1" w:rsidRDefault="006E07AE">
            <w:pPr>
              <w:jc w:val="right"/>
            </w:pPr>
            <w:r>
              <w:rPr>
                <w:rFonts w:eastAsiaTheme="minorEastAsia"/>
                <w:kern w:val="0"/>
                <w:szCs w:val="21"/>
              </w:rPr>
              <w:t>2.22</w:t>
            </w:r>
          </w:p>
        </w:tc>
      </w:tr>
      <w:tr w:rsidR="006066A1">
        <w:tc>
          <w:tcPr>
            <w:tcW w:w="817" w:type="dxa"/>
            <w:vAlign w:val="center"/>
          </w:tcPr>
          <w:p w:rsidR="006066A1" w:rsidRDefault="006E07AE">
            <w:pPr>
              <w:jc w:val="center"/>
            </w:pPr>
            <w:r>
              <w:rPr>
                <w:rFonts w:eastAsiaTheme="minorEastAsia"/>
                <w:kern w:val="0"/>
                <w:szCs w:val="21"/>
              </w:rPr>
              <w:t>10</w:t>
            </w:r>
          </w:p>
        </w:tc>
        <w:tc>
          <w:tcPr>
            <w:tcW w:w="1276" w:type="dxa"/>
            <w:vAlign w:val="center"/>
          </w:tcPr>
          <w:p w:rsidR="006066A1" w:rsidRDefault="006E07AE">
            <w:pPr>
              <w:jc w:val="center"/>
            </w:pPr>
            <w:r>
              <w:rPr>
                <w:rFonts w:eastAsiaTheme="minorEastAsia"/>
                <w:kern w:val="0"/>
                <w:szCs w:val="21"/>
              </w:rPr>
              <w:t>600422</w:t>
            </w:r>
          </w:p>
        </w:tc>
        <w:tc>
          <w:tcPr>
            <w:tcW w:w="1701" w:type="dxa"/>
            <w:vAlign w:val="center"/>
          </w:tcPr>
          <w:p w:rsidR="006066A1" w:rsidRDefault="006E07AE">
            <w:pPr>
              <w:jc w:val="center"/>
            </w:pPr>
            <w:r>
              <w:rPr>
                <w:rFonts w:eastAsiaTheme="minorEastAsia"/>
                <w:kern w:val="0"/>
                <w:szCs w:val="21"/>
              </w:rPr>
              <w:t>昆药集团</w:t>
            </w:r>
          </w:p>
        </w:tc>
        <w:tc>
          <w:tcPr>
            <w:tcW w:w="1276" w:type="dxa"/>
            <w:vAlign w:val="center"/>
          </w:tcPr>
          <w:p w:rsidR="006066A1" w:rsidRDefault="006E07AE">
            <w:pPr>
              <w:jc w:val="right"/>
            </w:pPr>
            <w:r>
              <w:rPr>
                <w:rFonts w:eastAsiaTheme="minorEastAsia"/>
                <w:kern w:val="0"/>
                <w:szCs w:val="21"/>
              </w:rPr>
              <w:t>162,400</w:t>
            </w:r>
          </w:p>
        </w:tc>
        <w:tc>
          <w:tcPr>
            <w:tcW w:w="1842" w:type="dxa"/>
            <w:vAlign w:val="center"/>
          </w:tcPr>
          <w:p w:rsidR="006066A1" w:rsidRDefault="006E07AE">
            <w:pPr>
              <w:jc w:val="right"/>
            </w:pPr>
            <w:r>
              <w:rPr>
                <w:rFonts w:eastAsiaTheme="minorEastAsia"/>
                <w:kern w:val="0"/>
                <w:szCs w:val="21"/>
              </w:rPr>
              <w:t>3,387,664.00</w:t>
            </w:r>
          </w:p>
        </w:tc>
        <w:tc>
          <w:tcPr>
            <w:tcW w:w="1616" w:type="dxa"/>
            <w:vAlign w:val="center"/>
          </w:tcPr>
          <w:p w:rsidR="006066A1" w:rsidRDefault="006E07AE">
            <w:pPr>
              <w:jc w:val="right"/>
            </w:pPr>
            <w:r>
              <w:rPr>
                <w:rFonts w:eastAsiaTheme="minorEastAsia"/>
                <w:kern w:val="0"/>
                <w:szCs w:val="21"/>
              </w:rPr>
              <w:t>2.15</w:t>
            </w:r>
          </w:p>
        </w:tc>
      </w:tr>
    </w:tbl>
    <w:bookmarkEnd w:id="2"/>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76,315.74</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111,631.20</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187,946.94</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摩根转型动力混合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摩根转型动力混合</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94,509,963.51</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169,148.51</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1,145,218.18</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35,545.26</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1,695,829.37</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82,288.30</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93,959,352.32</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122,405.47</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6066A1" w:rsidRDefault="006E07AE">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中国证监会批准本基金设立的文件；</w:t>
      </w:r>
      <w:r>
        <w:rPr>
          <w:rFonts w:eastAsiaTheme="minorEastAsia"/>
          <w:color w:val="000000" w:themeColor="text1"/>
          <w:szCs w:val="21"/>
        </w:rPr>
        <w:t xml:space="preserve"> </w:t>
      </w:r>
    </w:p>
    <w:p w:rsidR="006066A1" w:rsidRDefault="006E07AE">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《摩根转型动力灵活配置混合型证券投资基金基金合同》；</w:t>
      </w:r>
      <w:r>
        <w:rPr>
          <w:rFonts w:eastAsiaTheme="minorEastAsia"/>
          <w:color w:val="000000" w:themeColor="text1"/>
          <w:szCs w:val="21"/>
        </w:rPr>
        <w:t xml:space="preserve"> </w:t>
      </w:r>
    </w:p>
    <w:p w:rsidR="006066A1" w:rsidRDefault="006E07AE">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《摩根转型动力灵活配置混合型证券投资基金基金托管协议》；</w:t>
      </w:r>
      <w:r>
        <w:rPr>
          <w:rFonts w:eastAsiaTheme="minorEastAsia"/>
          <w:color w:val="000000" w:themeColor="text1"/>
          <w:szCs w:val="21"/>
        </w:rPr>
        <w:t xml:space="preserve"> </w:t>
      </w:r>
    </w:p>
    <w:p w:rsidR="006066A1" w:rsidRDefault="006E07AE">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《摩根基金管理（中国）有限公司开放式基金业务规则》；</w:t>
      </w:r>
      <w:r>
        <w:rPr>
          <w:rFonts w:eastAsiaTheme="minorEastAsia"/>
          <w:color w:val="000000" w:themeColor="text1"/>
          <w:szCs w:val="21"/>
        </w:rPr>
        <w:t xml:space="preserve"> </w:t>
      </w:r>
    </w:p>
    <w:p w:rsidR="006066A1" w:rsidRDefault="006E07AE">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r>
        <w:rPr>
          <w:rFonts w:eastAsiaTheme="minorEastAsia"/>
          <w:color w:val="000000" w:themeColor="text1"/>
          <w:szCs w:val="21"/>
        </w:rPr>
        <w:t xml:space="preserve"> </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6.</w:t>
      </w:r>
      <w:r w:rsidRPr="00B27A29">
        <w:rPr>
          <w:rFonts w:eastAsiaTheme="minorEastAsia"/>
          <w:color w:val="000000" w:themeColor="text1"/>
          <w:szCs w:val="21"/>
        </w:rPr>
        <w:t>基金托管人业务资格批件和营业执照。</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lastRenderedPageBreak/>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二〇二四年一月二十二日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6E07AE">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6E07AE">
      <w:rPr>
        <w:noProof/>
        <w:kern w:val="0"/>
        <w:szCs w:val="21"/>
      </w:rPr>
      <w:t>13</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6E07AE">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摩根转型动力灵活配置混合型证券投资基金</w:t>
    </w:r>
    <w:r>
      <w:t>2023</w:t>
    </w:r>
    <w:r>
      <w:t>年第</w:t>
    </w:r>
    <w:r>
      <w:t>4</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6A1"/>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7AE"/>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C128BB-A3E3-4E52-83BA-104B6B29D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28</TotalTime>
  <Pages>13</Pages>
  <Words>1114</Words>
  <Characters>6351</Characters>
  <Application>Microsoft Office Word</Application>
  <DocSecurity>0</DocSecurity>
  <Lines>52</Lines>
  <Paragraphs>14</Paragraphs>
  <ScaleCrop>false</ScaleCrop>
  <Company>TRT. Ltd. Co.</Company>
  <LinksUpToDate>false</LinksUpToDate>
  <CharactersWithSpaces>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Xiaodi.Wang@FA</cp:lastModifiedBy>
  <cp:revision>220</cp:revision>
  <cp:lastPrinted>2007-07-19T00:46:00Z</cp:lastPrinted>
  <dcterms:created xsi:type="dcterms:W3CDTF">2013-06-21T06:56:00Z</dcterms:created>
  <dcterms:modified xsi:type="dcterms:W3CDTF">2024-01-19T05:29:00Z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