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上投摩根转型动力灵活配置混合型证券投资基金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2020年第4季度报告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2020年12月31日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二〇二一年一月二十二日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本报告期自2020年10月1日起至12月31日止。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上投摩根转型动力混合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000328</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000328</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2013年11月25日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187,278,689.35</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通过投资于符合政策扶植和经济发展方向，具有长期发展潜力的上市公司，充分把握中国未来经济转型带来的投资机会，力争实现基金资产的长期稳健增值。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本基金将以经济转型作为行业配置和个股选择的主线，重点投资于受益于经济转型和政策扶持、具有良好基本面和持续成长能力的上市公司，力争实现基金资产的长期稳定增值。</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在行业配置层面，本基金将运用“自上而下”的方法，通过对国内外宏观经济、经济结构转型的方向、国家经济政策、产业政策导向的深入研究，挖掘受益于国家经济转型、具有较大成长空间的行业。在个股选择层面，本基金将主要采用“自下而上”的方法，在备选行业内部通过定量与定性相结合的分析方法，综合分析上市公司的业绩质量、成长性和估值水平等，精选具有良好成长性、估值合理的个股。</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沪深300指数收益率×80%+中债总指数收益率×20%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本基金属于混合型基金产品，预期风险和收益水平低于股票型基金，高于债券型基金和货币市场基金 ，属于较高风险收益水平的基金产品。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2020年10月1日-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2020年12月31日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79,568,292.24</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106,627,933.14</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0.5231</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595,556,968.67</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3.1801</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注：本期已实现收益指基金本期利息收入、投资收益、其他收入（不含公允价值变动收益）扣除相关费用后的余额，本期利润为本期已实现收益加上本期公允价值变动收益。</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19.91%</w:t>
            </w:r>
          </w:p>
        </w:tc>
        <w:tc>
          <w:tcPr>
            <w:vAlign w:val="center"/>
          </w:tcPr>
          <w:p>
            <w:pPr>
              <w:jc w:val="center"/>
            </w:pPr>
            <w:r>
              <w:rPr>
                <w:rFonts w:asciiTheme="minorEastAsia" w:eastAsiaTheme="minorEastAsia" w:hAnsiTheme="minorEastAsia"/>
                <w:color w:themeColor="text1" w:val="000000"/>
                <w:kern w:val="0"/>
              </w:rPr>
              <w:t>1.40%</w:t>
            </w:r>
          </w:p>
        </w:tc>
        <w:tc>
          <w:tcPr>
            <w:vAlign w:val="center"/>
          </w:tcPr>
          <w:p>
            <w:pPr>
              <w:jc w:val="center"/>
            </w:pPr>
            <w:r>
              <w:rPr>
                <w:rFonts w:asciiTheme="minorEastAsia" w:eastAsiaTheme="minorEastAsia" w:hAnsiTheme="minorEastAsia"/>
                <w:color w:themeColor="text1" w:val="000000"/>
                <w:kern w:val="0"/>
              </w:rPr>
              <w:t>11.09%</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8.82%</w:t>
            </w:r>
          </w:p>
        </w:tc>
        <w:tc>
          <w:tcPr>
            <w:vAlign w:val="center"/>
          </w:tcPr>
          <w:p>
            <w:pPr>
              <w:jc w:val="center"/>
            </w:pPr>
            <w:r>
              <w:rPr>
                <w:rFonts w:asciiTheme="minorEastAsia" w:eastAsiaTheme="minorEastAsia" w:hAnsiTheme="minorEastAsia"/>
                <w:color w:themeColor="text1" w:val="000000"/>
                <w:kern w:val="0"/>
              </w:rPr>
              <w:t>0.61%</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37.31%</w:t>
            </w:r>
          </w:p>
        </w:tc>
        <w:tc>
          <w:tcPr>
            <w:vAlign w:val="center"/>
          </w:tcPr>
          <w:p>
            <w:pPr>
              <w:jc w:val="center"/>
            </w:pPr>
            <w:r>
              <w:rPr>
                <w:rFonts w:asciiTheme="minorEastAsia" w:eastAsiaTheme="minorEastAsia" w:hAnsiTheme="minorEastAsia"/>
                <w:color w:themeColor="text1" w:val="000000"/>
                <w:kern w:val="0"/>
              </w:rPr>
              <w:t>1.74%</w:t>
            </w:r>
          </w:p>
        </w:tc>
        <w:tc>
          <w:tcPr>
            <w:vAlign w:val="center"/>
          </w:tcPr>
          <w:p>
            <w:pPr>
              <w:jc w:val="center"/>
            </w:pPr>
            <w:r>
              <w:rPr>
                <w:rFonts w:asciiTheme="minorEastAsia" w:eastAsiaTheme="minorEastAsia" w:hAnsiTheme="minorEastAsia"/>
                <w:color w:themeColor="text1" w:val="000000"/>
                <w:kern w:val="0"/>
              </w:rPr>
              <w:t>19.92%</w:t>
            </w:r>
          </w:p>
        </w:tc>
        <w:tc>
          <w:tcPr>
            <w:vAlign w:val="center"/>
          </w:tcPr>
          <w:p>
            <w:pPr>
              <w:jc w:val="center"/>
            </w:pPr>
            <w:r>
              <w:rPr>
                <w:rFonts w:asciiTheme="minorEastAsia" w:eastAsiaTheme="minorEastAsia" w:hAnsiTheme="minorEastAsia"/>
                <w:color w:themeColor="text1" w:val="000000"/>
                <w:kern w:val="0"/>
              </w:rPr>
              <w:t>1.07%</w:t>
            </w:r>
          </w:p>
        </w:tc>
        <w:tc>
          <w:tcPr>
            <w:vAlign w:val="center"/>
          </w:tcPr>
          <w:p>
            <w:pPr>
              <w:jc w:val="center"/>
            </w:pPr>
            <w:r>
              <w:rPr>
                <w:rFonts w:asciiTheme="minorEastAsia" w:eastAsiaTheme="minorEastAsia" w:hAnsiTheme="minorEastAsia"/>
                <w:color w:themeColor="text1" w:val="000000"/>
                <w:kern w:val="0"/>
              </w:rPr>
              <w:t>17.39%</w:t>
            </w:r>
          </w:p>
        </w:tc>
        <w:tc>
          <w:tcPr>
            <w:vAlign w:val="center"/>
          </w:tcPr>
          <w:p>
            <w:pPr>
              <w:jc w:val="center"/>
            </w:pPr>
            <w:r>
              <w:rPr>
                <w:rFonts w:asciiTheme="minorEastAsia" w:eastAsiaTheme="minorEastAsia" w:hAnsiTheme="minorEastAsia"/>
                <w:color w:themeColor="text1" w:val="000000"/>
                <w:kern w:val="0"/>
              </w:rPr>
              <w:t>0.67%</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89.07%</w:t>
            </w:r>
          </w:p>
        </w:tc>
        <w:tc>
          <w:tcPr>
            <w:vAlign w:val="center"/>
          </w:tcPr>
          <w:p>
            <w:pPr>
              <w:jc w:val="center"/>
            </w:pPr>
            <w:r>
              <w:rPr>
                <w:rFonts w:asciiTheme="minorEastAsia" w:eastAsiaTheme="minorEastAsia" w:hAnsiTheme="minorEastAsia"/>
                <w:color w:themeColor="text1" w:val="000000"/>
                <w:kern w:val="0"/>
              </w:rPr>
              <w:t>1.80%</w:t>
            </w:r>
          </w:p>
        </w:tc>
        <w:tc>
          <w:tcPr>
            <w:vAlign w:val="center"/>
          </w:tcPr>
          <w:p>
            <w:pPr>
              <w:jc w:val="center"/>
            </w:pPr>
            <w:r>
              <w:rPr>
                <w:rFonts w:asciiTheme="minorEastAsia" w:eastAsiaTheme="minorEastAsia" w:hAnsiTheme="minorEastAsia"/>
                <w:color w:themeColor="text1" w:val="000000"/>
                <w:kern w:val="0"/>
              </w:rPr>
              <w:t>21.74%</w:t>
            </w:r>
          </w:p>
        </w:tc>
        <w:tc>
          <w:tcPr>
            <w:vAlign w:val="center"/>
          </w:tcPr>
          <w:p>
            <w:pPr>
              <w:jc w:val="center"/>
            </w:pPr>
            <w:r>
              <w:rPr>
                <w:rFonts w:asciiTheme="minorEastAsia" w:eastAsiaTheme="minorEastAsia" w:hAnsiTheme="minorEastAsia"/>
                <w:color w:themeColor="text1" w:val="000000"/>
                <w:kern w:val="0"/>
              </w:rPr>
              <w:t>1.14%</w:t>
            </w:r>
          </w:p>
        </w:tc>
        <w:tc>
          <w:tcPr>
            <w:vAlign w:val="center"/>
          </w:tcPr>
          <w:p>
            <w:pPr>
              <w:jc w:val="center"/>
            </w:pPr>
            <w:r>
              <w:rPr>
                <w:rFonts w:asciiTheme="minorEastAsia" w:eastAsiaTheme="minorEastAsia" w:hAnsiTheme="minorEastAsia"/>
                <w:color w:themeColor="text1" w:val="000000"/>
                <w:kern w:val="0"/>
              </w:rPr>
              <w:t>67.33%</w:t>
            </w:r>
          </w:p>
        </w:tc>
        <w:tc>
          <w:tcPr>
            <w:vAlign w:val="center"/>
          </w:tcPr>
          <w:p>
            <w:pPr>
              <w:jc w:val="center"/>
            </w:pPr>
            <w:r>
              <w:rPr>
                <w:rFonts w:asciiTheme="minorEastAsia" w:eastAsiaTheme="minorEastAsia" w:hAnsiTheme="minorEastAsia"/>
                <w:color w:themeColor="text1" w:val="000000"/>
                <w:kern w:val="0"/>
              </w:rPr>
              <w:t>0.66%</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84.25%</w:t>
            </w:r>
          </w:p>
        </w:tc>
        <w:tc>
          <w:tcPr>
            <w:vAlign w:val="center"/>
          </w:tcPr>
          <w:p>
            <w:pPr>
              <w:jc w:val="center"/>
            </w:pPr>
            <w:r>
              <w:rPr>
                <w:rFonts w:asciiTheme="minorEastAsia" w:eastAsiaTheme="minorEastAsia" w:hAnsiTheme="minorEastAsia"/>
                <w:color w:themeColor="text1" w:val="000000"/>
                <w:kern w:val="0"/>
              </w:rPr>
              <w:t>1.62%</w:t>
            </w:r>
          </w:p>
        </w:tc>
        <w:tc>
          <w:tcPr>
            <w:vAlign w:val="center"/>
          </w:tcPr>
          <w:p>
            <w:pPr>
              <w:jc w:val="center"/>
            </w:pPr>
            <w:r>
              <w:rPr>
                <w:rFonts w:asciiTheme="minorEastAsia" w:eastAsiaTheme="minorEastAsia" w:hAnsiTheme="minorEastAsia"/>
                <w:color w:themeColor="text1" w:val="000000"/>
                <w:kern w:val="0"/>
              </w:rPr>
              <w:t>24.86%</w:t>
            </w:r>
          </w:p>
        </w:tc>
        <w:tc>
          <w:tcPr>
            <w:vAlign w:val="center"/>
          </w:tcPr>
          <w:p>
            <w:pPr>
              <w:jc w:val="center"/>
            </w:pPr>
            <w:r>
              <w:rPr>
                <w:rFonts w:asciiTheme="minorEastAsia" w:eastAsiaTheme="minorEastAsia" w:hAnsiTheme="minorEastAsia"/>
                <w:color w:themeColor="text1" w:val="000000"/>
                <w:kern w:val="0"/>
              </w:rPr>
              <w:t>1.07%</w:t>
            </w:r>
          </w:p>
        </w:tc>
        <w:tc>
          <w:tcPr>
            <w:vAlign w:val="center"/>
          </w:tcPr>
          <w:p>
            <w:pPr>
              <w:jc w:val="center"/>
            </w:pPr>
            <w:r>
              <w:rPr>
                <w:rFonts w:asciiTheme="minorEastAsia" w:eastAsiaTheme="minorEastAsia" w:hAnsiTheme="minorEastAsia"/>
                <w:color w:themeColor="text1" w:val="000000"/>
                <w:kern w:val="0"/>
              </w:rPr>
              <w:t>59.39%</w:t>
            </w:r>
          </w:p>
        </w:tc>
        <w:tc>
          <w:tcPr>
            <w:vAlign w:val="center"/>
          </w:tcPr>
          <w:p>
            <w:pPr>
              <w:jc w:val="center"/>
            </w:pPr>
            <w:r>
              <w:rPr>
                <w:rFonts w:asciiTheme="minorEastAsia" w:eastAsiaTheme="minorEastAsia" w:hAnsiTheme="minorEastAsia"/>
                <w:color w:themeColor="text1" w:val="000000"/>
                <w:kern w:val="0"/>
              </w:rPr>
              <w:t>0.55%</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74.25%</w:t>
            </w:r>
          </w:p>
        </w:tc>
        <w:tc>
          <w:tcPr>
            <w:vAlign w:val="center"/>
          </w:tcPr>
          <w:p>
            <w:pPr>
              <w:jc w:val="center"/>
            </w:pPr>
            <w:r>
              <w:rPr>
                <w:rFonts w:asciiTheme="minorEastAsia" w:eastAsiaTheme="minorEastAsia" w:hAnsiTheme="minorEastAsia"/>
                <w:color w:themeColor="text1" w:val="000000"/>
                <w:kern w:val="0"/>
              </w:rPr>
              <w:t>1.61%</w:t>
            </w:r>
          </w:p>
        </w:tc>
        <w:tc>
          <w:tcPr>
            <w:vAlign w:val="center"/>
          </w:tcPr>
          <w:p>
            <w:pPr>
              <w:jc w:val="center"/>
            </w:pPr>
            <w:r>
              <w:rPr>
                <w:rFonts w:asciiTheme="minorEastAsia" w:eastAsiaTheme="minorEastAsia" w:hAnsiTheme="minorEastAsia"/>
                <w:color w:themeColor="text1" w:val="000000"/>
                <w:kern w:val="0"/>
              </w:rPr>
              <w:t>31.89%</w:t>
            </w:r>
          </w:p>
        </w:tc>
        <w:tc>
          <w:tcPr>
            <w:vAlign w:val="center"/>
          </w:tcPr>
          <w:p>
            <w:pPr>
              <w:jc w:val="center"/>
            </w:pPr>
            <w:r>
              <w:rPr>
                <w:rFonts w:asciiTheme="minorEastAsia" w:eastAsiaTheme="minorEastAsia" w:hAnsiTheme="minorEastAsia"/>
                <w:color w:themeColor="text1" w:val="000000"/>
                <w:kern w:val="0"/>
              </w:rPr>
              <w:t>0.99%</w:t>
            </w:r>
          </w:p>
        </w:tc>
        <w:tc>
          <w:tcPr>
            <w:vAlign w:val="center"/>
          </w:tcPr>
          <w:p>
            <w:pPr>
              <w:jc w:val="center"/>
            </w:pPr>
            <w:r>
              <w:rPr>
                <w:rFonts w:asciiTheme="minorEastAsia" w:eastAsiaTheme="minorEastAsia" w:hAnsiTheme="minorEastAsia"/>
                <w:color w:themeColor="text1" w:val="000000"/>
                <w:kern w:val="0"/>
              </w:rPr>
              <w:t>42.36%</w:t>
            </w:r>
          </w:p>
        </w:tc>
        <w:tc>
          <w:tcPr>
            <w:vAlign w:val="center"/>
          </w:tcPr>
          <w:p>
            <w:pPr>
              <w:jc w:val="center"/>
            </w:pPr>
            <w:r>
              <w:rPr>
                <w:rFonts w:asciiTheme="minorEastAsia" w:eastAsiaTheme="minorEastAsia" w:hAnsiTheme="minorEastAsia"/>
                <w:color w:themeColor="text1" w:val="000000"/>
                <w:kern w:val="0"/>
              </w:rPr>
              <w:t>0.62%</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218.01%</w:t>
            </w:r>
          </w:p>
        </w:tc>
        <w:tc>
          <w:tcPr>
            <w:vAlign w:val="center"/>
          </w:tcPr>
          <w:p>
            <w:pPr>
              <w:jc w:val="center"/>
            </w:pPr>
            <w:r>
              <w:rPr>
                <w:rFonts w:asciiTheme="minorEastAsia" w:eastAsiaTheme="minorEastAsia" w:hAnsiTheme="minorEastAsia"/>
                <w:color w:themeColor="text1" w:val="000000"/>
                <w:kern w:val="0"/>
              </w:rPr>
              <w:t>1.77%</w:t>
            </w:r>
          </w:p>
        </w:tc>
        <w:tc>
          <w:tcPr>
            <w:vAlign w:val="center"/>
          </w:tcPr>
          <w:p>
            <w:pPr>
              <w:jc w:val="center"/>
            </w:pPr>
            <w:r>
              <w:rPr>
                <w:rFonts w:asciiTheme="minorEastAsia" w:eastAsiaTheme="minorEastAsia" w:hAnsiTheme="minorEastAsia"/>
                <w:color w:themeColor="text1" w:val="000000"/>
                <w:kern w:val="0"/>
              </w:rPr>
              <w:t>96.45%</w:t>
            </w:r>
          </w:p>
        </w:tc>
        <w:tc>
          <w:tcPr>
            <w:vAlign w:val="center"/>
          </w:tcPr>
          <w:p>
            <w:pPr>
              <w:jc w:val="center"/>
            </w:pPr>
            <w:r>
              <w:rPr>
                <w:rFonts w:asciiTheme="minorEastAsia" w:eastAsiaTheme="minorEastAsia" w:hAnsiTheme="minorEastAsia"/>
                <w:color w:themeColor="text1" w:val="000000"/>
                <w:kern w:val="0"/>
              </w:rPr>
              <w:t>1.18%</w:t>
            </w:r>
          </w:p>
        </w:tc>
        <w:tc>
          <w:tcPr>
            <w:vAlign w:val="center"/>
          </w:tcPr>
          <w:p>
            <w:pPr>
              <w:jc w:val="center"/>
            </w:pPr>
            <w:r>
              <w:rPr>
                <w:rFonts w:asciiTheme="minorEastAsia" w:eastAsiaTheme="minorEastAsia" w:hAnsiTheme="minorEastAsia"/>
                <w:color w:themeColor="text1" w:val="000000"/>
                <w:kern w:val="0"/>
              </w:rPr>
              <w:t>121.56%</w:t>
            </w:r>
          </w:p>
        </w:tc>
        <w:tc>
          <w:tcPr>
            <w:vAlign w:val="center"/>
          </w:tcPr>
          <w:p>
            <w:pPr>
              <w:jc w:val="center"/>
            </w:pPr>
            <w:r>
              <w:rPr>
                <w:rFonts w:asciiTheme="minorEastAsia" w:eastAsiaTheme="minorEastAsia" w:hAnsiTheme="minorEastAsia"/>
                <w:color w:themeColor="text1" w:val="000000"/>
                <w:kern w:val="0"/>
              </w:rPr>
              <w:t>0.59%</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上投摩根转型动力灵活配置混合型证券投资基金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2013年11月25日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2020年12月31日)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注：本基金建仓期自2013年11月25日至2014年5月24日，建仓期结束时资产配置比例符合本基金基金合同规定。本基金合同生效日为2013年11月25日， 图示时间段为2013年11月25日至2020年12月31日。</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张富盛</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2018-03-02</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11年</w:t>
            </w:r>
          </w:p>
        </w:tc>
        <w:tc>
          <w:tcPr>
            <w:vAlign w:val="center"/>
          </w:tcPr>
          <w:p>
            <w:pPr>
              <w:jc w:val="both"/>
            </w:pPr>
            <w:r>
              <w:rPr>
                <w:rFonts w:asciiTheme="minorEastAsia" w:eastAsiaTheme="minorEastAsia" w:hAnsiTheme="minorEastAsia"/>
                <w:color w:themeColor="text1" w:val="000000"/>
              </w:rPr>
              <w:t>张富盛先生，上海交通大学金融学学士，自2007年8月至2010年3月，在德勤华永会计师事务所担任高级税务咨询；自2010年3月至2011年2月，在中国国际金融有限公司担任分析师；自2011年2月至2015年8月在北京高华证券有限责任公司担任投资研究部经理；自2015年8月起加入上投摩根基金管理有限公司，历任行业专家、基金经理助理、基金经理。自2018年3月起担任上投摩根转型动力灵活配置混合型证券投资基金基金经理，自2019年1月起同时担任上投摩根动力精选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转型动力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中国经济在2020年四季度持续复苏，出口表现强劲，制造业投资增速进一步回升；但货币政策上开始逐步回收超额流动性。A股市场总体表现分化：顺周期、新能源和国防军工板块表现强劲，而中小市值个股在流动性边际下降趋势中下跌较多。四季度沪深300指数上涨13.6%，创业板指数上涨15.21%。本基金继续以中国经济转型为出发点，从中长期角度投资业绩持续增长的优质龙头公司，从产业发展趋势挖掘景气度向上行业的个股。</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2021年一季度，我们认为国内经济将继续保持复苏，流动性仍适度宽松，权益市场整体谨慎乐观；潜在风险还是流动性的收紧幅度超出预期，以及进入冬季后新冠疫情出现反复的可能性。我们将保持均衡成长配置，继续深入研究产业和挖掘业绩持续高增长的优质个股。具体看好新能源（包括光伏和电动车）、科技制造、医药和消费等板块。新能源板块方面，碳中和有望给行业中长期发展带来巨大空间，碳排放中占比最大的两块即是电力和交通，非化石能源占一次能源消费比例的提升有望推动光伏发电产业高速成长。电动车是我们一直重点跟踪的板块，成本下降及智能化趋势推动C端消费者接受度不断提升，产业发展迎来拐点；我们重点关注电动车产业链，以及优质动力电池及材料细分赛道的龙头公司。医药领域，人口和老龄化趋势使得中国的医药需求空间不断扩大，我们关注持续增加研发投入和具有高壁垒的创新性公司。消费板块方面，我们继续关注中国的消费升级趋势，品牌类产品和平台类商业模式将更受益。总体来说，我们注重公司的持续成长性，继续深入挖掘优质个股，力争为基金持有人创造持续稳定收益。</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本报告期上投摩根转型动力混合份额净值增长率为:19.91%，同期业绩比较基准收益率为:11.09%。</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525,774,585.92</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85.54</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525,774,585.92</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85.54</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81,977,832.68</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13.34</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6,927,063.93</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1.13</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614,679,482.53</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7,170,000.00</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1.20</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380,072,111.50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63.82</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29,180.84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15,687,558.69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2.63</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5,892,530.41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0.99</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34,495,151.11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5.79</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8,975.14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50,472,685.20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8.47</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31,882,722.16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5.35</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29,089.96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0.00</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34,580.91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0.01</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525,774,585.92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88.28</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178,696</w:t>
            </w:r>
          </w:p>
        </w:tc>
        <w:tc>
          <w:tcPr>
            <w:vAlign w:val="center"/>
          </w:tcPr>
          <w:p>
            <w:pPr>
              <w:jc w:val="right"/>
            </w:pPr>
            <w:r>
              <w:rPr>
                <w:rFonts w:asciiTheme="minorEastAsia" w:cs="宋体" w:eastAsiaTheme="minorEastAsia" w:hAnsiTheme="minorEastAsia"/>
                <w:color w:themeColor="text1" w:val="000000"/>
                <w:kern w:val="0"/>
              </w:rPr>
              <w:t>50,472,685.20</w:t>
            </w:r>
          </w:p>
        </w:tc>
        <w:tc>
          <w:tcPr>
            <w:vAlign w:val="center"/>
          </w:tcPr>
          <w:p>
            <w:pPr>
              <w:jc w:val="right"/>
            </w:pPr>
            <w:r>
              <w:rPr>
                <w:rFonts w:asciiTheme="minorEastAsia" w:cs="宋体" w:eastAsiaTheme="minorEastAsia" w:hAnsiTheme="minorEastAsia"/>
                <w:color w:themeColor="text1" w:val="000000"/>
                <w:kern w:val="0"/>
              </w:rPr>
              <w:t>8.47</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300750</w:t>
            </w:r>
          </w:p>
        </w:tc>
        <w:tc>
          <w:tcPr>
            <w:vAlign w:val="center"/>
          </w:tcPr>
          <w:p>
            <w:pPr>
              <w:jc w:val="center"/>
            </w:pPr>
            <w:r>
              <w:rPr>
                <w:rFonts w:asciiTheme="minorEastAsia" w:cs="宋体" w:eastAsiaTheme="minorEastAsia" w:hAnsiTheme="minorEastAsia"/>
                <w:color w:themeColor="text1" w:val="000000"/>
                <w:kern w:val="0"/>
              </w:rPr>
              <w:t>宁德时代</w:t>
            </w:r>
          </w:p>
        </w:tc>
        <w:tc>
          <w:tcPr>
            <w:vAlign w:val="center"/>
          </w:tcPr>
          <w:p>
            <w:pPr>
              <w:jc w:val="right"/>
            </w:pPr>
            <w:r>
              <w:rPr>
                <w:rFonts w:asciiTheme="minorEastAsia" w:cs="宋体" w:eastAsiaTheme="minorEastAsia" w:hAnsiTheme="minorEastAsia"/>
                <w:color w:themeColor="text1" w:val="000000"/>
                <w:kern w:val="0"/>
              </w:rPr>
              <w:t>115,754</w:t>
            </w:r>
          </w:p>
        </w:tc>
        <w:tc>
          <w:tcPr>
            <w:vAlign w:val="center"/>
          </w:tcPr>
          <w:p>
            <w:pPr>
              <w:jc w:val="right"/>
            </w:pPr>
            <w:r>
              <w:rPr>
                <w:rFonts w:asciiTheme="minorEastAsia" w:cs="宋体" w:eastAsiaTheme="minorEastAsia" w:hAnsiTheme="minorEastAsia"/>
                <w:color w:themeColor="text1" w:val="000000"/>
                <w:kern w:val="0"/>
              </w:rPr>
              <w:t>40,642,386.94</w:t>
            </w:r>
          </w:p>
        </w:tc>
        <w:tc>
          <w:tcPr>
            <w:vAlign w:val="center"/>
          </w:tcPr>
          <w:p>
            <w:pPr>
              <w:jc w:val="right"/>
            </w:pPr>
            <w:r>
              <w:rPr>
                <w:rFonts w:asciiTheme="minorEastAsia" w:cs="宋体" w:eastAsiaTheme="minorEastAsia" w:hAnsiTheme="minorEastAsia"/>
                <w:color w:themeColor="text1" w:val="000000"/>
                <w:kern w:val="0"/>
              </w:rPr>
              <w:t>6.82</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601689</w:t>
            </w:r>
          </w:p>
        </w:tc>
        <w:tc>
          <w:tcPr>
            <w:vAlign w:val="center"/>
          </w:tcPr>
          <w:p>
            <w:pPr>
              <w:jc w:val="center"/>
            </w:pPr>
            <w:r>
              <w:rPr>
                <w:rFonts w:asciiTheme="minorEastAsia" w:cs="宋体" w:eastAsiaTheme="minorEastAsia" w:hAnsiTheme="minorEastAsia"/>
                <w:color w:themeColor="text1" w:val="000000"/>
                <w:kern w:val="0"/>
              </w:rPr>
              <w:t>拓普集团</w:t>
            </w:r>
          </w:p>
        </w:tc>
        <w:tc>
          <w:tcPr>
            <w:vAlign w:val="center"/>
          </w:tcPr>
          <w:p>
            <w:pPr>
              <w:jc w:val="right"/>
            </w:pPr>
            <w:r>
              <w:rPr>
                <w:rFonts w:asciiTheme="minorEastAsia" w:cs="宋体" w:eastAsiaTheme="minorEastAsia" w:hAnsiTheme="minorEastAsia"/>
                <w:color w:themeColor="text1" w:val="000000"/>
                <w:kern w:val="0"/>
              </w:rPr>
              <w:t>999,077</w:t>
            </w:r>
          </w:p>
        </w:tc>
        <w:tc>
          <w:tcPr>
            <w:vAlign w:val="center"/>
          </w:tcPr>
          <w:p>
            <w:pPr>
              <w:jc w:val="right"/>
            </w:pPr>
            <w:r>
              <w:rPr>
                <w:rFonts w:asciiTheme="minorEastAsia" w:cs="宋体" w:eastAsiaTheme="minorEastAsia" w:hAnsiTheme="minorEastAsia"/>
                <w:color w:themeColor="text1" w:val="000000"/>
                <w:kern w:val="0"/>
              </w:rPr>
              <w:t>38,394,529.11</w:t>
            </w:r>
          </w:p>
        </w:tc>
        <w:tc>
          <w:tcPr>
            <w:vAlign w:val="center"/>
          </w:tcPr>
          <w:p>
            <w:pPr>
              <w:jc w:val="right"/>
            </w:pPr>
            <w:r>
              <w:rPr>
                <w:rFonts w:asciiTheme="minorEastAsia" w:cs="宋体" w:eastAsiaTheme="minorEastAsia" w:hAnsiTheme="minorEastAsia"/>
                <w:color w:themeColor="text1" w:val="000000"/>
                <w:kern w:val="0"/>
              </w:rPr>
              <w:t>6.45</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300014</w:t>
            </w:r>
          </w:p>
        </w:tc>
        <w:tc>
          <w:tcPr>
            <w:vAlign w:val="center"/>
          </w:tcPr>
          <w:p>
            <w:pPr>
              <w:jc w:val="center"/>
            </w:pPr>
            <w:r>
              <w:rPr>
                <w:rFonts w:asciiTheme="minorEastAsia" w:cs="宋体" w:eastAsiaTheme="minorEastAsia" w:hAnsiTheme="minorEastAsia"/>
                <w:color w:themeColor="text1" w:val="000000"/>
                <w:kern w:val="0"/>
              </w:rPr>
              <w:t>亿纬锂能</w:t>
            </w:r>
          </w:p>
        </w:tc>
        <w:tc>
          <w:tcPr>
            <w:vAlign w:val="center"/>
          </w:tcPr>
          <w:p>
            <w:pPr>
              <w:jc w:val="right"/>
            </w:pPr>
            <w:r>
              <w:rPr>
                <w:rFonts w:asciiTheme="minorEastAsia" w:cs="宋体" w:eastAsiaTheme="minorEastAsia" w:hAnsiTheme="minorEastAsia"/>
                <w:color w:themeColor="text1" w:val="000000"/>
                <w:kern w:val="0"/>
              </w:rPr>
              <w:t>425,657</w:t>
            </w:r>
          </w:p>
        </w:tc>
        <w:tc>
          <w:tcPr>
            <w:vAlign w:val="center"/>
          </w:tcPr>
          <w:p>
            <w:pPr>
              <w:jc w:val="right"/>
            </w:pPr>
            <w:r>
              <w:rPr>
                <w:rFonts w:asciiTheme="minorEastAsia" w:cs="宋体" w:eastAsiaTheme="minorEastAsia" w:hAnsiTheme="minorEastAsia"/>
                <w:color w:themeColor="text1" w:val="000000"/>
                <w:kern w:val="0"/>
              </w:rPr>
              <w:t>34,691,045.50</w:t>
            </w:r>
          </w:p>
        </w:tc>
        <w:tc>
          <w:tcPr>
            <w:vAlign w:val="center"/>
          </w:tcPr>
          <w:p>
            <w:pPr>
              <w:jc w:val="right"/>
            </w:pPr>
            <w:r>
              <w:rPr>
                <w:rFonts w:asciiTheme="minorEastAsia" w:cs="宋体" w:eastAsiaTheme="minorEastAsia" w:hAnsiTheme="minorEastAsia"/>
                <w:color w:themeColor="text1" w:val="000000"/>
                <w:kern w:val="0"/>
              </w:rPr>
              <w:t>5.82</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603259</w:t>
            </w:r>
          </w:p>
        </w:tc>
        <w:tc>
          <w:tcPr>
            <w:vAlign w:val="center"/>
          </w:tcPr>
          <w:p>
            <w:pPr>
              <w:jc w:val="center"/>
            </w:pPr>
            <w:r>
              <w:rPr>
                <w:rFonts w:asciiTheme="minorEastAsia" w:cs="宋体" w:eastAsiaTheme="minorEastAsia" w:hAnsiTheme="minorEastAsia"/>
                <w:color w:themeColor="text1" w:val="000000"/>
                <w:kern w:val="0"/>
              </w:rPr>
              <w:t>药明康德</w:t>
            </w:r>
          </w:p>
        </w:tc>
        <w:tc>
          <w:tcPr>
            <w:vAlign w:val="center"/>
          </w:tcPr>
          <w:p>
            <w:pPr>
              <w:jc w:val="right"/>
            </w:pPr>
            <w:r>
              <w:rPr>
                <w:rFonts w:asciiTheme="minorEastAsia" w:cs="宋体" w:eastAsiaTheme="minorEastAsia" w:hAnsiTheme="minorEastAsia"/>
                <w:color w:themeColor="text1" w:val="000000"/>
                <w:kern w:val="0"/>
              </w:rPr>
              <w:t>236,543</w:t>
            </w:r>
          </w:p>
        </w:tc>
        <w:tc>
          <w:tcPr>
            <w:vAlign w:val="center"/>
          </w:tcPr>
          <w:p>
            <w:pPr>
              <w:jc w:val="right"/>
            </w:pPr>
            <w:r>
              <w:rPr>
                <w:rFonts w:asciiTheme="minorEastAsia" w:cs="宋体" w:eastAsiaTheme="minorEastAsia" w:hAnsiTheme="minorEastAsia"/>
                <w:color w:themeColor="text1" w:val="000000"/>
                <w:kern w:val="0"/>
              </w:rPr>
              <w:t>31,867,072.96</w:t>
            </w:r>
          </w:p>
        </w:tc>
        <w:tc>
          <w:tcPr>
            <w:vAlign w:val="center"/>
          </w:tcPr>
          <w:p>
            <w:pPr>
              <w:jc w:val="right"/>
            </w:pPr>
            <w:r>
              <w:rPr>
                <w:rFonts w:asciiTheme="minorEastAsia" w:cs="宋体" w:eastAsiaTheme="minorEastAsia" w:hAnsiTheme="minorEastAsia"/>
                <w:color w:themeColor="text1" w:val="000000"/>
                <w:kern w:val="0"/>
              </w:rPr>
              <w:t>5.35</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002475</w:t>
            </w:r>
          </w:p>
        </w:tc>
        <w:tc>
          <w:tcPr>
            <w:vAlign w:val="center"/>
          </w:tcPr>
          <w:p>
            <w:pPr>
              <w:jc w:val="center"/>
            </w:pPr>
            <w:r>
              <w:rPr>
                <w:rFonts w:asciiTheme="minorEastAsia" w:cs="宋体" w:eastAsiaTheme="minorEastAsia" w:hAnsiTheme="minorEastAsia"/>
                <w:color w:themeColor="text1" w:val="000000"/>
                <w:kern w:val="0"/>
              </w:rPr>
              <w:t>立讯精密</w:t>
            </w:r>
          </w:p>
        </w:tc>
        <w:tc>
          <w:tcPr>
            <w:vAlign w:val="center"/>
          </w:tcPr>
          <w:p>
            <w:pPr>
              <w:jc w:val="right"/>
            </w:pPr>
            <w:r>
              <w:rPr>
                <w:rFonts w:asciiTheme="minorEastAsia" w:cs="宋体" w:eastAsiaTheme="minorEastAsia" w:hAnsiTheme="minorEastAsia"/>
                <w:color w:themeColor="text1" w:val="000000"/>
                <w:kern w:val="0"/>
              </w:rPr>
              <w:t>537,210</w:t>
            </w:r>
          </w:p>
        </w:tc>
        <w:tc>
          <w:tcPr>
            <w:vAlign w:val="center"/>
          </w:tcPr>
          <w:p>
            <w:pPr>
              <w:jc w:val="right"/>
            </w:pPr>
            <w:r>
              <w:rPr>
                <w:rFonts w:asciiTheme="minorEastAsia" w:cs="宋体" w:eastAsiaTheme="minorEastAsia" w:hAnsiTheme="minorEastAsia"/>
                <w:color w:themeColor="text1" w:val="000000"/>
                <w:kern w:val="0"/>
              </w:rPr>
              <w:t>30,148,225.20</w:t>
            </w:r>
          </w:p>
        </w:tc>
        <w:tc>
          <w:tcPr>
            <w:vAlign w:val="center"/>
          </w:tcPr>
          <w:p>
            <w:pPr>
              <w:jc w:val="right"/>
            </w:pPr>
            <w:r>
              <w:rPr>
                <w:rFonts w:asciiTheme="minorEastAsia" w:cs="宋体" w:eastAsiaTheme="minorEastAsia" w:hAnsiTheme="minorEastAsia"/>
                <w:color w:themeColor="text1" w:val="000000"/>
                <w:kern w:val="0"/>
              </w:rPr>
              <w:t>5.06</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600519</w:t>
            </w:r>
          </w:p>
        </w:tc>
        <w:tc>
          <w:tcPr>
            <w:vAlign w:val="center"/>
          </w:tcPr>
          <w:p>
            <w:pPr>
              <w:jc w:val="center"/>
            </w:pPr>
            <w:r>
              <w:rPr>
                <w:rFonts w:asciiTheme="minorEastAsia" w:cs="宋体" w:eastAsiaTheme="minorEastAsia" w:hAnsiTheme="minorEastAsia"/>
                <w:color w:themeColor="text1" w:val="000000"/>
                <w:kern w:val="0"/>
              </w:rPr>
              <w:t>贵州茅台</w:t>
            </w:r>
          </w:p>
        </w:tc>
        <w:tc>
          <w:tcPr>
            <w:vAlign w:val="center"/>
          </w:tcPr>
          <w:p>
            <w:pPr>
              <w:jc w:val="right"/>
            </w:pPr>
            <w:r>
              <w:rPr>
                <w:rFonts w:asciiTheme="minorEastAsia" w:cs="宋体" w:eastAsiaTheme="minorEastAsia" w:hAnsiTheme="minorEastAsia"/>
                <w:color w:themeColor="text1" w:val="000000"/>
                <w:kern w:val="0"/>
              </w:rPr>
              <w:t>14,300</w:t>
            </w:r>
          </w:p>
        </w:tc>
        <w:tc>
          <w:tcPr>
            <w:vAlign w:val="center"/>
          </w:tcPr>
          <w:p>
            <w:pPr>
              <w:jc w:val="right"/>
            </w:pPr>
            <w:r>
              <w:rPr>
                <w:rFonts w:asciiTheme="minorEastAsia" w:cs="宋体" w:eastAsiaTheme="minorEastAsia" w:hAnsiTheme="minorEastAsia"/>
                <w:color w:themeColor="text1" w:val="000000"/>
                <w:kern w:val="0"/>
              </w:rPr>
              <w:t>28,571,400.00</w:t>
            </w:r>
          </w:p>
        </w:tc>
        <w:tc>
          <w:tcPr>
            <w:vAlign w:val="center"/>
          </w:tcPr>
          <w:p>
            <w:pPr>
              <w:jc w:val="right"/>
            </w:pPr>
            <w:r>
              <w:rPr>
                <w:rFonts w:asciiTheme="minorEastAsia" w:cs="宋体" w:eastAsiaTheme="minorEastAsia" w:hAnsiTheme="minorEastAsia"/>
                <w:color w:themeColor="text1" w:val="000000"/>
                <w:kern w:val="0"/>
              </w:rPr>
              <w:t>4.80</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600438</w:t>
            </w:r>
          </w:p>
        </w:tc>
        <w:tc>
          <w:tcPr>
            <w:vAlign w:val="center"/>
          </w:tcPr>
          <w:p>
            <w:pPr>
              <w:jc w:val="center"/>
            </w:pPr>
            <w:r>
              <w:rPr>
                <w:rFonts w:asciiTheme="minorEastAsia" w:cs="宋体" w:eastAsiaTheme="minorEastAsia" w:hAnsiTheme="minorEastAsia"/>
                <w:color w:themeColor="text1" w:val="000000"/>
                <w:kern w:val="0"/>
              </w:rPr>
              <w:t>通威股份</w:t>
            </w:r>
          </w:p>
        </w:tc>
        <w:tc>
          <w:tcPr>
            <w:vAlign w:val="center"/>
          </w:tcPr>
          <w:p>
            <w:pPr>
              <w:jc w:val="right"/>
            </w:pPr>
            <w:r>
              <w:rPr>
                <w:rFonts w:asciiTheme="minorEastAsia" w:cs="宋体" w:eastAsiaTheme="minorEastAsia" w:hAnsiTheme="minorEastAsia"/>
                <w:color w:themeColor="text1" w:val="000000"/>
                <w:kern w:val="0"/>
              </w:rPr>
              <w:t>699,239</w:t>
            </w:r>
          </w:p>
        </w:tc>
        <w:tc>
          <w:tcPr>
            <w:vAlign w:val="center"/>
          </w:tcPr>
          <w:p>
            <w:pPr>
              <w:jc w:val="right"/>
            </w:pPr>
            <w:r>
              <w:rPr>
                <w:rFonts w:asciiTheme="minorEastAsia" w:cs="宋体" w:eastAsiaTheme="minorEastAsia" w:hAnsiTheme="minorEastAsia"/>
                <w:color w:themeColor="text1" w:val="000000"/>
                <w:kern w:val="0"/>
              </w:rPr>
              <w:t>26,878,747.16</w:t>
            </w:r>
          </w:p>
        </w:tc>
        <w:tc>
          <w:tcPr>
            <w:vAlign w:val="center"/>
          </w:tcPr>
          <w:p>
            <w:pPr>
              <w:jc w:val="right"/>
            </w:pPr>
            <w:r>
              <w:rPr>
                <w:rFonts w:asciiTheme="minorEastAsia" w:cs="宋体" w:eastAsiaTheme="minorEastAsia" w:hAnsiTheme="minorEastAsia"/>
                <w:color w:themeColor="text1" w:val="000000"/>
                <w:kern w:val="0"/>
              </w:rPr>
              <w:t>4.51</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300760</w:t>
            </w:r>
          </w:p>
        </w:tc>
        <w:tc>
          <w:tcPr>
            <w:vAlign w:val="center"/>
          </w:tcPr>
          <w:p>
            <w:pPr>
              <w:jc w:val="center"/>
            </w:pPr>
            <w:r>
              <w:rPr>
                <w:rFonts w:asciiTheme="minorEastAsia" w:cs="宋体" w:eastAsiaTheme="minorEastAsia" w:hAnsiTheme="minorEastAsia"/>
                <w:color w:themeColor="text1" w:val="000000"/>
                <w:kern w:val="0"/>
              </w:rPr>
              <w:t>迈瑞医疗</w:t>
            </w:r>
          </w:p>
        </w:tc>
        <w:tc>
          <w:tcPr>
            <w:vAlign w:val="center"/>
          </w:tcPr>
          <w:p>
            <w:pPr>
              <w:jc w:val="right"/>
            </w:pPr>
            <w:r>
              <w:rPr>
                <w:rFonts w:asciiTheme="minorEastAsia" w:cs="宋体" w:eastAsiaTheme="minorEastAsia" w:hAnsiTheme="minorEastAsia"/>
                <w:color w:themeColor="text1" w:val="000000"/>
                <w:kern w:val="0"/>
              </w:rPr>
              <w:t>43,122</w:t>
            </w:r>
          </w:p>
        </w:tc>
        <w:tc>
          <w:tcPr>
            <w:vAlign w:val="center"/>
          </w:tcPr>
          <w:p>
            <w:pPr>
              <w:jc w:val="right"/>
            </w:pPr>
            <w:r>
              <w:rPr>
                <w:rFonts w:asciiTheme="minorEastAsia" w:cs="宋体" w:eastAsiaTheme="minorEastAsia" w:hAnsiTheme="minorEastAsia"/>
                <w:color w:themeColor="text1" w:val="000000"/>
                <w:kern w:val="0"/>
              </w:rPr>
              <w:t>18,369,972.00</w:t>
            </w:r>
          </w:p>
        </w:tc>
        <w:tc>
          <w:tcPr>
            <w:vAlign w:val="center"/>
          </w:tcPr>
          <w:p>
            <w:pPr>
              <w:jc w:val="right"/>
            </w:pPr>
            <w:r>
              <w:rPr>
                <w:rFonts w:asciiTheme="minorEastAsia" w:cs="宋体" w:eastAsiaTheme="minorEastAsia" w:hAnsiTheme="minorEastAsia"/>
                <w:color w:themeColor="text1" w:val="000000"/>
                <w:kern w:val="0"/>
              </w:rPr>
              <w:t>3.08</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603799</w:t>
            </w:r>
          </w:p>
        </w:tc>
        <w:tc>
          <w:tcPr>
            <w:vAlign w:val="center"/>
          </w:tcPr>
          <w:p>
            <w:pPr>
              <w:jc w:val="center"/>
            </w:pPr>
            <w:r>
              <w:rPr>
                <w:rFonts w:asciiTheme="minorEastAsia" w:cs="宋体" w:eastAsiaTheme="minorEastAsia" w:hAnsiTheme="minorEastAsia"/>
                <w:color w:themeColor="text1" w:val="000000"/>
                <w:kern w:val="0"/>
              </w:rPr>
              <w:t>华友钴业</w:t>
            </w:r>
          </w:p>
        </w:tc>
        <w:tc>
          <w:tcPr>
            <w:vAlign w:val="center"/>
          </w:tcPr>
          <w:p>
            <w:pPr>
              <w:jc w:val="right"/>
            </w:pPr>
            <w:r>
              <w:rPr>
                <w:rFonts w:asciiTheme="minorEastAsia" w:cs="宋体" w:eastAsiaTheme="minorEastAsia" w:hAnsiTheme="minorEastAsia"/>
                <w:color w:themeColor="text1" w:val="000000"/>
                <w:kern w:val="0"/>
              </w:rPr>
              <w:t>226,178</w:t>
            </w:r>
          </w:p>
        </w:tc>
        <w:tc>
          <w:tcPr>
            <w:vAlign w:val="center"/>
          </w:tcPr>
          <w:p>
            <w:pPr>
              <w:jc w:val="right"/>
            </w:pPr>
            <w:r>
              <w:rPr>
                <w:rFonts w:asciiTheme="minorEastAsia" w:cs="宋体" w:eastAsiaTheme="minorEastAsia" w:hAnsiTheme="minorEastAsia"/>
                <w:color w:themeColor="text1" w:val="000000"/>
                <w:kern w:val="0"/>
              </w:rPr>
              <w:t>17,935,915.40</w:t>
            </w:r>
          </w:p>
        </w:tc>
        <w:tc>
          <w:tcPr>
            <w:vAlign w:val="center"/>
          </w:tcPr>
          <w:p>
            <w:pPr>
              <w:jc w:val="right"/>
            </w:pPr>
            <w:r>
              <w:rPr>
                <w:rFonts w:asciiTheme="minorEastAsia" w:cs="宋体" w:eastAsiaTheme="minorEastAsia" w:hAnsiTheme="minorEastAsia"/>
                <w:color w:themeColor="text1" w:val="000000"/>
                <w:kern w:val="0"/>
              </w:rPr>
              <w:t>3.01</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291,242.70</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6,474,854.15</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9,835.53</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151,131.55</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6,927,063.93</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227,106,826.89</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9,613,523.74</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49,441,661.28</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187,278,689.35</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33A50992"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影响投资者决策的其他重要信息</w:t>
      </w:r>
    </w:p>
    <w:p w14:paraId="5D6D0054" w14:textId="77777777" w:rsidR="00D06738" w:rsidRDefault="00454D20">
      <w:pPr>
        <w:autoSpaceDE w:val="0"/>
        <w:autoSpaceDN w:val="0"/>
        <w:adjustRightInd w:val="0"/>
        <w:spacing w:line="360" w:lineRule="auto"/>
        <w:jc w:val="left"/>
        <w:rPr>
          <w:rFonts w:ascii="宋体" w:hAnsi="宋体"/>
          <w:b/>
          <w:bCs/>
          <w:color w:val="000000"/>
          <w:kern w:val="0"/>
          <w:sz w:val="24"/>
          <w:szCs w:val="24"/>
        </w:rPr>
      </w:pPr>
      <w:r>
        <w:rPr>
          <w:rFonts w:ascii="宋体" w:hAnsi="宋体"/>
          <w:b/>
          <w:color w:val="000000"/>
          <w:kern w:val="0"/>
          <w:sz w:val="24"/>
          <w:szCs w:val="24"/>
        </w:rPr>
        <w:t/>
      </w:r>
      <w:proofErr w:type="spellStart"/>
      <w:r>
        <w:rPr>
          <w:rFonts w:ascii="宋体" w:hAnsi="宋体"/>
          <w:b/>
          <w:color w:val="000000"/>
          <w:kern w:val="0"/>
          <w:sz w:val="24"/>
          <w:szCs w:val="24"/>
        </w:rPr>
        <w:t/>
      </w:r>
      <w:proofErr w:type="gramStart"/>
      <w:r>
        <w:rPr>
          <w:rFonts w:ascii="宋体" w:hAnsi="宋体"/>
          <w:b/>
          <w:color w:val="000000"/>
          <w:kern w:val="0"/>
          <w:sz w:val="24"/>
          <w:szCs w:val="24"/>
        </w:rPr>
        <w:t/>
      </w:r>
      <w:proofErr w:type="spellEnd"/>
      <w:r>
        <w:rPr>
          <w:rFonts w:ascii="宋体" w:hAnsi="宋体"/>
          <w:b/>
          <w:color w:val="000000"/>
          <w:kern w:val="0"/>
          <w:sz w:val="24"/>
          <w:szCs w:val="24"/>
        </w:rPr>
        <w:t/>
      </w:r>
      <w:r>
        <w:rPr>
          <w:rFonts w:ascii="宋体" w:hAnsi="宋体"/>
          <w:b/>
          <w:bCs/>
          <w:color w:val="000000"/>
          <w:kern w:val="0"/>
          <w:sz w:val="24"/>
          <w:szCs w:val="24"/>
        </w:rPr>
        <w:t/>
      </w:r>
      <w:proofErr w:type="gramEnd"/>
      <w:r>
        <w:rPr>
          <w:rFonts w:ascii="宋体" w:hAnsi="宋体"/>
          <w:b/>
          <w:bCs/>
          <w:color w:val="000000"/>
          <w:kern w:val="0"/>
          <w:sz w:val="24"/>
          <w:szCs w:val="24"/>
        </w:rPr>
        <w:t>8.</w:t>
      </w:r>
      <w:r>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6DA9C89A" w14:textId="77777777" w:rsidR="00D06738">
        <w:tc>
          <w:tcPr>
            <w:tcW w:type="dxa" w:w="993"/>
            <w:vMerge w:val="restart"/>
            <w:vAlign w:val="center"/>
          </w:tcPr>
          <w:p w14:paraId="39B26BA3"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lastRenderedPageBreak/>
              <w:t>投资者类别</w:t>
            </w:r>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xml:space="preserve">  </w:t>
            </w:r>
          </w:p>
        </w:tc>
        <w:tc>
          <w:tcPr>
            <w:tcW w:type="dxa" w:w="5670"/>
            <w:gridSpan w:val="5"/>
            <w:vAlign w:val="center"/>
          </w:tcPr>
          <w:p w14:paraId="0CD80CE2"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type="dxa" w:w="2549"/>
            <w:gridSpan w:val="2"/>
            <w:vAlign w:val="center"/>
          </w:tcPr>
          <w:p w14:paraId="5772E43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14:paraId="217CE8FE" w14:textId="77777777" w:rsidR="00D06738">
        <w:tc>
          <w:tcPr>
            <w:tcW w:type="dxa" w:w="993"/>
            <w:vMerge/>
            <w:vAlign w:val="center"/>
          </w:tcPr>
          <w:p w14:paraId="2581A5BF" w14:textId="77777777" w:rsidR="00D06738" w:rsidRDefault="00D06738">
            <w:pPr>
              <w:autoSpaceDE w:val="0"/>
              <w:autoSpaceDN w:val="0"/>
              <w:adjustRightInd w:val="0"/>
              <w:jc w:val="center"/>
              <w:rPr>
                <w:rFonts w:ascii="宋体" w:hAnsi="宋体"/>
                <w:b/>
                <w:bCs/>
                <w:color w:val="000000"/>
                <w:kern w:val="0"/>
              </w:rPr>
            </w:pPr>
          </w:p>
        </w:tc>
        <w:tc>
          <w:tcPr>
            <w:tcW w:type="dxa" w:w="992"/>
            <w:vAlign w:val="center"/>
          </w:tcPr>
          <w:p w14:paraId="79C05624"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type="dxa" w:w="1843"/>
            <w:vAlign w:val="center"/>
          </w:tcPr>
          <w:p w14:paraId="62B5A76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持有基金份额比例达到或者超过20%的时间区间</w:t>
            </w:r>
          </w:p>
        </w:tc>
        <w:tc>
          <w:tcPr>
            <w:tcW w:type="dxa" w:w="851"/>
            <w:vAlign w:val="center"/>
          </w:tcPr>
          <w:p w14:paraId="6DE3EBDD" w14:textId="77777777" w:rsidR="00D06738" w:rsidRDefault="00454D20">
            <w:pPr>
              <w:widowControl/>
              <w:jc w:val="center"/>
              <w:rPr>
                <w:rFonts w:ascii="宋体" w:hAnsi="宋体"/>
                <w:b/>
                <w:bCs/>
                <w:color w:val="000000"/>
                <w:kern w:val="0"/>
              </w:rPr>
            </w:pPr>
            <w:r>
              <w:rPr>
                <w:rFonts w:ascii="宋体" w:hAnsi="宋体" w:hint="eastAsia"/>
                <w:color w:val="000000"/>
                <w:kern w:val="0"/>
              </w:rPr>
              <w:t>期初份额</w:t>
            </w:r>
          </w:p>
        </w:tc>
        <w:tc>
          <w:tcPr>
            <w:tcW w:type="dxa" w:w="850"/>
            <w:vAlign w:val="center"/>
          </w:tcPr>
          <w:p w14:paraId="5BDC6822" w14:textId="77777777" w:rsidR="00D06738" w:rsidRDefault="00454D20">
            <w:pPr>
              <w:widowControl/>
              <w:jc w:val="center"/>
              <w:rPr>
                <w:rFonts w:ascii="宋体" w:hAnsi="宋体"/>
                <w:b/>
                <w:bCs/>
                <w:color w:val="000000"/>
                <w:kern w:val="0"/>
              </w:rPr>
            </w:pPr>
            <w:r>
              <w:rPr>
                <w:rFonts w:ascii="宋体" w:hAnsi="宋体" w:hint="eastAsia"/>
                <w:color w:val="000000"/>
                <w:kern w:val="0"/>
              </w:rPr>
              <w:t>申购份额</w:t>
            </w:r>
          </w:p>
        </w:tc>
        <w:tc>
          <w:tcPr>
            <w:tcW w:type="dxa" w:w="1134"/>
            <w:vAlign w:val="center"/>
          </w:tcPr>
          <w:p w14:paraId="3193BB17" w14:textId="77777777" w:rsidR="00D06738" w:rsidRDefault="00454D20">
            <w:pPr>
              <w:widowControl/>
              <w:jc w:val="center"/>
              <w:rPr>
                <w:rFonts w:ascii="宋体" w:hAnsi="宋体"/>
                <w:b/>
                <w:bCs/>
                <w:color w:val="000000"/>
                <w:kern w:val="0"/>
              </w:rPr>
            </w:pPr>
            <w:r>
              <w:rPr>
                <w:rFonts w:ascii="宋体" w:hAnsi="宋体" w:hint="eastAsia"/>
                <w:color w:val="000000"/>
                <w:kern w:val="0"/>
              </w:rPr>
              <w:t>赎回份额</w:t>
            </w:r>
          </w:p>
        </w:tc>
        <w:tc>
          <w:tcPr>
            <w:tcW w:type="dxa" w:w="1419"/>
            <w:vAlign w:val="center"/>
          </w:tcPr>
          <w:p w14:paraId="0B7D39ED"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type="dxa" w:w="1130"/>
            <w:vAlign w:val="center"/>
          </w:tcPr>
          <w:p w14:paraId="5E23E108"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tc>
          <w:tcPr>
            <w:vMerge w:val="restart"/>
            <w:vAlign w:val="center"/>
          </w:tcPr>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20201001-20201231</w:t>
            </w:r>
          </w:p>
        </w:tc>
        <w:tc>
          <w:tcPr>
            <w:vAlign w:val="center"/>
          </w:tcPr>
          <w:p>
            <w:pPr>
              <w:jc w:val="center"/>
            </w:pPr>
            <w:r>
              <w:rPr>
                <w:rFonts w:ascii="宋体" w:hAnsi="宋体"/>
                <w:color w:val="000000"/>
                <w:kern w:val="0"/>
              </w:rPr>
              <w:t>50,003,000.00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10,000,000.00</w:t>
            </w:r>
          </w:p>
        </w:tc>
        <w:tc>
          <w:tcPr>
            <w:vAlign w:val="center"/>
          </w:tcPr>
          <w:p>
            <w:pPr>
              <w:jc w:val="center"/>
            </w:pPr>
            <w:r>
              <w:rPr>
                <w:rFonts w:ascii="宋体" w:hAnsi="宋体"/>
                <w:color w:val="000000"/>
                <w:kern w:val="0"/>
              </w:rPr>
              <w:t>40,003,000.00</w:t>
            </w:r>
          </w:p>
        </w:tc>
        <w:tc>
          <w:tcPr>
            <w:vAlign w:val="center"/>
          </w:tcPr>
          <w:p>
            <w:pPr>
              <w:jc w:val="center"/>
            </w:pPr>
            <w:r>
              <w:rPr>
                <w:rFonts w:ascii="宋体" w:hAnsi="宋体"/>
                <w:color w:val="000000"/>
                <w:kern w:val="0"/>
              </w:rPr>
              <w:t>21.36%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79C2CD83" w14:textId="77777777" w:rsidR="00D06738">
        <w:tc>
          <w:tcPr>
            <w:tcW w:type="dxa" w:w="9212"/>
            <w:vAlign w:val="center"/>
          </w:tcPr>
          <w:p w14:paraId="3A2D5FD9" w14:textId="77777777" w:rsidR="00D06738" w:rsidRDefault="00454D20">
            <w:pPr>
              <w:autoSpaceDE w:val="0"/>
              <w:autoSpaceDN w:val="0"/>
              <w:adjustRightInd w:val="0"/>
              <w:jc w:val="center"/>
              <w:rPr>
                <w:rFonts w:ascii="宋体" w:hAnsi="宋体"/>
                <w:kern w:val="0"/>
              </w:rPr>
            </w:pPr>
            <w:r>
              <w:rPr>
                <w:rFonts w:ascii="宋体" w:hAnsi="宋体"/>
                <w:color w:val="000000"/>
                <w:kern w:val="0"/>
              </w:rPr>
              <w:t>产品特有风险</w:t>
            </w:r>
            <w:r>
              <w:rPr>
                <w:rFonts w:ascii="宋体" w:hAnsi="宋体"/>
                <w:kern w:val="0"/>
              </w:rPr>
              <w:t/>
            </w:r>
            <w:proofErr w:type="spellStart"/>
            <w:r>
              <w:rPr>
                <w:rFonts w:ascii="宋体" w:hAnsi="宋体" w:hint="eastAsia"/>
                <w:kern w:val="0"/>
              </w:rPr>
              <w:t/>
            </w:r>
            <w:proofErr w:type="spellEnd"/>
            <w:r>
              <w:rPr>
                <w:rFonts w:ascii="宋体" w:hAnsi="宋体"/>
                <w:kern w:val="0"/>
              </w:rPr>
              <w:t/>
            </w:r>
          </w:p>
        </w:tc>
      </w:tr>
      <w:tr w14:paraId="2BCA7469" w14:textId="77777777" w:rsidR="00D06738">
        <w:tc>
          <w:tcPr>
            <w:tcW w:type="dxa" w:w="9212"/>
            <w:vAlign w:val="center"/>
          </w:tcPr>
          <w:p w14:paraId="415317F2" w14:textId="77777777" w:rsidR="00D06738" w:rsidRDefault="00454D20">
            <w:pPr>
              <w:autoSpaceDE w:val="0"/>
              <w:autoSpaceDN w:val="0"/>
              <w:adjustRightInd w:val="0"/>
              <w:jc w:val="left"/>
              <w:rPr>
                <w:rFonts w:ascii="宋体" w:hAnsi="宋体"/>
                <w:kern w:val="0"/>
              </w:rPr>
            </w:pPr>
            <w:r>
              <w:rPr>
                <w:rFonts w:ascii="宋体" w:hAnsi="宋体" w:hint="eastAsia"/>
                <w:kern w:val="0"/>
              </w:rPr>
              <w:t/>
            </w:r>
            <w:r>
              <w:rPr>
                <w:rFonts w:ascii="宋体" w:hAnsi="宋体"/>
                <w:kern w:val="0"/>
              </w:rPr>
              <w:t/>
            </w:r>
            <w:proofErr w:type="gramStart"/>
            <w:r>
              <w:rPr>
                <w:rFonts w:ascii="宋体" w:hAnsi="宋体"/>
                <w:kern w:val="0"/>
              </w:rPr>
              <w:t/>
            </w:r>
            <w:r>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rPr>
              <w:t/>
            </w:r>
            <w:proofErr w:type="gramEnd"/>
            <w:r>
              <w:rPr>
                <w:rFonts w:ascii="宋体" w:hAnsi="宋体"/>
                <w:kern w:val="0"/>
              </w:rPr>
              <w:t/>
            </w:r>
          </w:p>
        </w:tc>
      </w:tr>
    </w:tbl>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§9</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1. 中国证监会批准上投摩根转型动力灵活配置混合型证券投资基金设立的文件；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2. 《上投摩根转型动力灵活配置混合型证券投资基金基金合同》；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3. 《上投摩根转型动力灵活配置混合型证券投资基金基金托管协议》；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4. 《上投摩根基金管理有限公司开放式基金业务规则》；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5. 基金管理人业务资格批件、营业执照； </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二〇二一年一月二十二日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上投摩根转型动力灵活配置混合型证券投资基金</w:t>
    </w:r>
    <w:proofErr w:type="spellStart"/>
    <w:proofErr w:type="gramEnd"/>
    <w:r>
      <w:rPr>
        <w:rFonts w:hint="eastAsia"/>
      </w:rPr>
      <w:t/>
    </w:r>
    <w:proofErr w:type="spellEnd"/>
    <w:r>
      <w:rPr>
        <w:rFonts w:hint="eastAsia"/>
      </w:rP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