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上投摩根转型动力灵活配置混合型证券投资基金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2020年第2季度报告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2020年6月30日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中国建设银行股份有限公司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二〇二〇年七月二十一日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基金托管人中国建设银行股份有限公司根据本基金合同规定，于2020年7月20日复核了本报告中的财务指标、净值表现和投资组合报告等内容，保证复核内容不存在虚假记载、误导性陈述或者重大遗漏。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本报告期自2020年4月1日起至6月30日止。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上投摩根转型动力混合</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000328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000328</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2013年11月25日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279,386,328.79</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通过投资于符合政策扶植和经济发展方向，具有长期发展潜力的上市公司，充分把握中国未来经济转型带来的投资机会，力争实现基金资产的长期稳健增值。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本基金将以经济转型作为行业配置和个股选择的主线，重点投资于受益于经济转型和政策扶持、具有良好基本面和持续成长能力的上市公司，力争实现基金资产的长期稳定增值。</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在行业配置层面，本基金将运用“自上而下”的方法，通过对国内外宏观经济、经济结构转型的方向、国家经济政策、产业政策导向的深入研究，挖掘受益于国家经济转型、具有较大成长空间的行业。在个股选择层面，本基金将主要采用“自下而上”的方法，在备选行业内部通过定量与定性相结合的分析方法，综合分析上市公司的业绩质量、成长性和估值水平等，精选具有良好成长性、估值合理的个股。</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沪深300指数收益率×80%+中债总指数收益率×20%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本基金属于混合型基金产品，预期风险和收益水平低于股票型基金，高于债券型基金和货币市场基金 ，属于较高风险收益水平的基金产品。</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中国建设银行股份有限公司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2020年4月1日-2020年6月30日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24,737,726.29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160,137,097.80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0.5465</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647,080,163.36</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2.316</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31.37%</w:t>
            </w:r>
          </w:p>
        </w:tc>
        <w:tc>
          <w:tcPr>
            <w:vAlign w:val="center"/>
          </w:tcPr>
          <w:p>
            <w:pPr>
              <w:jc w:val="center"/>
            </w:pPr>
            <w:r>
              <w:rPr>
                <w:rFonts w:asciiTheme="minorEastAsia" w:eastAsiaTheme="minorEastAsia" w:hAnsiTheme="minorEastAsia"/>
                <w:color w:themeColor="text1" w:val="000000"/>
                <w:kern w:val="0"/>
                <w:sz w:val="21"/>
              </w:rPr>
              <w:t>1.21%</w:t>
            </w:r>
          </w:p>
        </w:tc>
        <w:tc>
          <w:tcPr>
            <w:vAlign w:val="center"/>
          </w:tcPr>
          <w:p>
            <w:pPr>
              <w:jc w:val="center"/>
            </w:pPr>
            <w:r>
              <w:rPr>
                <w:rFonts w:asciiTheme="minorEastAsia" w:eastAsiaTheme="minorEastAsia" w:hAnsiTheme="minorEastAsia"/>
                <w:color w:themeColor="text1" w:val="000000"/>
                <w:kern w:val="0"/>
                <w:sz w:val="21"/>
              </w:rPr>
              <w:t>10.03%</w:t>
            </w:r>
          </w:p>
        </w:tc>
        <w:tc>
          <w:tcPr>
            <w:vAlign w:val="center"/>
          </w:tcPr>
          <w:p>
            <w:pPr>
              <w:jc w:val="center"/>
            </w:pPr>
            <w:r>
              <w:rPr>
                <w:rFonts w:asciiTheme="minorEastAsia" w:eastAsiaTheme="minorEastAsia" w:hAnsiTheme="minorEastAsia"/>
                <w:color w:themeColor="text1" w:val="000000"/>
                <w:kern w:val="0"/>
                <w:sz w:val="21"/>
              </w:rPr>
              <w:t>0.72%</w:t>
            </w:r>
          </w:p>
        </w:tc>
        <w:tc>
          <w:tcPr>
            <w:vAlign w:val="center"/>
          </w:tcPr>
          <w:p>
            <w:pPr>
              <w:jc w:val="center"/>
            </w:pPr>
            <w:r>
              <w:rPr>
                <w:rFonts w:asciiTheme="minorEastAsia" w:eastAsiaTheme="minorEastAsia" w:hAnsiTheme="minorEastAsia"/>
                <w:color w:themeColor="text1" w:val="000000"/>
                <w:kern w:val="0"/>
                <w:sz w:val="21"/>
              </w:rPr>
              <w:t>21.34%</w:t>
            </w:r>
          </w:p>
        </w:tc>
        <w:tc>
          <w:tcPr>
            <w:vAlign w:val="center"/>
          </w:tcPr>
          <w:p>
            <w:pPr>
              <w:jc w:val="center"/>
            </w:pPr>
            <w:r>
              <w:rPr>
                <w:rFonts w:asciiTheme="minorEastAsia" w:eastAsiaTheme="minorEastAsia" w:hAnsiTheme="minorEastAsia"/>
                <w:color w:themeColor="text1" w:val="000000"/>
                <w:kern w:val="0"/>
                <w:sz w:val="21"/>
              </w:rPr>
              <w:t>0.49%</w:t>
            </w:r>
          </w:p>
        </w:tc>
      </w:tr>
      <w:tr>
        <w:tc>
          <w:tcPr>
            <w:vAlign w:val="center"/>
          </w:tcPr>
          <w:p>
            <w:pPr>
              <w:jc w:val="left"/>
            </w:pPr>
            <w:r>
              <w:rPr>
                <w:rFonts w:asciiTheme="minorEastAsia" w:eastAsiaTheme="minorEastAsia" w:hAnsiTheme="minorEastAsia"/>
                <w:color w:themeColor="text1" w:val="000000"/>
                <w:kern w:val="0"/>
                <w:sz w:val="21"/>
              </w:rPr>
              <w:t>过去六个月</w:t>
            </w:r>
          </w:p>
        </w:tc>
        <w:tc>
          <w:tcPr>
            <w:vAlign w:val="center"/>
          </w:tcPr>
          <w:p>
            <w:pPr>
              <w:jc w:val="center"/>
            </w:pPr>
            <w:r>
              <w:rPr>
                <w:rFonts w:asciiTheme="minorEastAsia" w:eastAsiaTheme="minorEastAsia" w:hAnsiTheme="minorEastAsia"/>
                <w:color w:themeColor="text1" w:val="000000"/>
                <w:kern w:val="0"/>
                <w:sz w:val="21"/>
              </w:rPr>
              <w:t>37.69%</w:t>
            </w:r>
          </w:p>
        </w:tc>
        <w:tc>
          <w:tcPr>
            <w:vAlign w:val="center"/>
          </w:tcPr>
          <w:p>
            <w:pPr>
              <w:jc w:val="center"/>
            </w:pPr>
            <w:r>
              <w:rPr>
                <w:rFonts w:asciiTheme="minorEastAsia" w:eastAsiaTheme="minorEastAsia" w:hAnsiTheme="minorEastAsia"/>
                <w:color w:themeColor="text1" w:val="000000"/>
                <w:kern w:val="0"/>
                <w:sz w:val="21"/>
              </w:rPr>
              <w:t>1.87%</w:t>
            </w:r>
          </w:p>
        </w:tc>
        <w:tc>
          <w:tcPr>
            <w:vAlign w:val="center"/>
          </w:tcPr>
          <w:p>
            <w:pPr>
              <w:jc w:val="center"/>
            </w:pPr>
            <w:r>
              <w:rPr>
                <w:rFonts w:asciiTheme="minorEastAsia" w:eastAsiaTheme="minorEastAsia" w:hAnsiTheme="minorEastAsia"/>
                <w:color w:themeColor="text1" w:val="000000"/>
                <w:kern w:val="0"/>
                <w:sz w:val="21"/>
              </w:rPr>
              <w:t>1.48%</w:t>
            </w:r>
          </w:p>
        </w:tc>
        <w:tc>
          <w:tcPr>
            <w:vAlign w:val="center"/>
          </w:tcPr>
          <w:p>
            <w:pPr>
              <w:jc w:val="center"/>
            </w:pPr>
            <w:r>
              <w:rPr>
                <w:rFonts w:asciiTheme="minorEastAsia" w:eastAsiaTheme="minorEastAsia" w:hAnsiTheme="minorEastAsia"/>
                <w:color w:themeColor="text1" w:val="000000"/>
                <w:kern w:val="0"/>
                <w:sz w:val="21"/>
              </w:rPr>
              <w:t>1.21%</w:t>
            </w:r>
          </w:p>
        </w:tc>
        <w:tc>
          <w:tcPr>
            <w:vAlign w:val="center"/>
          </w:tcPr>
          <w:p>
            <w:pPr>
              <w:jc w:val="center"/>
            </w:pPr>
            <w:r>
              <w:rPr>
                <w:rFonts w:asciiTheme="minorEastAsia" w:eastAsiaTheme="minorEastAsia" w:hAnsiTheme="minorEastAsia"/>
                <w:color w:themeColor="text1" w:val="000000"/>
                <w:kern w:val="0"/>
                <w:sz w:val="21"/>
              </w:rPr>
              <w:t>36.21%</w:t>
            </w:r>
          </w:p>
        </w:tc>
        <w:tc>
          <w:tcPr>
            <w:vAlign w:val="center"/>
          </w:tcPr>
          <w:p>
            <w:pPr>
              <w:jc w:val="center"/>
            </w:pPr>
            <w:r>
              <w:rPr>
                <w:rFonts w:asciiTheme="minorEastAsia" w:eastAsiaTheme="minorEastAsia" w:hAnsiTheme="minorEastAsia"/>
                <w:color w:themeColor="text1" w:val="000000"/>
                <w:kern w:val="0"/>
                <w:sz w:val="21"/>
              </w:rPr>
              <w:t>0.66%</w:t>
            </w:r>
          </w:p>
        </w:tc>
      </w:tr>
      <w:tr>
        <w:tc>
          <w:tcPr>
            <w:vAlign w:val="center"/>
          </w:tcPr>
          <w:p>
            <w:pPr>
              <w:jc w:val="left"/>
            </w:pPr>
            <w:r>
              <w:rPr>
                <w:rFonts w:asciiTheme="minorEastAsia" w:eastAsiaTheme="minorEastAsia" w:hAnsiTheme="minorEastAsia"/>
                <w:color w:themeColor="text1" w:val="000000"/>
                <w:kern w:val="0"/>
                <w:sz w:val="21"/>
              </w:rPr>
              <w:t>过去一年</w:t>
            </w:r>
          </w:p>
        </w:tc>
        <w:tc>
          <w:tcPr>
            <w:vAlign w:val="center"/>
          </w:tcPr>
          <w:p>
            <w:pPr>
              <w:jc w:val="center"/>
            </w:pPr>
            <w:r>
              <w:rPr>
                <w:rFonts w:asciiTheme="minorEastAsia" w:eastAsiaTheme="minorEastAsia" w:hAnsiTheme="minorEastAsia"/>
                <w:color w:themeColor="text1" w:val="000000"/>
                <w:kern w:val="0"/>
                <w:sz w:val="21"/>
              </w:rPr>
              <w:t>75.32%</w:t>
            </w:r>
          </w:p>
        </w:tc>
        <w:tc>
          <w:tcPr>
            <w:vAlign w:val="center"/>
          </w:tcPr>
          <w:p>
            <w:pPr>
              <w:jc w:val="center"/>
            </w:pPr>
            <w:r>
              <w:rPr>
                <w:rFonts w:asciiTheme="minorEastAsia" w:eastAsiaTheme="minorEastAsia" w:hAnsiTheme="minorEastAsia"/>
                <w:color w:themeColor="text1" w:val="000000"/>
                <w:kern w:val="0"/>
                <w:sz w:val="21"/>
              </w:rPr>
              <w:t>1.49%</w:t>
            </w:r>
          </w:p>
        </w:tc>
        <w:tc>
          <w:tcPr>
            <w:vAlign w:val="center"/>
          </w:tcPr>
          <w:p>
            <w:pPr>
              <w:jc w:val="center"/>
            </w:pPr>
            <w:r>
              <w:rPr>
                <w:rFonts w:asciiTheme="minorEastAsia" w:eastAsiaTheme="minorEastAsia" w:hAnsiTheme="minorEastAsia"/>
                <w:color w:themeColor="text1" w:val="000000"/>
                <w:kern w:val="0"/>
                <w:sz w:val="21"/>
              </w:rPr>
              <w:t>7.54%</w:t>
            </w:r>
          </w:p>
        </w:tc>
        <w:tc>
          <w:tcPr>
            <w:vAlign w:val="center"/>
          </w:tcPr>
          <w:p>
            <w:pPr>
              <w:jc w:val="center"/>
            </w:pPr>
            <w:r>
              <w:rPr>
                <w:rFonts w:asciiTheme="minorEastAsia" w:eastAsiaTheme="minorEastAsia" w:hAnsiTheme="minorEastAsia"/>
                <w:color w:themeColor="text1" w:val="000000"/>
                <w:kern w:val="0"/>
                <w:sz w:val="21"/>
              </w:rPr>
              <w:t>0.97%</w:t>
            </w:r>
          </w:p>
        </w:tc>
        <w:tc>
          <w:tcPr>
            <w:vAlign w:val="center"/>
          </w:tcPr>
          <w:p>
            <w:pPr>
              <w:jc w:val="center"/>
            </w:pPr>
            <w:r>
              <w:rPr>
                <w:rFonts w:asciiTheme="minorEastAsia" w:eastAsiaTheme="minorEastAsia" w:hAnsiTheme="minorEastAsia"/>
                <w:color w:themeColor="text1" w:val="000000"/>
                <w:kern w:val="0"/>
                <w:sz w:val="21"/>
              </w:rPr>
              <w:t>67.78%</w:t>
            </w:r>
          </w:p>
        </w:tc>
        <w:tc>
          <w:tcPr>
            <w:vAlign w:val="center"/>
          </w:tcPr>
          <w:p>
            <w:pPr>
              <w:jc w:val="center"/>
            </w:pPr>
            <w:r>
              <w:rPr>
                <w:rFonts w:asciiTheme="minorEastAsia" w:eastAsiaTheme="minorEastAsia" w:hAnsiTheme="minorEastAsia"/>
                <w:color w:themeColor="text1" w:val="000000"/>
                <w:kern w:val="0"/>
                <w:sz w:val="21"/>
              </w:rPr>
              <w:t>0.52%</w:t>
            </w:r>
          </w:p>
        </w:tc>
      </w:tr>
      <w:tr>
        <w:tc>
          <w:tcPr>
            <w:vAlign w:val="center"/>
          </w:tcPr>
          <w:p>
            <w:pPr>
              <w:jc w:val="left"/>
            </w:pPr>
            <w:r>
              <w:rPr>
                <w:rFonts w:asciiTheme="minorEastAsia" w:eastAsiaTheme="minorEastAsia" w:hAnsiTheme="minorEastAsia"/>
                <w:color w:themeColor="text1" w:val="000000"/>
                <w:kern w:val="0"/>
                <w:sz w:val="21"/>
              </w:rPr>
              <w:t>过去三年</w:t>
            </w:r>
          </w:p>
        </w:tc>
        <w:tc>
          <w:tcPr>
            <w:vAlign w:val="center"/>
          </w:tcPr>
          <w:p>
            <w:pPr>
              <w:jc w:val="center"/>
            </w:pPr>
            <w:r>
              <w:rPr>
                <w:rFonts w:asciiTheme="minorEastAsia" w:eastAsiaTheme="minorEastAsia" w:hAnsiTheme="minorEastAsia"/>
                <w:color w:themeColor="text1" w:val="000000"/>
                <w:kern w:val="0"/>
                <w:sz w:val="21"/>
              </w:rPr>
              <w:t>41.39%</w:t>
            </w:r>
          </w:p>
        </w:tc>
        <w:tc>
          <w:tcPr>
            <w:vAlign w:val="center"/>
          </w:tcPr>
          <w:p>
            <w:pPr>
              <w:jc w:val="center"/>
            </w:pPr>
            <w:r>
              <w:rPr>
                <w:rFonts w:asciiTheme="minorEastAsia" w:eastAsiaTheme="minorEastAsia" w:hAnsiTheme="minorEastAsia"/>
                <w:color w:themeColor="text1" w:val="000000"/>
                <w:kern w:val="0"/>
                <w:sz w:val="21"/>
              </w:rPr>
              <w:t>1.58%</w:t>
            </w:r>
          </w:p>
        </w:tc>
        <w:tc>
          <w:tcPr>
            <w:vAlign w:val="center"/>
          </w:tcPr>
          <w:p>
            <w:pPr>
              <w:jc w:val="center"/>
            </w:pPr>
            <w:r>
              <w:rPr>
                <w:rFonts w:asciiTheme="minorEastAsia" w:eastAsiaTheme="minorEastAsia" w:hAnsiTheme="minorEastAsia"/>
                <w:color w:themeColor="text1" w:val="000000"/>
                <w:kern w:val="0"/>
                <w:sz w:val="21"/>
              </w:rPr>
              <w:t>12.10%</w:t>
            </w:r>
          </w:p>
        </w:tc>
        <w:tc>
          <w:tcPr>
            <w:vAlign w:val="center"/>
          </w:tcPr>
          <w:p>
            <w:pPr>
              <w:jc w:val="center"/>
            </w:pPr>
            <w:r>
              <w:rPr>
                <w:rFonts w:asciiTheme="minorEastAsia" w:eastAsiaTheme="minorEastAsia" w:hAnsiTheme="minorEastAsia"/>
                <w:color w:themeColor="text1" w:val="000000"/>
                <w:kern w:val="0"/>
                <w:sz w:val="21"/>
              </w:rPr>
              <w:t>1.00%</w:t>
            </w:r>
          </w:p>
        </w:tc>
        <w:tc>
          <w:tcPr>
            <w:vAlign w:val="center"/>
          </w:tcPr>
          <w:p>
            <w:pPr>
              <w:jc w:val="center"/>
            </w:pPr>
            <w:r>
              <w:rPr>
                <w:rFonts w:asciiTheme="minorEastAsia" w:eastAsiaTheme="minorEastAsia" w:hAnsiTheme="minorEastAsia"/>
                <w:color w:themeColor="text1" w:val="000000"/>
                <w:kern w:val="0"/>
                <w:sz w:val="21"/>
              </w:rPr>
              <w:t>29.29%</w:t>
            </w:r>
          </w:p>
        </w:tc>
        <w:tc>
          <w:tcPr>
            <w:vAlign w:val="center"/>
          </w:tcPr>
          <w:p>
            <w:pPr>
              <w:jc w:val="center"/>
            </w:pPr>
            <w:r>
              <w:rPr>
                <w:rFonts w:asciiTheme="minorEastAsia" w:eastAsiaTheme="minorEastAsia" w:hAnsiTheme="minorEastAsia"/>
                <w:color w:themeColor="text1" w:val="000000"/>
                <w:kern w:val="0"/>
                <w:sz w:val="21"/>
              </w:rPr>
              <w:t>0.58%</w:t>
            </w:r>
          </w:p>
        </w:tc>
      </w:tr>
      <w:tr>
        <w:tc>
          <w:tcPr>
            <w:vAlign w:val="center"/>
          </w:tcPr>
          <w:p>
            <w:pPr>
              <w:jc w:val="left"/>
            </w:pPr>
            <w:r>
              <w:rPr>
                <w:rFonts w:asciiTheme="minorEastAsia" w:eastAsiaTheme="minorEastAsia" w:hAnsiTheme="minorEastAsia"/>
                <w:color w:themeColor="text1" w:val="000000"/>
                <w:kern w:val="0"/>
                <w:sz w:val="21"/>
              </w:rPr>
              <w:t>过去五年</w:t>
            </w:r>
          </w:p>
        </w:tc>
        <w:tc>
          <w:tcPr>
            <w:vAlign w:val="center"/>
          </w:tcPr>
          <w:p>
            <w:pPr>
              <w:jc w:val="center"/>
            </w:pPr>
            <w:r>
              <w:rPr>
                <w:rFonts w:asciiTheme="minorEastAsia" w:eastAsiaTheme="minorEastAsia" w:hAnsiTheme="minorEastAsia"/>
                <w:color w:themeColor="text1" w:val="000000"/>
                <w:kern w:val="0"/>
                <w:sz w:val="21"/>
              </w:rPr>
              <w:t>25.94%</w:t>
            </w:r>
          </w:p>
        </w:tc>
        <w:tc>
          <w:tcPr>
            <w:vAlign w:val="center"/>
          </w:tcPr>
          <w:p>
            <w:pPr>
              <w:jc w:val="center"/>
            </w:pPr>
            <w:r>
              <w:rPr>
                <w:rFonts w:asciiTheme="minorEastAsia" w:eastAsiaTheme="minorEastAsia" w:hAnsiTheme="minorEastAsia"/>
                <w:color w:themeColor="text1" w:val="000000"/>
                <w:kern w:val="0"/>
                <w:sz w:val="21"/>
              </w:rPr>
              <w:t>1.77%</w:t>
            </w:r>
          </w:p>
        </w:tc>
        <w:tc>
          <w:tcPr>
            <w:vAlign w:val="center"/>
          </w:tcPr>
          <w:p>
            <w:pPr>
              <w:jc w:val="center"/>
            </w:pPr>
            <w:r>
              <w:rPr>
                <w:rFonts w:asciiTheme="minorEastAsia" w:eastAsiaTheme="minorEastAsia" w:hAnsiTheme="minorEastAsia"/>
                <w:color w:themeColor="text1" w:val="000000"/>
                <w:kern w:val="0"/>
                <w:sz w:val="21"/>
              </w:rPr>
              <w:t>-4.42%</w:t>
            </w:r>
          </w:p>
        </w:tc>
        <w:tc>
          <w:tcPr>
            <w:vAlign w:val="center"/>
          </w:tcPr>
          <w:p>
            <w:pPr>
              <w:jc w:val="center"/>
            </w:pPr>
            <w:r>
              <w:rPr>
                <w:rFonts w:asciiTheme="minorEastAsia" w:eastAsiaTheme="minorEastAsia" w:hAnsiTheme="minorEastAsia"/>
                <w:color w:themeColor="text1" w:val="000000"/>
                <w:kern w:val="0"/>
                <w:sz w:val="21"/>
              </w:rPr>
              <w:t>1.16%</w:t>
            </w:r>
          </w:p>
        </w:tc>
        <w:tc>
          <w:tcPr>
            <w:vAlign w:val="center"/>
          </w:tcPr>
          <w:p>
            <w:pPr>
              <w:jc w:val="center"/>
            </w:pPr>
            <w:r>
              <w:rPr>
                <w:rFonts w:asciiTheme="minorEastAsia" w:eastAsiaTheme="minorEastAsia" w:hAnsiTheme="minorEastAsia"/>
                <w:color w:themeColor="text1" w:val="000000"/>
                <w:kern w:val="0"/>
                <w:sz w:val="21"/>
              </w:rPr>
              <w:t>30.36%</w:t>
            </w:r>
          </w:p>
        </w:tc>
        <w:tc>
          <w:tcPr>
            <w:vAlign w:val="center"/>
          </w:tcPr>
          <w:p>
            <w:pPr>
              <w:jc w:val="center"/>
            </w:pPr>
            <w:r>
              <w:rPr>
                <w:rFonts w:asciiTheme="minorEastAsia" w:eastAsiaTheme="minorEastAsia" w:hAnsiTheme="minorEastAsia"/>
                <w:color w:themeColor="text1" w:val="000000"/>
                <w:kern w:val="0"/>
                <w:sz w:val="21"/>
              </w:rPr>
              <w:t>0.61%</w:t>
            </w:r>
          </w:p>
        </w:tc>
      </w:tr>
      <w:tr>
        <w:tc>
          <w:tcPr>
            <w:vAlign w:val="center"/>
          </w:tcPr>
          <w:p>
            <w:pPr>
              <w:jc w:val="left"/>
            </w:pPr>
            <w:r>
              <w:rPr>
                <w:rFonts w:asciiTheme="minorEastAsia" w:eastAsiaTheme="minorEastAsia" w:hAnsiTheme="minorEastAsia"/>
                <w:color w:themeColor="text1" w:val="000000"/>
                <w:kern w:val="0"/>
                <w:sz w:val="21"/>
              </w:rPr>
              <w:t>自基金合同生效起至今</w:t>
            </w:r>
          </w:p>
        </w:tc>
        <w:tc>
          <w:tcPr>
            <w:vAlign w:val="center"/>
          </w:tcPr>
          <w:p>
            <w:pPr>
              <w:jc w:val="center"/>
            </w:pPr>
            <w:r>
              <w:rPr>
                <w:rFonts w:asciiTheme="minorEastAsia" w:eastAsiaTheme="minorEastAsia" w:hAnsiTheme="minorEastAsia"/>
                <w:color w:themeColor="text1" w:val="000000"/>
                <w:kern w:val="0"/>
                <w:sz w:val="21"/>
              </w:rPr>
              <w:t>131.60%</w:t>
            </w:r>
          </w:p>
        </w:tc>
        <w:tc>
          <w:tcPr>
            <w:vAlign w:val="center"/>
          </w:tcPr>
          <w:p>
            <w:pPr>
              <w:jc w:val="center"/>
            </w:pPr>
            <w:r>
              <w:rPr>
                <w:rFonts w:asciiTheme="minorEastAsia" w:eastAsiaTheme="minorEastAsia" w:hAnsiTheme="minorEastAsia"/>
                <w:color w:themeColor="text1" w:val="000000"/>
                <w:kern w:val="0"/>
                <w:sz w:val="21"/>
              </w:rPr>
              <w:t>1.77%</w:t>
            </w:r>
          </w:p>
        </w:tc>
        <w:tc>
          <w:tcPr>
            <w:vAlign w:val="center"/>
          </w:tcPr>
          <w:p>
            <w:pPr>
              <w:jc w:val="center"/>
            </w:pPr>
            <w:r>
              <w:rPr>
                <w:rFonts w:asciiTheme="minorEastAsia" w:eastAsiaTheme="minorEastAsia" w:hAnsiTheme="minorEastAsia"/>
                <w:color w:themeColor="text1" w:val="000000"/>
                <w:kern w:val="0"/>
                <w:sz w:val="21"/>
              </w:rPr>
              <w:t>61.74%</w:t>
            </w:r>
          </w:p>
        </w:tc>
        <w:tc>
          <w:tcPr>
            <w:vAlign w:val="center"/>
          </w:tcPr>
          <w:p>
            <w:pPr>
              <w:jc w:val="center"/>
            </w:pPr>
            <w:r>
              <w:rPr>
                <w:rFonts w:asciiTheme="minorEastAsia" w:eastAsiaTheme="minorEastAsia" w:hAnsiTheme="minorEastAsia"/>
                <w:color w:themeColor="text1" w:val="000000"/>
                <w:kern w:val="0"/>
                <w:sz w:val="21"/>
              </w:rPr>
              <w:t>1.19%</w:t>
            </w:r>
          </w:p>
        </w:tc>
        <w:tc>
          <w:tcPr>
            <w:vAlign w:val="center"/>
          </w:tcPr>
          <w:p>
            <w:pPr>
              <w:jc w:val="center"/>
            </w:pPr>
            <w:r>
              <w:rPr>
                <w:rFonts w:asciiTheme="minorEastAsia" w:eastAsiaTheme="minorEastAsia" w:hAnsiTheme="minorEastAsia"/>
                <w:color w:themeColor="text1" w:val="000000"/>
                <w:kern w:val="0"/>
                <w:sz w:val="21"/>
              </w:rPr>
              <w:t>69.86%</w:t>
            </w:r>
          </w:p>
        </w:tc>
        <w:tc>
          <w:tcPr>
            <w:vAlign w:val="center"/>
          </w:tcPr>
          <w:p>
            <w:pPr>
              <w:jc w:val="center"/>
            </w:pPr>
            <w:r>
              <w:rPr>
                <w:rFonts w:asciiTheme="minorEastAsia" w:eastAsiaTheme="minorEastAsia" w:hAnsiTheme="minorEastAsia"/>
                <w:color w:themeColor="text1" w:val="000000"/>
                <w:kern w:val="0"/>
                <w:sz w:val="21"/>
              </w:rPr>
              <w:t>0.58%</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上投摩根转型动力灵活配置混合型证券投资基金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2013年11月25日</w:t>
      </w:r>
      <w:r>
        <w:rPr>
          <w:rFonts w:asciiTheme="minorEastAsia" w:eastAsiaTheme="minorEastAsia" w:hAnsiTheme="minorEastAsia" w:hint="eastAsia"/>
          <w:color w:themeColor="text1" w:val="000000"/>
        </w:rPr>
        <w:t>至2020年6月30日)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注：本基金建仓期自2013年11月25日至2014年5月24日，建仓期结束时资产配置比例符合本基金基金合同规定。本基金合同生效日为2013年11月25日， 图示时间段为2013年11月25日至2020年6月30日。</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张富盛</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2018-03-02</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9年</w:t>
            </w:r>
          </w:p>
        </w:tc>
        <w:tc>
          <w:tcPr>
            <w:vAlign w:val="center"/>
          </w:tcPr>
          <w:p>
            <w:pPr>
              <w:jc w:val="both"/>
            </w:pPr>
            <w:r>
              <w:rPr>
                <w:rFonts w:asciiTheme="minorEastAsia" w:eastAsiaTheme="minorEastAsia" w:hAnsiTheme="minorEastAsia"/>
                <w:color w:themeColor="text1" w:val="000000"/>
              </w:rPr>
              <w:t>张富盛先生，上海交通大学金融学学士，自2007年8月至2010年3月，在德勤华永会计师事务所担任高级税务咨询；自2010年3月至2011年2月，在中国国际金融有限公司担任分析师；自2011年2月至2015年8月在北京高华证券有限责任公司担任投资研究部经理；自2015年8月起加入上投摩根基金管理有限公司，历任行业专家、基金经理助理、基金经理。自2018年3月起担任上投摩根转型动力灵活配置混合型证券投资基金基金经理，自2019年1月起同时担任上投摩根动力精选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2、证券从业的含义遵从行业协会《证券业从业人员资格管理办法》的相关规定。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二季度A股在高流动性及经济复苏预期下持续回升，沪深300指数上涨12.96%，创业板指上涨30.25%。二季度国内经济开始复工复产，不少行业复工率回到8成以上，疫情恐慌得到充分缓解；国外新冠疫情在5月也基本见顶，外需型行业在3-4月份回落后估值得到修复。从市场表现看，4-5月份内需型行业表现更好，5-6月份TMT和新能源行业逐步回升。本基金继续以中国经济转型为出发点，从中长期角度投资业绩持续增长的优质龙头公司，从产业发展趋势挖掘景气度向上行业的个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下半年，我们认为市场对新冠疫情的恐慌已充分释放，国内经济也将持续复苏；中美贸易摩擦还有不确定性，但市场在过往两年也有较大的消化。海外疫情虽然二季度基本见顶，但从跟踪数据看，疫情在高位仍有反复。我们将继续保持谨慎，挖掘业绩能持续高增长和产业发展趋势中较为受益的个股。具体来看，我们继续关注受疫情影响较小的板块以及有望受益国内经济持续复苏的板块，比如医药、消费等。产业发展趋势方面，我们认为科技制造将是推动中国经济继续增长的核心动力，消费、电子等板块中的龙头公司2020年下半年业绩有望提速。另外，新能源汽车是我们在下半年重点关注的板块，受欧洲政策推动，海外新能源汽车的快速放量，国内电动车销量也将在下半年快速增长，这都预示着全球电动化趋势的确定性机会，带给国内新能源车产业链的高成长。总体来说，我们更注重公司的长期成长性，深入挖掘优质个股，力争为基金持有人创造持续稳定收益。</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本报告期上投摩根转型动力混合份额净值增长率为:31.37%，同期业绩比较基准收益率为:10.03%。</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596,588,221.31</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90.71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596,588,221.31</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90.71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58,706,747.52</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8.93</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2,418,477.77</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0.37</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657,713,446.60</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5,803,133.91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0.90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522,609,645.05</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80.76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12,766.32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3,778,125.42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0.58</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6,706,800.00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1.04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25,228,159.21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3.90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26,204,102.40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4.05</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6,245,489.00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0.97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596,588,221.31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92.20</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601012</w:t>
            </w:r>
          </w:p>
        </w:tc>
        <w:tc>
          <w:tcPr>
            <w:vAlign w:val="center"/>
          </w:tcPr>
          <w:p>
            <w:pPr>
              <w:jc w:val="center"/>
            </w:pPr>
            <w:r>
              <w:rPr>
                <w:rFonts w:asciiTheme="minorEastAsia" w:cs="宋体" w:eastAsiaTheme="minorEastAsia" w:hAnsiTheme="minorEastAsia"/>
                <w:color w:themeColor="text1" w:val="000000"/>
                <w:kern w:val="0"/>
                <w:sz w:val="21"/>
              </w:rPr>
              <w:t>隆基股份</w:t>
            </w:r>
          </w:p>
        </w:tc>
        <w:tc>
          <w:tcPr>
            <w:vAlign w:val="center"/>
          </w:tcPr>
          <w:p>
            <w:pPr>
              <w:jc w:val="right"/>
            </w:pPr>
            <w:r>
              <w:rPr>
                <w:rFonts w:asciiTheme="minorEastAsia" w:cs="宋体" w:eastAsiaTheme="minorEastAsia" w:hAnsiTheme="minorEastAsia"/>
                <w:color w:themeColor="text1" w:val="000000"/>
                <w:kern w:val="0"/>
                <w:sz w:val="21"/>
              </w:rPr>
              <w:t>1,005,836</w:t>
            </w:r>
          </w:p>
        </w:tc>
        <w:tc>
          <w:tcPr>
            <w:vAlign w:val="center"/>
          </w:tcPr>
          <w:p>
            <w:pPr>
              <w:jc w:val="right"/>
            </w:pPr>
            <w:r>
              <w:rPr>
                <w:rFonts w:asciiTheme="minorEastAsia" w:cs="宋体" w:eastAsiaTheme="minorEastAsia" w:hAnsiTheme="minorEastAsia"/>
                <w:color w:themeColor="text1" w:val="000000"/>
                <w:kern w:val="0"/>
                <w:sz w:val="21"/>
              </w:rPr>
              <w:t>40,967,700.28</w:t>
            </w:r>
          </w:p>
        </w:tc>
        <w:tc>
          <w:tcPr>
            <w:vAlign w:val="center"/>
          </w:tcPr>
          <w:p>
            <w:pPr>
              <w:jc w:val="right"/>
            </w:pPr>
            <w:r>
              <w:rPr>
                <w:rFonts w:asciiTheme="minorEastAsia" w:cs="宋体" w:eastAsiaTheme="minorEastAsia" w:hAnsiTheme="minorEastAsia"/>
                <w:color w:themeColor="text1" w:val="000000"/>
                <w:kern w:val="0"/>
                <w:sz w:val="21"/>
              </w:rPr>
              <w:t>6.33</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300750</w:t>
            </w:r>
          </w:p>
        </w:tc>
        <w:tc>
          <w:tcPr>
            <w:vAlign w:val="center"/>
          </w:tcPr>
          <w:p>
            <w:pPr>
              <w:jc w:val="center"/>
            </w:pPr>
            <w:r>
              <w:rPr>
                <w:rFonts w:asciiTheme="minorEastAsia" w:cs="宋体" w:eastAsiaTheme="minorEastAsia" w:hAnsiTheme="minorEastAsia"/>
                <w:color w:themeColor="text1" w:val="000000"/>
                <w:kern w:val="0"/>
                <w:sz w:val="21"/>
              </w:rPr>
              <w:t>宁德时代</w:t>
            </w:r>
          </w:p>
        </w:tc>
        <w:tc>
          <w:tcPr>
            <w:vAlign w:val="center"/>
          </w:tcPr>
          <w:p>
            <w:pPr>
              <w:jc w:val="right"/>
            </w:pPr>
            <w:r>
              <w:rPr>
                <w:rFonts w:asciiTheme="minorEastAsia" w:cs="宋体" w:eastAsiaTheme="minorEastAsia" w:hAnsiTheme="minorEastAsia"/>
                <w:color w:themeColor="text1" w:val="000000"/>
                <w:kern w:val="0"/>
                <w:sz w:val="21"/>
              </w:rPr>
              <w:t>226,606</w:t>
            </w:r>
          </w:p>
        </w:tc>
        <w:tc>
          <w:tcPr>
            <w:vAlign w:val="center"/>
          </w:tcPr>
          <w:p>
            <w:pPr>
              <w:jc w:val="right"/>
            </w:pPr>
            <w:r>
              <w:rPr>
                <w:rFonts w:asciiTheme="minorEastAsia" w:cs="宋体" w:eastAsiaTheme="minorEastAsia" w:hAnsiTheme="minorEastAsia"/>
                <w:color w:themeColor="text1" w:val="000000"/>
                <w:kern w:val="0"/>
                <w:sz w:val="21"/>
              </w:rPr>
              <w:t>39,511,022.16</w:t>
            </w:r>
          </w:p>
        </w:tc>
        <w:tc>
          <w:tcPr>
            <w:vAlign w:val="center"/>
          </w:tcPr>
          <w:p>
            <w:pPr>
              <w:jc w:val="right"/>
            </w:pPr>
            <w:r>
              <w:rPr>
                <w:rFonts w:asciiTheme="minorEastAsia" w:cs="宋体" w:eastAsiaTheme="minorEastAsia" w:hAnsiTheme="minorEastAsia"/>
                <w:color w:themeColor="text1" w:val="000000"/>
                <w:kern w:val="0"/>
                <w:sz w:val="21"/>
              </w:rPr>
              <w:t>6.11</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002475</w:t>
            </w:r>
          </w:p>
        </w:tc>
        <w:tc>
          <w:tcPr>
            <w:vAlign w:val="center"/>
          </w:tcPr>
          <w:p>
            <w:pPr>
              <w:jc w:val="center"/>
            </w:pPr>
            <w:r>
              <w:rPr>
                <w:rFonts w:asciiTheme="minorEastAsia" w:cs="宋体" w:eastAsiaTheme="minorEastAsia" w:hAnsiTheme="minorEastAsia"/>
                <w:color w:themeColor="text1" w:val="000000"/>
                <w:kern w:val="0"/>
                <w:sz w:val="21"/>
              </w:rPr>
              <w:t>立讯精密</w:t>
            </w:r>
          </w:p>
        </w:tc>
        <w:tc>
          <w:tcPr>
            <w:vAlign w:val="center"/>
          </w:tcPr>
          <w:p>
            <w:pPr>
              <w:jc w:val="right"/>
            </w:pPr>
            <w:r>
              <w:rPr>
                <w:rFonts w:asciiTheme="minorEastAsia" w:cs="宋体" w:eastAsiaTheme="minorEastAsia" w:hAnsiTheme="minorEastAsia"/>
                <w:color w:themeColor="text1" w:val="000000"/>
                <w:kern w:val="0"/>
                <w:sz w:val="21"/>
              </w:rPr>
              <w:t>761,142</w:t>
            </w:r>
          </w:p>
        </w:tc>
        <w:tc>
          <w:tcPr>
            <w:vAlign w:val="center"/>
          </w:tcPr>
          <w:p>
            <w:pPr>
              <w:jc w:val="right"/>
            </w:pPr>
            <w:r>
              <w:rPr>
                <w:rFonts w:asciiTheme="minorEastAsia" w:cs="宋体" w:eastAsiaTheme="minorEastAsia" w:hAnsiTheme="minorEastAsia"/>
                <w:color w:themeColor="text1" w:val="000000"/>
                <w:kern w:val="0"/>
                <w:sz w:val="21"/>
              </w:rPr>
              <w:t>39,084,641.70</w:t>
            </w:r>
          </w:p>
        </w:tc>
        <w:tc>
          <w:tcPr>
            <w:vAlign w:val="center"/>
          </w:tcPr>
          <w:p>
            <w:pPr>
              <w:jc w:val="right"/>
            </w:pPr>
            <w:r>
              <w:rPr>
                <w:rFonts w:asciiTheme="minorEastAsia" w:cs="宋体" w:eastAsiaTheme="minorEastAsia" w:hAnsiTheme="minorEastAsia"/>
                <w:color w:themeColor="text1" w:val="000000"/>
                <w:kern w:val="0"/>
                <w:sz w:val="21"/>
              </w:rPr>
              <w:t>6.04</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80,000</w:t>
            </w:r>
          </w:p>
        </w:tc>
        <w:tc>
          <w:tcPr>
            <w:vAlign w:val="center"/>
          </w:tcPr>
          <w:p>
            <w:pPr>
              <w:jc w:val="right"/>
            </w:pPr>
            <w:r>
              <w:rPr>
                <w:rFonts w:asciiTheme="minorEastAsia" w:cs="宋体" w:eastAsiaTheme="minorEastAsia" w:hAnsiTheme="minorEastAsia"/>
                <w:color w:themeColor="text1" w:val="000000"/>
                <w:kern w:val="0"/>
                <w:sz w:val="21"/>
              </w:rPr>
              <w:t>34,824,000.00</w:t>
            </w:r>
          </w:p>
        </w:tc>
        <w:tc>
          <w:tcPr>
            <w:vAlign w:val="center"/>
          </w:tcPr>
          <w:p>
            <w:pPr>
              <w:jc w:val="right"/>
            </w:pPr>
            <w:r>
              <w:rPr>
                <w:rFonts w:asciiTheme="minorEastAsia" w:cs="宋体" w:eastAsiaTheme="minorEastAsia" w:hAnsiTheme="minorEastAsia"/>
                <w:color w:themeColor="text1" w:val="000000"/>
                <w:kern w:val="0"/>
                <w:sz w:val="21"/>
              </w:rPr>
              <w:t>5.38</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300014</w:t>
            </w:r>
          </w:p>
        </w:tc>
        <w:tc>
          <w:tcPr>
            <w:vAlign w:val="center"/>
          </w:tcPr>
          <w:p>
            <w:pPr>
              <w:jc w:val="center"/>
            </w:pPr>
            <w:r>
              <w:rPr>
                <w:rFonts w:asciiTheme="minorEastAsia" w:cs="宋体" w:eastAsiaTheme="minorEastAsia" w:hAnsiTheme="minorEastAsia"/>
                <w:color w:themeColor="text1" w:val="000000"/>
                <w:kern w:val="0"/>
                <w:sz w:val="21"/>
              </w:rPr>
              <w:t>亿纬锂能</w:t>
            </w:r>
          </w:p>
        </w:tc>
        <w:tc>
          <w:tcPr>
            <w:vAlign w:val="center"/>
          </w:tcPr>
          <w:p>
            <w:pPr>
              <w:jc w:val="right"/>
            </w:pPr>
            <w:r>
              <w:rPr>
                <w:rFonts w:asciiTheme="minorEastAsia" w:cs="宋体" w:eastAsiaTheme="minorEastAsia" w:hAnsiTheme="minorEastAsia"/>
                <w:color w:themeColor="text1" w:val="000000"/>
                <w:kern w:val="0"/>
                <w:sz w:val="21"/>
              </w:rPr>
              <w:t>723,288</w:t>
            </w:r>
          </w:p>
        </w:tc>
        <w:tc>
          <w:tcPr>
            <w:vAlign w:val="center"/>
          </w:tcPr>
          <w:p>
            <w:pPr>
              <w:jc w:val="right"/>
            </w:pPr>
            <w:r>
              <w:rPr>
                <w:rFonts w:asciiTheme="minorEastAsia" w:cs="宋体" w:eastAsiaTheme="minorEastAsia" w:hAnsiTheme="minorEastAsia"/>
                <w:color w:themeColor="text1" w:val="000000"/>
                <w:kern w:val="0"/>
                <w:sz w:val="21"/>
              </w:rPr>
              <w:t>34,609,330.80</w:t>
            </w:r>
          </w:p>
        </w:tc>
        <w:tc>
          <w:tcPr>
            <w:vAlign w:val="center"/>
          </w:tcPr>
          <w:p>
            <w:pPr>
              <w:jc w:val="right"/>
            </w:pPr>
            <w:r>
              <w:rPr>
                <w:rFonts w:asciiTheme="minorEastAsia" w:cs="宋体" w:eastAsiaTheme="minorEastAsia" w:hAnsiTheme="minorEastAsia"/>
                <w:color w:themeColor="text1" w:val="000000"/>
                <w:kern w:val="0"/>
                <w:sz w:val="21"/>
              </w:rPr>
              <w:t>5.35</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603259</w:t>
            </w:r>
          </w:p>
        </w:tc>
        <w:tc>
          <w:tcPr>
            <w:vAlign w:val="center"/>
          </w:tcPr>
          <w:p>
            <w:pPr>
              <w:jc w:val="center"/>
            </w:pPr>
            <w:r>
              <w:rPr>
                <w:rFonts w:asciiTheme="minorEastAsia" w:cs="宋体" w:eastAsiaTheme="minorEastAsia" w:hAnsiTheme="minorEastAsia"/>
                <w:color w:themeColor="text1" w:val="000000"/>
                <w:kern w:val="0"/>
                <w:sz w:val="21"/>
              </w:rPr>
              <w:t>药明康德</w:t>
            </w:r>
          </w:p>
        </w:tc>
        <w:tc>
          <w:tcPr>
            <w:vAlign w:val="center"/>
          </w:tcPr>
          <w:p>
            <w:pPr>
              <w:jc w:val="right"/>
            </w:pPr>
            <w:r>
              <w:rPr>
                <w:rFonts w:asciiTheme="minorEastAsia" w:cs="宋体" w:eastAsiaTheme="minorEastAsia" w:hAnsiTheme="minorEastAsia"/>
                <w:color w:themeColor="text1" w:val="000000"/>
                <w:kern w:val="0"/>
                <w:sz w:val="21"/>
              </w:rPr>
              <w:t>271,264</w:t>
            </w:r>
          </w:p>
        </w:tc>
        <w:tc>
          <w:tcPr>
            <w:vAlign w:val="center"/>
          </w:tcPr>
          <w:p>
            <w:pPr>
              <w:jc w:val="right"/>
            </w:pPr>
            <w:r>
              <w:rPr>
                <w:rFonts w:asciiTheme="minorEastAsia" w:cs="宋体" w:eastAsiaTheme="minorEastAsia" w:hAnsiTheme="minorEastAsia"/>
                <w:color w:themeColor="text1" w:val="000000"/>
                <w:kern w:val="0"/>
                <w:sz w:val="21"/>
              </w:rPr>
              <w:t>26,204,102.40</w:t>
            </w:r>
          </w:p>
        </w:tc>
        <w:tc>
          <w:tcPr>
            <w:vAlign w:val="center"/>
          </w:tcPr>
          <w:p>
            <w:pPr>
              <w:jc w:val="right"/>
            </w:pPr>
            <w:r>
              <w:rPr>
                <w:rFonts w:asciiTheme="minorEastAsia" w:cs="宋体" w:eastAsiaTheme="minorEastAsia" w:hAnsiTheme="minorEastAsia"/>
                <w:color w:themeColor="text1" w:val="000000"/>
                <w:kern w:val="0"/>
                <w:sz w:val="21"/>
              </w:rPr>
              <w:t>4.05</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600276</w:t>
            </w:r>
          </w:p>
        </w:tc>
        <w:tc>
          <w:tcPr>
            <w:vAlign w:val="center"/>
          </w:tcPr>
          <w:p>
            <w:pPr>
              <w:jc w:val="center"/>
            </w:pPr>
            <w:r>
              <w:rPr>
                <w:rFonts w:asciiTheme="minorEastAsia" w:cs="宋体" w:eastAsiaTheme="minorEastAsia" w:hAnsiTheme="minorEastAsia"/>
                <w:color w:themeColor="text1" w:val="000000"/>
                <w:kern w:val="0"/>
                <w:sz w:val="21"/>
              </w:rPr>
              <w:t>恒瑞医药</w:t>
            </w:r>
          </w:p>
        </w:tc>
        <w:tc>
          <w:tcPr>
            <w:vAlign w:val="center"/>
          </w:tcPr>
          <w:p>
            <w:pPr>
              <w:jc w:val="right"/>
            </w:pPr>
            <w:r>
              <w:rPr>
                <w:rFonts w:asciiTheme="minorEastAsia" w:cs="宋体" w:eastAsiaTheme="minorEastAsia" w:hAnsiTheme="minorEastAsia"/>
                <w:color w:themeColor="text1" w:val="000000"/>
                <w:kern w:val="0"/>
                <w:sz w:val="21"/>
              </w:rPr>
              <w:t>246,600</w:t>
            </w:r>
          </w:p>
        </w:tc>
        <w:tc>
          <w:tcPr>
            <w:vAlign w:val="center"/>
          </w:tcPr>
          <w:p>
            <w:pPr>
              <w:jc w:val="right"/>
            </w:pPr>
            <w:r>
              <w:rPr>
                <w:rFonts w:asciiTheme="minorEastAsia" w:cs="宋体" w:eastAsiaTheme="minorEastAsia" w:hAnsiTheme="minorEastAsia"/>
                <w:color w:themeColor="text1" w:val="000000"/>
                <w:kern w:val="0"/>
                <w:sz w:val="21"/>
              </w:rPr>
              <w:t>22,761,180.00</w:t>
            </w:r>
          </w:p>
        </w:tc>
        <w:tc>
          <w:tcPr>
            <w:vAlign w:val="center"/>
          </w:tcPr>
          <w:p>
            <w:pPr>
              <w:jc w:val="right"/>
            </w:pPr>
            <w:r>
              <w:rPr>
                <w:rFonts w:asciiTheme="minorEastAsia" w:cs="宋体" w:eastAsiaTheme="minorEastAsia" w:hAnsiTheme="minorEastAsia"/>
                <w:color w:themeColor="text1" w:val="000000"/>
                <w:kern w:val="0"/>
                <w:sz w:val="21"/>
              </w:rPr>
              <w:t>3.52</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600519</w:t>
            </w:r>
          </w:p>
        </w:tc>
        <w:tc>
          <w:tcPr>
            <w:vAlign w:val="center"/>
          </w:tcPr>
          <w:p>
            <w:pPr>
              <w:jc w:val="center"/>
            </w:pPr>
            <w:r>
              <w:rPr>
                <w:rFonts w:asciiTheme="minorEastAsia" w:cs="宋体" w:eastAsiaTheme="minorEastAsia" w:hAnsiTheme="minorEastAsia"/>
                <w:color w:themeColor="text1" w:val="000000"/>
                <w:kern w:val="0"/>
                <w:sz w:val="21"/>
              </w:rPr>
              <w:t>贵州茅台</w:t>
            </w:r>
          </w:p>
        </w:tc>
        <w:tc>
          <w:tcPr>
            <w:vAlign w:val="center"/>
          </w:tcPr>
          <w:p>
            <w:pPr>
              <w:jc w:val="right"/>
            </w:pPr>
            <w:r>
              <w:rPr>
                <w:rFonts w:asciiTheme="minorEastAsia" w:cs="宋体" w:eastAsiaTheme="minorEastAsia" w:hAnsiTheme="minorEastAsia"/>
                <w:color w:themeColor="text1" w:val="000000"/>
                <w:kern w:val="0"/>
                <w:sz w:val="21"/>
              </w:rPr>
              <w:t>14,300</w:t>
            </w:r>
          </w:p>
        </w:tc>
        <w:tc>
          <w:tcPr>
            <w:vAlign w:val="center"/>
          </w:tcPr>
          <w:p>
            <w:pPr>
              <w:jc w:val="right"/>
            </w:pPr>
            <w:r>
              <w:rPr>
                <w:rFonts w:asciiTheme="minorEastAsia" w:cs="宋体" w:eastAsiaTheme="minorEastAsia" w:hAnsiTheme="minorEastAsia"/>
                <w:color w:themeColor="text1" w:val="000000"/>
                <w:kern w:val="0"/>
                <w:sz w:val="21"/>
              </w:rPr>
              <w:t>20,919,184.00</w:t>
            </w:r>
          </w:p>
        </w:tc>
        <w:tc>
          <w:tcPr>
            <w:vAlign w:val="center"/>
          </w:tcPr>
          <w:p>
            <w:pPr>
              <w:jc w:val="right"/>
            </w:pPr>
            <w:r>
              <w:rPr>
                <w:rFonts w:asciiTheme="minorEastAsia" w:cs="宋体" w:eastAsiaTheme="minorEastAsia" w:hAnsiTheme="minorEastAsia"/>
                <w:color w:themeColor="text1" w:val="000000"/>
                <w:kern w:val="0"/>
                <w:sz w:val="21"/>
              </w:rPr>
              <w:t>3.23</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000858</w:t>
            </w:r>
          </w:p>
        </w:tc>
        <w:tc>
          <w:tcPr>
            <w:vAlign w:val="center"/>
          </w:tcPr>
          <w:p>
            <w:pPr>
              <w:jc w:val="center"/>
            </w:pPr>
            <w:r>
              <w:rPr>
                <w:rFonts w:asciiTheme="minorEastAsia" w:cs="宋体" w:eastAsiaTheme="minorEastAsia" w:hAnsiTheme="minorEastAsia"/>
                <w:color w:themeColor="text1" w:val="000000"/>
                <w:kern w:val="0"/>
                <w:sz w:val="21"/>
              </w:rPr>
              <w:t>五 粮 液</w:t>
            </w:r>
          </w:p>
        </w:tc>
        <w:tc>
          <w:tcPr>
            <w:vAlign w:val="center"/>
          </w:tcPr>
          <w:p>
            <w:pPr>
              <w:jc w:val="right"/>
            </w:pPr>
            <w:r>
              <w:rPr>
                <w:rFonts w:asciiTheme="minorEastAsia" w:cs="宋体" w:eastAsiaTheme="minorEastAsia" w:hAnsiTheme="minorEastAsia"/>
                <w:color w:themeColor="text1" w:val="000000"/>
                <w:kern w:val="0"/>
                <w:sz w:val="21"/>
              </w:rPr>
              <w:t>120,052</w:t>
            </w:r>
          </w:p>
        </w:tc>
        <w:tc>
          <w:tcPr>
            <w:vAlign w:val="center"/>
          </w:tcPr>
          <w:p>
            <w:pPr>
              <w:jc w:val="right"/>
            </w:pPr>
            <w:r>
              <w:rPr>
                <w:rFonts w:asciiTheme="minorEastAsia" w:cs="宋体" w:eastAsiaTheme="minorEastAsia" w:hAnsiTheme="minorEastAsia"/>
                <w:color w:themeColor="text1" w:val="000000"/>
                <w:kern w:val="0"/>
                <w:sz w:val="21"/>
              </w:rPr>
              <w:t>20,543,298.24</w:t>
            </w:r>
          </w:p>
        </w:tc>
        <w:tc>
          <w:tcPr>
            <w:vAlign w:val="center"/>
          </w:tcPr>
          <w:p>
            <w:pPr>
              <w:jc w:val="right"/>
            </w:pPr>
            <w:r>
              <w:rPr>
                <w:rFonts w:asciiTheme="minorEastAsia" w:cs="宋体" w:eastAsiaTheme="minorEastAsia" w:hAnsiTheme="minorEastAsia"/>
                <w:color w:themeColor="text1" w:val="000000"/>
                <w:kern w:val="0"/>
                <w:sz w:val="21"/>
              </w:rPr>
              <w:t>3.17</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600984</w:t>
            </w:r>
          </w:p>
        </w:tc>
        <w:tc>
          <w:tcPr>
            <w:vAlign w:val="center"/>
          </w:tcPr>
          <w:p>
            <w:pPr>
              <w:jc w:val="center"/>
            </w:pPr>
            <w:r>
              <w:rPr>
                <w:rFonts w:asciiTheme="minorEastAsia" w:cs="宋体" w:eastAsiaTheme="minorEastAsia" w:hAnsiTheme="minorEastAsia"/>
                <w:color w:themeColor="text1" w:val="000000"/>
                <w:kern w:val="0"/>
                <w:sz w:val="21"/>
              </w:rPr>
              <w:t>建设机械</w:t>
            </w:r>
          </w:p>
        </w:tc>
        <w:tc>
          <w:tcPr>
            <w:vAlign w:val="center"/>
          </w:tcPr>
          <w:p>
            <w:pPr>
              <w:jc w:val="right"/>
            </w:pPr>
            <w:r>
              <w:rPr>
                <w:rFonts w:asciiTheme="minorEastAsia" w:cs="宋体" w:eastAsiaTheme="minorEastAsia" w:hAnsiTheme="minorEastAsia"/>
                <w:color w:themeColor="text1" w:val="000000"/>
                <w:kern w:val="0"/>
                <w:sz w:val="21"/>
              </w:rPr>
              <w:t>809,947</w:t>
            </w:r>
          </w:p>
        </w:tc>
        <w:tc>
          <w:tcPr>
            <w:vAlign w:val="center"/>
          </w:tcPr>
          <w:p>
            <w:pPr>
              <w:jc w:val="right"/>
            </w:pPr>
            <w:r>
              <w:rPr>
                <w:rFonts w:asciiTheme="minorEastAsia" w:cs="宋体" w:eastAsiaTheme="minorEastAsia" w:hAnsiTheme="minorEastAsia"/>
                <w:color w:themeColor="text1" w:val="000000"/>
                <w:kern w:val="0"/>
                <w:sz w:val="21"/>
              </w:rPr>
              <w:t>20,086,685.60</w:t>
            </w:r>
          </w:p>
        </w:tc>
        <w:tc>
          <w:tcPr>
            <w:vAlign w:val="center"/>
          </w:tcPr>
          <w:p>
            <w:pPr>
              <w:jc w:val="right"/>
            </w:pPr>
            <w:r>
              <w:rPr>
                <w:rFonts w:asciiTheme="minorEastAsia" w:cs="宋体" w:eastAsiaTheme="minorEastAsia" w:hAnsiTheme="minorEastAsia"/>
                <w:color w:themeColor="text1" w:val="000000"/>
                <w:kern w:val="0"/>
                <w:sz w:val="21"/>
              </w:rPr>
              <w:t>3.10</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459,142.65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1,451,188.41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15,288.50</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492,858.21</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2,418,477.77</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因四舍五入原因，投资组合报告中分项之和与合计可能存在尾差。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299,100,753.51</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3,810,074.48</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23,524,499.20</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279,386,328.79</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1. 中国证监会批准上投摩根转型动力灵活配置混合型证券投资基金设立的文件；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2. 《上投摩根转型动力灵活配置混合型证券投资基金基金合同》；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3. 《上投摩根转型动力灵活配置混合型证券投资基金基金托管协议》；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4. 《上投摩根基金管理有限公司开放式基金业务规则》；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xml:space="preserve">5. 基金管理人业务资格批件、营业执照；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 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基金管理人或基金托管人处。</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二〇二〇年七月二十一日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上投摩根转型动力灵活配置混合型证券投资基金2020年第2季度报告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