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07B74" w14:textId="34F49BF1" w:rsidR="003F1FC3" w:rsidRDefault="00D66735" w:rsidP="003F1FC3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3F1FC3">
        <w:rPr>
          <w:rFonts w:asciiTheme="minorEastAsia" w:hAnsiTheme="minorEastAsia" w:hint="eastAsia"/>
          <w:b/>
          <w:sz w:val="24"/>
          <w:szCs w:val="24"/>
        </w:rPr>
        <w:t>上投摩根基金管理有限公司</w:t>
      </w:r>
      <w:r w:rsidR="0014008D">
        <w:rPr>
          <w:rFonts w:asciiTheme="minorEastAsia" w:hAnsiTheme="minorEastAsia" w:hint="eastAsia"/>
          <w:b/>
          <w:sz w:val="24"/>
          <w:szCs w:val="24"/>
        </w:rPr>
        <w:t>关于</w:t>
      </w:r>
      <w:r w:rsidRPr="003F1FC3">
        <w:rPr>
          <w:rFonts w:asciiTheme="minorEastAsia" w:hAnsiTheme="minorEastAsia" w:hint="eastAsia"/>
          <w:b/>
          <w:sz w:val="24"/>
          <w:szCs w:val="24"/>
        </w:rPr>
        <w:t>旗下部分基金在</w:t>
      </w:r>
      <w:r w:rsidR="00042917" w:rsidRPr="003F1FC3">
        <w:rPr>
          <w:rFonts w:asciiTheme="minorEastAsia" w:hAnsiTheme="minorEastAsia" w:hint="eastAsia"/>
          <w:b/>
          <w:sz w:val="24"/>
          <w:szCs w:val="24"/>
        </w:rPr>
        <w:t>兴业银行股份有限公司</w:t>
      </w:r>
    </w:p>
    <w:p w14:paraId="5D0D1324" w14:textId="77777777" w:rsidR="002B76ED" w:rsidRPr="003F1FC3" w:rsidRDefault="00D66735" w:rsidP="003F1FC3">
      <w:pPr>
        <w:jc w:val="center"/>
        <w:rPr>
          <w:rFonts w:asciiTheme="minorEastAsia" w:hAnsiTheme="minorEastAsia"/>
          <w:b/>
          <w:sz w:val="24"/>
          <w:szCs w:val="24"/>
        </w:rPr>
      </w:pPr>
      <w:r w:rsidRPr="003F1FC3">
        <w:rPr>
          <w:rFonts w:asciiTheme="minorEastAsia" w:hAnsiTheme="minorEastAsia" w:hint="eastAsia"/>
          <w:b/>
          <w:sz w:val="24"/>
          <w:szCs w:val="24"/>
        </w:rPr>
        <w:t>业务办理</w:t>
      </w:r>
      <w:r w:rsidR="003F4E20">
        <w:rPr>
          <w:rFonts w:asciiTheme="minorEastAsia" w:hAnsiTheme="minorEastAsia" w:hint="eastAsia"/>
          <w:b/>
          <w:sz w:val="24"/>
          <w:szCs w:val="24"/>
        </w:rPr>
        <w:t>的说明</w:t>
      </w:r>
    </w:p>
    <w:p w14:paraId="0A29F038" w14:textId="77777777" w:rsidR="00D66735" w:rsidRPr="003F1FC3" w:rsidRDefault="00D66735">
      <w:pPr>
        <w:rPr>
          <w:rFonts w:asciiTheme="minorEastAsia" w:hAnsiTheme="minorEastAsia"/>
          <w:szCs w:val="21"/>
        </w:rPr>
      </w:pPr>
    </w:p>
    <w:p w14:paraId="05F14114" w14:textId="329CB64A" w:rsidR="00D66735" w:rsidRDefault="00B12FAE" w:rsidP="003F1FC3">
      <w:pPr>
        <w:widowControl/>
        <w:shd w:val="clear" w:color="auto" w:fill="FFFFFF"/>
        <w:spacing w:before="270" w:after="180"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根据</w:t>
      </w:r>
      <w:r w:rsidR="00D66735" w:rsidRPr="003F1FC3">
        <w:rPr>
          <w:rFonts w:asciiTheme="minorEastAsia" w:hAnsiTheme="minorEastAsia" w:cs="宋体" w:hint="eastAsia"/>
          <w:color w:val="000000"/>
          <w:kern w:val="0"/>
          <w:szCs w:val="21"/>
        </w:rPr>
        <w:t>上投摩根基金管理有限公司</w:t>
      </w:r>
      <w:r w:rsidR="005748D3">
        <w:rPr>
          <w:rFonts w:asciiTheme="minorEastAsia" w:hAnsiTheme="minorEastAsia" w:cs="宋体" w:hint="eastAsia"/>
          <w:color w:val="000000"/>
          <w:kern w:val="0"/>
          <w:szCs w:val="21"/>
        </w:rPr>
        <w:t>（以下简称“</w:t>
      </w:r>
      <w:r w:rsidR="00E3058D">
        <w:rPr>
          <w:rFonts w:asciiTheme="minorEastAsia" w:hAnsiTheme="minorEastAsia" w:cs="宋体" w:hint="eastAsia"/>
          <w:color w:val="000000"/>
          <w:kern w:val="0"/>
          <w:szCs w:val="21"/>
        </w:rPr>
        <w:t>本公司</w:t>
      </w:r>
      <w:r w:rsidR="005748D3">
        <w:rPr>
          <w:rFonts w:asciiTheme="minorEastAsia" w:hAnsiTheme="minorEastAsia" w:cs="宋体" w:hint="eastAsia"/>
          <w:color w:val="000000"/>
          <w:kern w:val="0"/>
          <w:szCs w:val="21"/>
        </w:rPr>
        <w:t>”）</w:t>
      </w:r>
      <w:r w:rsidR="00D66735" w:rsidRPr="003F1FC3">
        <w:rPr>
          <w:rFonts w:asciiTheme="minorEastAsia" w:hAnsiTheme="minorEastAsia" w:cs="宋体" w:hint="eastAsia"/>
          <w:color w:val="000000"/>
          <w:kern w:val="0"/>
          <w:szCs w:val="21"/>
        </w:rPr>
        <w:t>与兴业银行股份有限公司</w:t>
      </w:r>
      <w:r w:rsidR="00E3058D">
        <w:rPr>
          <w:rFonts w:asciiTheme="minorEastAsia" w:hAnsiTheme="minorEastAsia" w:cs="宋体" w:hint="eastAsia"/>
          <w:color w:val="000000"/>
          <w:kern w:val="0"/>
          <w:szCs w:val="21"/>
        </w:rPr>
        <w:t>（以下简称“兴业银行”）</w:t>
      </w:r>
      <w:r w:rsidR="00D66735" w:rsidRPr="003F1FC3">
        <w:rPr>
          <w:rFonts w:asciiTheme="minorEastAsia" w:hAnsiTheme="minorEastAsia" w:cs="宋体" w:hint="eastAsia"/>
          <w:color w:val="000000"/>
          <w:kern w:val="0"/>
          <w:szCs w:val="21"/>
        </w:rPr>
        <w:t>签订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的</w:t>
      </w:r>
      <w:r w:rsidR="00D66735" w:rsidRPr="003F1FC3">
        <w:rPr>
          <w:rFonts w:asciiTheme="minorEastAsia" w:hAnsiTheme="minorEastAsia" w:cs="宋体" w:hint="eastAsia"/>
          <w:color w:val="000000"/>
          <w:kern w:val="0"/>
          <w:szCs w:val="21"/>
        </w:rPr>
        <w:t>基金代理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销售</w:t>
      </w:r>
      <w:r w:rsidR="00D66735" w:rsidRPr="003F1FC3">
        <w:rPr>
          <w:rFonts w:asciiTheme="minorEastAsia" w:hAnsiTheme="minorEastAsia" w:cs="宋体" w:hint="eastAsia"/>
          <w:color w:val="000000"/>
          <w:kern w:val="0"/>
          <w:szCs w:val="21"/>
        </w:rPr>
        <w:t>协议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及相关补充协议</w:t>
      </w:r>
      <w:r w:rsidR="00D66735" w:rsidRPr="003F1FC3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="00802CFF">
        <w:t>本公司</w:t>
      </w:r>
      <w:r w:rsidR="007553AB">
        <w:rPr>
          <w:rFonts w:hint="eastAsia"/>
        </w:rPr>
        <w:t>先后</w:t>
      </w:r>
      <w:r w:rsidR="00802CFF">
        <w:t>于 2022 年</w:t>
      </w:r>
      <w:r w:rsidR="005511A2">
        <w:rPr>
          <w:rFonts w:hint="eastAsia"/>
        </w:rPr>
        <w:t>6月1</w:t>
      </w:r>
      <w:r w:rsidR="005511A2">
        <w:t>3</w:t>
      </w:r>
      <w:r w:rsidR="005511A2">
        <w:rPr>
          <w:rFonts w:hint="eastAsia"/>
        </w:rPr>
        <w:t>日、</w:t>
      </w:r>
      <w:r w:rsidR="00802CFF">
        <w:rPr>
          <w:rFonts w:hint="eastAsia"/>
        </w:rPr>
        <w:t>7月6日、7月29日、9月5日、</w:t>
      </w:r>
      <w:r w:rsidR="005511A2">
        <w:rPr>
          <w:rFonts w:hint="eastAsia"/>
        </w:rPr>
        <w:t>9月2</w:t>
      </w:r>
      <w:r w:rsidR="005511A2">
        <w:t>6</w:t>
      </w:r>
      <w:r w:rsidR="005511A2">
        <w:rPr>
          <w:rFonts w:hint="eastAsia"/>
        </w:rPr>
        <w:t>日、</w:t>
      </w:r>
      <w:r w:rsidR="00802CFF">
        <w:t>10月20日</w:t>
      </w:r>
      <w:r w:rsidR="007553AB">
        <w:rPr>
          <w:rFonts w:hint="eastAsia"/>
        </w:rPr>
        <w:t>发布</w:t>
      </w:r>
      <w:r w:rsidR="00802CFF">
        <w:t>关于新增</w:t>
      </w:r>
      <w:r w:rsidR="00802CFF">
        <w:rPr>
          <w:rFonts w:hint="eastAsia"/>
        </w:rPr>
        <w:t>兴业银行</w:t>
      </w:r>
      <w:r w:rsidR="00802CFF">
        <w:t>为上投摩根基金管理有限公司旗下部分基金</w:t>
      </w:r>
      <w:r w:rsidR="00802CFF">
        <w:rPr>
          <w:rFonts w:hint="eastAsia"/>
        </w:rPr>
        <w:t>代销机构的</w:t>
      </w:r>
      <w:r w:rsidR="007553AB">
        <w:rPr>
          <w:rFonts w:hint="eastAsia"/>
        </w:rPr>
        <w:t>系列</w:t>
      </w:r>
      <w:r w:rsidR="00802CFF">
        <w:rPr>
          <w:rFonts w:hint="eastAsia"/>
        </w:rPr>
        <w:t>公告</w:t>
      </w:r>
      <w:r w:rsidR="005511A2">
        <w:rPr>
          <w:rFonts w:hint="eastAsia"/>
        </w:rPr>
        <w:t>、发售公告</w:t>
      </w:r>
      <w:r w:rsidR="007553AB">
        <w:rPr>
          <w:rFonts w:hint="eastAsia"/>
        </w:rPr>
        <w:t>。</w:t>
      </w:r>
      <w:r w:rsidR="007553AB">
        <w:t>现经</w:t>
      </w:r>
      <w:r w:rsidR="007553AB">
        <w:rPr>
          <w:rFonts w:hint="eastAsia"/>
        </w:rPr>
        <w:t>兴业银行与</w:t>
      </w:r>
      <w:r w:rsidR="007553AB">
        <w:t>本公司协商一致，</w:t>
      </w:r>
      <w:r w:rsidR="007553AB">
        <w:rPr>
          <w:rFonts w:hint="eastAsia"/>
        </w:rPr>
        <w:t>对相关业务作如下说明及调整</w:t>
      </w:r>
      <w:r w:rsidR="00042917" w:rsidRPr="003F1FC3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</w:p>
    <w:p w14:paraId="0D38C09A" w14:textId="77777777" w:rsidR="00D66735" w:rsidRPr="003F1FC3" w:rsidRDefault="00D66735">
      <w:pPr>
        <w:rPr>
          <w:rFonts w:asciiTheme="minorEastAsia" w:hAnsiTheme="minorEastAsia"/>
          <w:szCs w:val="21"/>
        </w:rPr>
      </w:pPr>
    </w:p>
    <w:p w14:paraId="55418074" w14:textId="536D9324" w:rsidR="003F1FC3" w:rsidRPr="003F1FC3" w:rsidRDefault="003F1FC3" w:rsidP="003F1FC3">
      <w:pPr>
        <w:rPr>
          <w:rFonts w:asciiTheme="minorEastAsia" w:hAnsiTheme="minorEastAsia"/>
          <w:b/>
          <w:szCs w:val="21"/>
        </w:rPr>
      </w:pPr>
      <w:r w:rsidRPr="003F1FC3">
        <w:rPr>
          <w:rFonts w:asciiTheme="minorEastAsia" w:hAnsiTheme="minorEastAsia" w:hint="eastAsia"/>
          <w:b/>
          <w:szCs w:val="21"/>
        </w:rPr>
        <w:t>一、</w:t>
      </w:r>
      <w:r w:rsidR="007553AB">
        <w:rPr>
          <w:rFonts w:asciiTheme="minorEastAsia" w:hAnsiTheme="minorEastAsia" w:hint="eastAsia"/>
          <w:b/>
          <w:szCs w:val="21"/>
        </w:rPr>
        <w:t>关于</w:t>
      </w:r>
      <w:r w:rsidRPr="003F1FC3">
        <w:rPr>
          <w:rFonts w:asciiTheme="minorEastAsia" w:hAnsiTheme="minorEastAsia" w:hint="eastAsia"/>
          <w:b/>
          <w:szCs w:val="21"/>
        </w:rPr>
        <w:t>业务办理渠道</w:t>
      </w:r>
      <w:r w:rsidR="007553AB">
        <w:rPr>
          <w:rFonts w:asciiTheme="minorEastAsia" w:hAnsiTheme="minorEastAsia" w:hint="eastAsia"/>
          <w:b/>
          <w:szCs w:val="21"/>
        </w:rPr>
        <w:t>的说明</w:t>
      </w:r>
    </w:p>
    <w:p w14:paraId="2CE2522A" w14:textId="410A0A4D" w:rsidR="00080D8B" w:rsidRDefault="00080D8B" w:rsidP="00080D8B">
      <w:pPr>
        <w:shd w:val="clear" w:color="auto" w:fill="FFFFFF"/>
        <w:spacing w:before="270" w:after="180" w:line="360" w:lineRule="auto"/>
        <w:ind w:firstLine="420"/>
        <w:jc w:val="left"/>
        <w:rPr>
          <w:color w:val="000000"/>
        </w:rPr>
      </w:pPr>
      <w:r w:rsidRPr="00080D8B">
        <w:rPr>
          <w:rFonts w:hint="eastAsia"/>
          <w:color w:val="000000"/>
        </w:rPr>
        <w:t>下述基金的申购、赎回、定期定额</w:t>
      </w:r>
      <w:r w:rsidR="00E3058D">
        <w:rPr>
          <w:rFonts w:hint="eastAsia"/>
          <w:color w:val="000000"/>
        </w:rPr>
        <w:t>投资</w:t>
      </w:r>
      <w:r w:rsidRPr="00080D8B">
        <w:rPr>
          <w:rFonts w:hint="eastAsia"/>
          <w:color w:val="000000"/>
        </w:rPr>
        <w:t>等相关业务仅限非</w:t>
      </w:r>
      <w:r>
        <w:rPr>
          <w:rFonts w:hint="eastAsia"/>
          <w:color w:val="000000"/>
        </w:rPr>
        <w:t>个人投资</w:t>
      </w:r>
      <w:r w:rsidR="00E3058D">
        <w:rPr>
          <w:rFonts w:hint="eastAsia"/>
          <w:color w:val="000000"/>
        </w:rPr>
        <w:t>者</w:t>
      </w:r>
      <w:r>
        <w:rPr>
          <w:rFonts w:hint="eastAsia"/>
          <w:color w:val="000000"/>
        </w:rPr>
        <w:t>通过兴业银行股份有限公司银银平台（以下简称“兴业银行银银平台”）开展。具体的业务流程、办理时间和办理方式以兴业银行及兴业银行银银平台的规定为准。</w:t>
      </w:r>
    </w:p>
    <w:tbl>
      <w:tblPr>
        <w:tblW w:w="8709" w:type="dxa"/>
        <w:tblInd w:w="-5" w:type="dxa"/>
        <w:tblLook w:val="04A0" w:firstRow="1" w:lastRow="0" w:firstColumn="1" w:lastColumn="0" w:noHBand="0" w:noVBand="1"/>
      </w:tblPr>
      <w:tblGrid>
        <w:gridCol w:w="709"/>
        <w:gridCol w:w="7088"/>
        <w:gridCol w:w="912"/>
      </w:tblGrid>
      <w:tr w:rsidR="00287CDF" w:rsidRPr="00042917" w14:paraId="38B237EB" w14:textId="77777777" w:rsidTr="0014008D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02C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0D12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57F7" w14:textId="77777777" w:rsidR="00287CDF" w:rsidRPr="003F1FC3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</w:t>
            </w:r>
          </w:p>
          <w:p w14:paraId="26E84BD7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代码</w:t>
            </w:r>
          </w:p>
        </w:tc>
      </w:tr>
      <w:tr w:rsidR="00287CDF" w:rsidRPr="00042917" w14:paraId="49E0C506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810C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9D67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上投摩根中债1-3年国开行债券指数证券投资基金A类份额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3C9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008844</w:t>
            </w:r>
          </w:p>
        </w:tc>
      </w:tr>
      <w:tr w:rsidR="00287CDF" w:rsidRPr="00042917" w14:paraId="71DB0893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3524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F34A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上投摩根安全战略股票型证券投资基金A类份额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5B3D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001009</w:t>
            </w:r>
          </w:p>
        </w:tc>
      </w:tr>
      <w:tr w:rsidR="00287CDF" w:rsidRPr="00042917" w14:paraId="3D9C92B0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4F24C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5A66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上投摩根核心精选股票型证券投资基金A类份额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096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005983</w:t>
            </w:r>
          </w:p>
        </w:tc>
      </w:tr>
      <w:tr w:rsidR="00287CDF" w:rsidRPr="00042917" w14:paraId="06D7FE6B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44C9E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2BB5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上投摩根健康品质生活混合型证券投资基金A类份额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7E3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377150</w:t>
            </w:r>
          </w:p>
        </w:tc>
      </w:tr>
      <w:tr w:rsidR="00287CDF" w:rsidRPr="00042917" w14:paraId="275DDAA8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FAB5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AF33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上投摩根量化多因子灵活配置混合型证券投资基金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E8E7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005120</w:t>
            </w:r>
          </w:p>
        </w:tc>
      </w:tr>
      <w:tr w:rsidR="00287CDF" w:rsidRPr="00042917" w14:paraId="50D2EFA0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A38B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D4F0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上投摩根民生需求股票型证券投资基金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032F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000524</w:t>
            </w:r>
          </w:p>
        </w:tc>
      </w:tr>
      <w:tr w:rsidR="00287CDF" w:rsidRPr="00042917" w14:paraId="23252639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FA6E4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4387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上投摩根瑞盛87个月定期开放债券型证券投资基金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95E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009895</w:t>
            </w:r>
          </w:p>
        </w:tc>
      </w:tr>
      <w:tr w:rsidR="00287CDF" w:rsidRPr="00042917" w14:paraId="161F6BBF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827F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A8C3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上投摩根转型动力灵活配置混合型证券投资基金A类份额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4636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000328</w:t>
            </w:r>
          </w:p>
        </w:tc>
      </w:tr>
      <w:tr w:rsidR="00287CDF" w:rsidRPr="00042917" w14:paraId="32CF98F0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480A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96AE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上投摩根富时发达市场REITs指数型证券投资基金（QDII）人民币份额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4C07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005613</w:t>
            </w:r>
          </w:p>
        </w:tc>
      </w:tr>
      <w:tr w:rsidR="00287CDF" w:rsidRPr="00042917" w14:paraId="119068C7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F45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C6E9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上投摩根卓越制造股票型证券投资基金C类份额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A48C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015075</w:t>
            </w:r>
          </w:p>
        </w:tc>
      </w:tr>
      <w:tr w:rsidR="00287CDF" w:rsidRPr="00042917" w14:paraId="4FE064F2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04C91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524F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上投摩根新兴动力混合型证券投资基金C类份额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6F73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014642</w:t>
            </w:r>
          </w:p>
        </w:tc>
      </w:tr>
      <w:tr w:rsidR="00287CDF" w:rsidRPr="00042917" w14:paraId="0E98109D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6D6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1249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上投摩根科技前沿灵活配置混合型证券投资基金C类份额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5CC0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014964</w:t>
            </w:r>
          </w:p>
        </w:tc>
      </w:tr>
      <w:tr w:rsidR="00287CDF" w:rsidRPr="00042917" w14:paraId="5997E3B3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208DC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D81C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上投摩根核心成长股票型证券投资基金A类份额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6B22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000457</w:t>
            </w:r>
          </w:p>
        </w:tc>
      </w:tr>
      <w:tr w:rsidR="00287CDF" w:rsidRPr="00042917" w14:paraId="0EDC89DF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721FF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F08E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上投摩根核心成长股票型证券投资基金C类份额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44E9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015170</w:t>
            </w:r>
          </w:p>
        </w:tc>
      </w:tr>
      <w:tr w:rsidR="00287CDF" w:rsidRPr="00042917" w14:paraId="695C0DBD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E0CA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88BE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上投摩根行业轮动混合型证券投资基金C类份额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8EF4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014641</w:t>
            </w:r>
          </w:p>
        </w:tc>
      </w:tr>
      <w:tr w:rsidR="00287CDF" w:rsidRPr="00042917" w14:paraId="12B71882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097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F318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上投摩根动力精选混合型证券投资基金A类份额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C9E5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006250</w:t>
            </w:r>
          </w:p>
        </w:tc>
      </w:tr>
      <w:tr w:rsidR="00287CDF" w:rsidRPr="00042917" w14:paraId="3FED935E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3DD30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497E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上投摩根动力精选混合型证券投资基金C类份额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0C17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013137</w:t>
            </w:r>
          </w:p>
        </w:tc>
      </w:tr>
      <w:tr w:rsidR="00287CDF" w:rsidRPr="00042917" w14:paraId="01210B31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B52C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00D3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上投摩根成长先锋混合型证券投资基金C类份额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78A4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015077</w:t>
            </w:r>
          </w:p>
        </w:tc>
      </w:tr>
      <w:tr w:rsidR="00287CDF" w:rsidRPr="00042917" w14:paraId="40733B8D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70195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A677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上投摩根MSCI中国A股交易型开放式指数证券投资基金联接基金A类份额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19D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008944</w:t>
            </w:r>
          </w:p>
        </w:tc>
      </w:tr>
      <w:tr w:rsidR="00287CDF" w:rsidRPr="00042917" w14:paraId="3909D2BE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06006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lastRenderedPageBreak/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8AD1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上投摩根MSCI中国A股交易型开放式指数证券投资基金联接基金C类份额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3617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008945</w:t>
            </w:r>
          </w:p>
        </w:tc>
      </w:tr>
      <w:tr w:rsidR="00287CDF" w:rsidRPr="00042917" w14:paraId="233F4D06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9A51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E05A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上投摩根阿尔法混合型证券投资基金C类份额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CF1D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015637</w:t>
            </w:r>
          </w:p>
        </w:tc>
      </w:tr>
      <w:tr w:rsidR="00287CDF" w:rsidRPr="00042917" w14:paraId="5AAE4726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AAF94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96C8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上投摩根安全战略股票型证券投资基金C类份额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493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015172</w:t>
            </w:r>
          </w:p>
        </w:tc>
      </w:tr>
      <w:tr w:rsidR="00287CDF" w:rsidRPr="00042917" w14:paraId="0D8129A8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C5E6F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BC2B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上投摩根安荣回报混合型证券投资基金A类份额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6A33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012366</w:t>
            </w:r>
          </w:p>
        </w:tc>
      </w:tr>
      <w:tr w:rsidR="00287CDF" w:rsidRPr="00042917" w14:paraId="63539A29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7C0B7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62D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上投摩根安荣回报混合型证券投资基金C类份额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20F2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012367</w:t>
            </w:r>
          </w:p>
        </w:tc>
      </w:tr>
      <w:tr w:rsidR="00287CDF" w:rsidRPr="00042917" w14:paraId="4D3B43FE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E043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8C58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上投摩根安通回报混合型证券投资基金A类份额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E80F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004361</w:t>
            </w:r>
          </w:p>
        </w:tc>
      </w:tr>
      <w:tr w:rsidR="00287CDF" w:rsidRPr="00042917" w14:paraId="309050A7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C381E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D6B9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上投摩根安通回报混合型证券投资基金C类份额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72EA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004362</w:t>
            </w:r>
          </w:p>
        </w:tc>
      </w:tr>
      <w:tr w:rsidR="00287CDF" w:rsidRPr="00042917" w14:paraId="44BDC632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E1BF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365F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上投摩根成长动力混合型证券投资基金A类份额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E07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000073</w:t>
            </w:r>
          </w:p>
        </w:tc>
      </w:tr>
      <w:tr w:rsidR="00287CDF" w:rsidRPr="00042917" w14:paraId="35D2446C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3B37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8A8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上投摩根成长动力混合型证券投资基金C类份额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B06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015638</w:t>
            </w:r>
          </w:p>
        </w:tc>
      </w:tr>
      <w:tr w:rsidR="00287CDF" w:rsidRPr="00042917" w14:paraId="7ADBF5A2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7B761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DD66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上投摩根创新商业模式灵活配置混合型证券投资基金A类份额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981A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005593</w:t>
            </w:r>
          </w:p>
        </w:tc>
      </w:tr>
      <w:tr w:rsidR="00287CDF" w:rsidRPr="00042917" w14:paraId="42350E2E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B4009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8099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上投摩根纯债丰利债券型证券投资基金A类份额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3392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000839</w:t>
            </w:r>
          </w:p>
        </w:tc>
      </w:tr>
      <w:tr w:rsidR="00287CDF" w:rsidRPr="00042917" w14:paraId="026C21F0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DBFA6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FAF9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上投摩根纯债丰利债券型证券投资基金C类份额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2116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000840</w:t>
            </w:r>
          </w:p>
        </w:tc>
      </w:tr>
      <w:tr w:rsidR="00287CDF" w:rsidRPr="00042917" w14:paraId="0DA8757B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E989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306E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上投摩根动态多因子策略灵活配置混合型证券投资基金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A652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001219</w:t>
            </w:r>
          </w:p>
        </w:tc>
      </w:tr>
      <w:tr w:rsidR="00287CDF" w:rsidRPr="00042917" w14:paraId="6E219CE5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FAC87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7D66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上投摩根丰瑞债券型证券投资基金A类份额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A167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005366</w:t>
            </w:r>
          </w:p>
        </w:tc>
      </w:tr>
      <w:tr w:rsidR="00287CDF" w:rsidRPr="00042917" w14:paraId="4BA828AD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EB0A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5AB6">
              <w:t>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9D33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上投摩根丰瑞债券型证券投资基金C类份额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7AB4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005367</w:t>
            </w:r>
          </w:p>
        </w:tc>
      </w:tr>
      <w:tr w:rsidR="00287CDF" w:rsidRPr="00042917" w14:paraId="095C23D8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5429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5E2C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上投摩根核心精选股票型证券投资基金C类份额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7715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014937</w:t>
            </w:r>
          </w:p>
        </w:tc>
      </w:tr>
      <w:tr w:rsidR="00287CDF" w:rsidRPr="00042917" w14:paraId="5968413B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7C653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221D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上投摩根核心优选混合型证券投资基金A类份额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82B4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370024</w:t>
            </w:r>
          </w:p>
        </w:tc>
      </w:tr>
      <w:tr w:rsidR="00287CDF" w:rsidRPr="00042917" w14:paraId="43CE0327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B486E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6F30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上投摩根核心优选混合型证券投资基金C类份额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6C5C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015057</w:t>
            </w:r>
          </w:p>
        </w:tc>
      </w:tr>
      <w:tr w:rsidR="00287CDF" w:rsidRPr="00042917" w14:paraId="090E8326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C110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711B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上投摩根健康品质生活混合型证券投资基金C类份额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010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015346</w:t>
            </w:r>
          </w:p>
        </w:tc>
      </w:tr>
      <w:tr w:rsidR="00287CDF" w:rsidRPr="00042917" w14:paraId="1801AEB9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A0A3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CFC6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上投摩根景气甄选混合型证券投资基金A类份额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B912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013006</w:t>
            </w:r>
          </w:p>
        </w:tc>
      </w:tr>
      <w:tr w:rsidR="00287CDF" w:rsidRPr="00042917" w14:paraId="70BFBB02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B81E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0042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上投摩根景气甄选混合型证券投资基金C类份额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C801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013007</w:t>
            </w:r>
          </w:p>
        </w:tc>
      </w:tr>
      <w:tr w:rsidR="00287CDF" w:rsidRPr="00042917" w14:paraId="37F320A9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241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D454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上投摩根领先优选混合型证券投资基金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A762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006890</w:t>
            </w:r>
          </w:p>
        </w:tc>
      </w:tr>
      <w:tr w:rsidR="00287CDF" w:rsidRPr="00042917" w14:paraId="30BD7C8A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C6DE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F375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上投摩根欧洲动力策略股票型证券投资基金(QDII)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D44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006282</w:t>
            </w:r>
          </w:p>
        </w:tc>
      </w:tr>
      <w:tr w:rsidR="00287CDF" w:rsidRPr="00042917" w14:paraId="1CBCFCBD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F7E51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CE82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上投摩根全景优势股票型证券投资基金A类份额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060D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013899</w:t>
            </w:r>
          </w:p>
        </w:tc>
      </w:tr>
      <w:tr w:rsidR="00287CDF" w:rsidRPr="00042917" w14:paraId="79A533F5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8943D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96C4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上投摩根全景优势股票型证券投资基金C类份额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B64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013900</w:t>
            </w:r>
          </w:p>
        </w:tc>
      </w:tr>
      <w:tr w:rsidR="00287CDF" w:rsidRPr="00042917" w14:paraId="312A4B04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7409A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44DC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上投摩根全球多元配置证券投资基金(QDII)人民币份额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A1D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003629</w:t>
            </w:r>
          </w:p>
        </w:tc>
      </w:tr>
      <w:tr w:rsidR="00287CDF" w:rsidRPr="00042917" w14:paraId="00050074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CA6FA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AC72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上投摩根全球天然资源混合型证券投资基金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7345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378546</w:t>
            </w:r>
          </w:p>
        </w:tc>
      </w:tr>
      <w:tr w:rsidR="00287CDF" w:rsidRPr="00042917" w14:paraId="4AD4BB3E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F0235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A192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上投摩根全球新兴市场混合型证券投资基金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181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378006</w:t>
            </w:r>
          </w:p>
        </w:tc>
      </w:tr>
      <w:tr w:rsidR="00287CDF" w:rsidRPr="00042917" w14:paraId="15431BFA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027E4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4506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上投摩根日本精选股票型证券投资基金(QDII)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BFF0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007280</w:t>
            </w:r>
          </w:p>
        </w:tc>
      </w:tr>
      <w:tr w:rsidR="00287CDF" w:rsidRPr="00042917" w14:paraId="62D28BF7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0BBA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CA77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上投摩根瑞泰38个月定期开放债券型证券投资基金A类份额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26A6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008759</w:t>
            </w:r>
          </w:p>
        </w:tc>
      </w:tr>
      <w:tr w:rsidR="00287CDF" w:rsidRPr="00042917" w14:paraId="64273FB9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05E85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DB5A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上投摩根瑞泰38个月定期开放债券型证券投资基金C类份额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C6AA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008760</w:t>
            </w:r>
          </w:p>
        </w:tc>
      </w:tr>
      <w:tr w:rsidR="00287CDF" w:rsidRPr="00042917" w14:paraId="61B06362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47F7C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ABBD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上投摩根瑞益纯债债券型证券投资基金A类份额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3685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007329</w:t>
            </w:r>
          </w:p>
        </w:tc>
      </w:tr>
      <w:tr w:rsidR="00287CDF" w:rsidRPr="00042917" w14:paraId="7E32ACB3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182FD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FC53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上投摩根瑞益纯债债券型证券投资基金C类份额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E2E2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007330</w:t>
            </w:r>
          </w:p>
        </w:tc>
      </w:tr>
      <w:tr w:rsidR="00287CDF" w:rsidRPr="00042917" w14:paraId="78F0D6D2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83C7F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BC83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上投摩根尚睿混合型基金中基金(FOF)C类份额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C87A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015054</w:t>
            </w:r>
          </w:p>
        </w:tc>
      </w:tr>
      <w:tr w:rsidR="00287CDF" w:rsidRPr="00042917" w14:paraId="3E547092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E22B6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73A9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上投摩根双核平衡混合型证券投资基金C类份额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088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015174</w:t>
            </w:r>
          </w:p>
        </w:tc>
      </w:tr>
      <w:tr w:rsidR="00287CDF" w:rsidRPr="00042917" w14:paraId="04F7A2F0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F741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9B80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上投摩根双债增利债券型证券投资基金A类份额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7517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000377</w:t>
            </w:r>
          </w:p>
        </w:tc>
      </w:tr>
      <w:tr w:rsidR="00287CDF" w:rsidRPr="00042917" w14:paraId="37177668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291C7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48CC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上投摩根双债增利债券型证券投资基金C类份额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9B3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000378</w:t>
            </w:r>
          </w:p>
        </w:tc>
      </w:tr>
      <w:tr w:rsidR="00287CDF" w:rsidRPr="00042917" w14:paraId="5ABCBAE5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63D10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B04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上投摩根文体休闲灵活配置混合型证券投资基金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77E0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001795</w:t>
            </w:r>
          </w:p>
        </w:tc>
      </w:tr>
      <w:tr w:rsidR="00287CDF" w:rsidRPr="00042917" w14:paraId="4E4CA4A5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ABA09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B2C0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上投摩根香港精选港股通混合型证券投资基金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548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005701</w:t>
            </w:r>
          </w:p>
        </w:tc>
      </w:tr>
      <w:tr w:rsidR="00287CDF" w:rsidRPr="00042917" w14:paraId="2C49E1F5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5337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6126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上投摩根新兴服务股票型证券投资基金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F7FF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001482</w:t>
            </w:r>
          </w:p>
        </w:tc>
      </w:tr>
      <w:tr w:rsidR="00287CDF" w:rsidRPr="00042917" w14:paraId="5A2DE5FF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3232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8DE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上投摩根研究驱动股票型证券投资基金A类份额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81D1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007388</w:t>
            </w:r>
          </w:p>
        </w:tc>
      </w:tr>
      <w:tr w:rsidR="00287CDF" w:rsidRPr="00042917" w14:paraId="1C69F781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D54E2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3580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上投摩根研究驱动股票型证券投资基金C类份额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2957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007389</w:t>
            </w:r>
          </w:p>
        </w:tc>
      </w:tr>
      <w:tr w:rsidR="00287CDF" w:rsidRPr="00042917" w14:paraId="1F7375B4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BDF2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B98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上投摩根医疗健康股票型证券投资基金C类份额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5F0F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014932</w:t>
            </w:r>
          </w:p>
        </w:tc>
      </w:tr>
      <w:tr w:rsidR="00287CDF" w:rsidRPr="00042917" w14:paraId="1A476A15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3729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DF49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上投摩根优势成长混合型证券投资基金A类份额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C09E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011196</w:t>
            </w:r>
          </w:p>
        </w:tc>
      </w:tr>
      <w:tr w:rsidR="00287CDF" w:rsidRPr="00042917" w14:paraId="0A763516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64B2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DBED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上投摩根优势成长混合型证券投资基金C类份额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F615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011197</w:t>
            </w:r>
          </w:p>
        </w:tc>
      </w:tr>
      <w:tr w:rsidR="00287CDF" w:rsidRPr="00042917" w14:paraId="00F23186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3BF8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9506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上投摩根中国优势证券投资基金C类份额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F1CE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015709</w:t>
            </w:r>
          </w:p>
        </w:tc>
      </w:tr>
      <w:tr w:rsidR="00287CDF" w:rsidRPr="00042917" w14:paraId="2EFD49E4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924E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B61E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上投摩根中债1-3年国开行债券指数证券投资基金C类份额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84E6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008845</w:t>
            </w:r>
          </w:p>
        </w:tc>
      </w:tr>
      <w:tr w:rsidR="00287CDF" w:rsidRPr="00042917" w14:paraId="48D8134B" w14:textId="77777777" w:rsidTr="0014008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7D9B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6B9D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上投摩根转型动力灵活配置混合型证券投资基金C类份额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4ABD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429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015074</w:t>
            </w:r>
          </w:p>
        </w:tc>
      </w:tr>
      <w:tr w:rsidR="00287CDF" w:rsidRPr="00042917" w14:paraId="3EC37CD0" w14:textId="77777777" w:rsidTr="0014008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90DE6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E860" w14:textId="77777777" w:rsidR="00287CDF" w:rsidRPr="00042917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48D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上投摩根瑞享纯债债券型证券投资基金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A类份额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9114" w14:textId="77777777" w:rsidR="00287CDF" w:rsidRPr="00042917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48D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016210</w:t>
            </w:r>
          </w:p>
        </w:tc>
      </w:tr>
      <w:tr w:rsidR="00287CDF" w:rsidRPr="00042917" w14:paraId="2BE435DC" w14:textId="77777777" w:rsidTr="0014008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81B84" w14:textId="77777777" w:rsidR="00287CDF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7CA2" w14:textId="77777777" w:rsidR="00287CDF" w:rsidRPr="005748D3" w:rsidRDefault="00287CDF" w:rsidP="001400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48D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上投摩根瑞享纯债债券型证券投资基金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C类份额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1910" w14:textId="77777777" w:rsidR="00287CDF" w:rsidRPr="005748D3" w:rsidRDefault="00287CDF" w:rsidP="00EE1A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748D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016211</w:t>
            </w:r>
          </w:p>
        </w:tc>
      </w:tr>
    </w:tbl>
    <w:p w14:paraId="0F79B8B8" w14:textId="7CA71903" w:rsidR="001111DE" w:rsidRDefault="001111DE" w:rsidP="00EE1A9C">
      <w:pPr>
        <w:widowControl/>
        <w:shd w:val="clear" w:color="auto" w:fill="FFFFFF"/>
        <w:spacing w:before="270" w:after="180"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14:paraId="2DA0BDE4" w14:textId="088E7ACC" w:rsidR="001111DE" w:rsidRPr="00CB10E2" w:rsidRDefault="007553AB" w:rsidP="001111D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关于</w:t>
      </w:r>
      <w:r w:rsidR="002C0C40">
        <w:rPr>
          <w:rFonts w:asciiTheme="minorEastAsia" w:hAnsiTheme="minorEastAsia" w:hint="eastAsia"/>
          <w:b/>
          <w:szCs w:val="21"/>
        </w:rPr>
        <w:t>延迟开通部分基金代销业务</w:t>
      </w:r>
      <w:r>
        <w:rPr>
          <w:rFonts w:asciiTheme="minorEastAsia" w:hAnsiTheme="minorEastAsia" w:hint="eastAsia"/>
          <w:b/>
          <w:szCs w:val="21"/>
        </w:rPr>
        <w:t>的</w:t>
      </w:r>
      <w:r w:rsidR="002C0C40">
        <w:rPr>
          <w:rFonts w:asciiTheme="minorEastAsia" w:hAnsiTheme="minorEastAsia" w:hint="eastAsia"/>
          <w:b/>
          <w:szCs w:val="21"/>
        </w:rPr>
        <w:t>说明</w:t>
      </w:r>
    </w:p>
    <w:p w14:paraId="0AA1A92D" w14:textId="47BBBB98" w:rsidR="001111DE" w:rsidRDefault="001111DE" w:rsidP="001111DE">
      <w:pPr>
        <w:widowControl/>
        <w:shd w:val="clear" w:color="auto" w:fill="FFFFFF"/>
        <w:spacing w:before="270" w:after="180" w:line="360" w:lineRule="auto"/>
        <w:ind w:firstLineChars="200" w:firstLine="420"/>
        <w:jc w:val="left"/>
      </w:pPr>
      <w:r>
        <w:rPr>
          <w:rFonts w:hint="eastAsia"/>
        </w:rPr>
        <w:t>兴业银行将</w:t>
      </w:r>
      <w:r w:rsidR="002C0C40">
        <w:rPr>
          <w:rFonts w:hint="eastAsia"/>
        </w:rPr>
        <w:t>延</w:t>
      </w:r>
      <w:r>
        <w:rPr>
          <w:rFonts w:hint="eastAsia"/>
        </w:rPr>
        <w:t>迟</w:t>
      </w:r>
      <w:r w:rsidR="00005A52">
        <w:rPr>
          <w:rFonts w:hint="eastAsia"/>
        </w:rPr>
        <w:t>开通</w:t>
      </w:r>
      <w:r>
        <w:rPr>
          <w:rFonts w:hint="eastAsia"/>
        </w:rPr>
        <w:t>下</w:t>
      </w:r>
      <w:r>
        <w:t>列基金</w:t>
      </w:r>
      <w:r w:rsidR="00005A52">
        <w:rPr>
          <w:rFonts w:hint="eastAsia"/>
        </w:rPr>
        <w:t>的</w:t>
      </w:r>
      <w:r w:rsidR="00005A52" w:rsidRPr="00005A52">
        <w:rPr>
          <w:rFonts w:hint="eastAsia"/>
        </w:rPr>
        <w:t>申购、赎回、定期定额</w:t>
      </w:r>
      <w:r w:rsidR="00002317">
        <w:rPr>
          <w:rFonts w:hint="eastAsia"/>
        </w:rPr>
        <w:t>投资</w:t>
      </w:r>
      <w:r w:rsidR="00005A52" w:rsidRPr="00005A52">
        <w:rPr>
          <w:rFonts w:hint="eastAsia"/>
        </w:rPr>
        <w:t>等</w:t>
      </w:r>
      <w:r>
        <w:t>相关业务</w:t>
      </w:r>
      <w:r>
        <w:rPr>
          <w:rFonts w:hint="eastAsia"/>
        </w:rPr>
        <w:t>，具体开通时间将另行公告：</w:t>
      </w:r>
    </w:p>
    <w:tbl>
      <w:tblPr>
        <w:tblW w:w="8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1338"/>
      </w:tblGrid>
      <w:tr w:rsidR="001111DE" w:rsidRPr="00197AFA" w14:paraId="60634A08" w14:textId="77777777" w:rsidTr="0014008D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E3D28D" w14:textId="77777777" w:rsidR="001111DE" w:rsidRPr="00CB10E2" w:rsidRDefault="001111DE" w:rsidP="00EE1A9C">
            <w:pPr>
              <w:widowControl/>
              <w:jc w:val="center"/>
            </w:pPr>
            <w:r w:rsidRPr="00CB10E2">
              <w:rPr>
                <w:rFonts w:hint="eastAsia"/>
              </w:rPr>
              <w:t>序号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1D1155B3" w14:textId="77777777" w:rsidR="001111DE" w:rsidRPr="00CB10E2" w:rsidRDefault="001111DE" w:rsidP="00EE1A9C">
            <w:pPr>
              <w:widowControl/>
              <w:jc w:val="center"/>
            </w:pPr>
            <w:r w:rsidRPr="00CB10E2">
              <w:rPr>
                <w:rFonts w:hint="eastAsia"/>
              </w:rPr>
              <w:t>基金名称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D116BD9" w14:textId="77777777" w:rsidR="001111DE" w:rsidRPr="00CB10E2" w:rsidRDefault="001111DE" w:rsidP="00EE1A9C">
            <w:pPr>
              <w:widowControl/>
              <w:jc w:val="center"/>
            </w:pPr>
            <w:r w:rsidRPr="00CB10E2">
              <w:rPr>
                <w:rFonts w:hint="eastAsia"/>
              </w:rPr>
              <w:t>基金代码</w:t>
            </w:r>
          </w:p>
        </w:tc>
      </w:tr>
      <w:tr w:rsidR="001111DE" w:rsidRPr="00197AFA" w14:paraId="3054AC01" w14:textId="77777777" w:rsidTr="0014008D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</w:tcPr>
          <w:p w14:paraId="5C1C0BD1" w14:textId="77777777" w:rsidR="001111DE" w:rsidRPr="00CB10E2" w:rsidRDefault="001111DE" w:rsidP="00EE1A9C">
            <w:pPr>
              <w:widowControl/>
              <w:jc w:val="center"/>
            </w:pPr>
            <w:r w:rsidRPr="00CB10E2">
              <w:rPr>
                <w:rFonts w:hint="eastAsia"/>
              </w:rPr>
              <w:t>1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AFE34E1" w14:textId="77777777" w:rsidR="001111DE" w:rsidRPr="00CB10E2" w:rsidRDefault="001111DE" w:rsidP="0014008D">
            <w:pPr>
              <w:widowControl/>
              <w:jc w:val="left"/>
            </w:pPr>
            <w:r w:rsidRPr="00CB10E2">
              <w:rPr>
                <w:rFonts w:hint="eastAsia"/>
              </w:rPr>
              <w:t>上投摩根富时发达市场REITs指数型证券投资基金(QDII)美元现钞份额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53F816A" w14:textId="77777777" w:rsidR="001111DE" w:rsidRPr="00CB10E2" w:rsidRDefault="001111DE" w:rsidP="00EE1A9C">
            <w:pPr>
              <w:widowControl/>
              <w:jc w:val="center"/>
            </w:pPr>
            <w:r w:rsidRPr="00CB10E2">
              <w:rPr>
                <w:rFonts w:hint="eastAsia"/>
              </w:rPr>
              <w:t>005614</w:t>
            </w:r>
          </w:p>
        </w:tc>
      </w:tr>
      <w:tr w:rsidR="001111DE" w:rsidRPr="00197AFA" w14:paraId="4129CA3D" w14:textId="77777777" w:rsidTr="0014008D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</w:tcPr>
          <w:p w14:paraId="3B577CCD" w14:textId="77777777" w:rsidR="001111DE" w:rsidRPr="00CB10E2" w:rsidRDefault="001111DE" w:rsidP="00EE1A9C">
            <w:pPr>
              <w:widowControl/>
              <w:jc w:val="center"/>
            </w:pPr>
            <w:r w:rsidRPr="00CB10E2">
              <w:rPr>
                <w:rFonts w:hint="eastAsia"/>
              </w:rPr>
              <w:t>2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265BA788" w14:textId="77777777" w:rsidR="001111DE" w:rsidRPr="00CB10E2" w:rsidRDefault="001111DE" w:rsidP="0014008D">
            <w:pPr>
              <w:widowControl/>
              <w:jc w:val="left"/>
            </w:pPr>
            <w:r w:rsidRPr="00CB10E2">
              <w:rPr>
                <w:rFonts w:hint="eastAsia"/>
              </w:rPr>
              <w:t>上投摩根富时发达市场REITs指数型证券投资基金(QDII)美元现汇份额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536C4D4" w14:textId="77777777" w:rsidR="001111DE" w:rsidRPr="00CB10E2" w:rsidRDefault="001111DE" w:rsidP="00EE1A9C">
            <w:pPr>
              <w:widowControl/>
              <w:jc w:val="center"/>
            </w:pPr>
            <w:r w:rsidRPr="00CB10E2">
              <w:rPr>
                <w:rFonts w:hint="eastAsia"/>
              </w:rPr>
              <w:t>005615</w:t>
            </w:r>
          </w:p>
        </w:tc>
      </w:tr>
      <w:tr w:rsidR="00EF4BE8" w:rsidRPr="00197AFA" w14:paraId="6506520B" w14:textId="77777777" w:rsidTr="0014008D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</w:tcPr>
          <w:p w14:paraId="7A70FCA1" w14:textId="22B6BFAD" w:rsidR="00EF4BE8" w:rsidRPr="00CB10E2" w:rsidRDefault="00EF4BE8" w:rsidP="00EE1A9C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5B98A246" w14:textId="3EE6B7DC" w:rsidR="00EF4BE8" w:rsidRPr="00CB10E2" w:rsidRDefault="008F379F" w:rsidP="0014008D">
            <w:pPr>
              <w:widowControl/>
              <w:jc w:val="left"/>
            </w:pPr>
            <w:r w:rsidRPr="00CB10E2">
              <w:rPr>
                <w:rFonts w:hint="eastAsia"/>
              </w:rPr>
              <w:t>上投摩根全球多元配置证券投资基金(QDII)</w:t>
            </w:r>
            <w:r w:rsidR="00EF4BE8" w:rsidRPr="00EF4BE8">
              <w:t>人民币份额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14:paraId="099645F4" w14:textId="4F2B95F1" w:rsidR="00EF4BE8" w:rsidRPr="00CB10E2" w:rsidRDefault="00EF4BE8" w:rsidP="00EE1A9C">
            <w:pPr>
              <w:widowControl/>
              <w:jc w:val="center"/>
            </w:pPr>
            <w:r>
              <w:rPr>
                <w:rFonts w:hint="eastAsia"/>
              </w:rPr>
              <w:t>0</w:t>
            </w:r>
            <w:r>
              <w:t>03629</w:t>
            </w:r>
          </w:p>
        </w:tc>
      </w:tr>
      <w:tr w:rsidR="001111DE" w:rsidRPr="00CB10E2" w14:paraId="7DF490DE" w14:textId="77777777" w:rsidTr="0014008D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</w:tcPr>
          <w:p w14:paraId="7B405C1A" w14:textId="57E40EA3" w:rsidR="001111DE" w:rsidRPr="00CB10E2" w:rsidRDefault="00EF4BE8" w:rsidP="00EE1A9C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6F1A3865" w14:textId="77777777" w:rsidR="001111DE" w:rsidRPr="00CB10E2" w:rsidRDefault="001111DE" w:rsidP="0014008D">
            <w:pPr>
              <w:widowControl/>
              <w:jc w:val="left"/>
            </w:pPr>
            <w:r w:rsidRPr="00CB10E2">
              <w:rPr>
                <w:rFonts w:hint="eastAsia"/>
              </w:rPr>
              <w:t>上投摩根全球多元配置证券投资基金(QDII)美元现钞份额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BF26AB5" w14:textId="77777777" w:rsidR="001111DE" w:rsidRPr="00CB10E2" w:rsidRDefault="001111DE" w:rsidP="00EE1A9C">
            <w:pPr>
              <w:widowControl/>
              <w:jc w:val="center"/>
            </w:pPr>
            <w:r w:rsidRPr="00CB10E2">
              <w:rPr>
                <w:rFonts w:hint="eastAsia"/>
              </w:rPr>
              <w:t>003630</w:t>
            </w:r>
          </w:p>
        </w:tc>
      </w:tr>
      <w:tr w:rsidR="001111DE" w:rsidRPr="00CB10E2" w14:paraId="08A31E5F" w14:textId="77777777" w:rsidTr="0014008D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</w:tcPr>
          <w:p w14:paraId="2A66A32A" w14:textId="6312654B" w:rsidR="001111DE" w:rsidRPr="00CB10E2" w:rsidRDefault="00EF4BE8" w:rsidP="00EE1A9C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E8E4851" w14:textId="77777777" w:rsidR="001111DE" w:rsidRPr="00CB10E2" w:rsidRDefault="001111DE" w:rsidP="0014008D">
            <w:pPr>
              <w:widowControl/>
              <w:jc w:val="left"/>
            </w:pPr>
            <w:r w:rsidRPr="00CB10E2">
              <w:rPr>
                <w:rFonts w:hint="eastAsia"/>
              </w:rPr>
              <w:t>上投摩根全球多元配置证券投资基金(QDII)美元现汇份额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3791EE5" w14:textId="77777777" w:rsidR="001111DE" w:rsidRPr="00CB10E2" w:rsidRDefault="001111DE" w:rsidP="00EE1A9C">
            <w:pPr>
              <w:widowControl/>
              <w:jc w:val="center"/>
            </w:pPr>
            <w:r w:rsidRPr="00CB10E2">
              <w:rPr>
                <w:rFonts w:hint="eastAsia"/>
              </w:rPr>
              <w:t>003631</w:t>
            </w:r>
          </w:p>
        </w:tc>
      </w:tr>
    </w:tbl>
    <w:p w14:paraId="234C87C8" w14:textId="21DEEBB9" w:rsidR="001111DE" w:rsidRPr="00EE1A9C" w:rsidRDefault="001111DE" w:rsidP="00EE1A9C">
      <w:pPr>
        <w:rPr>
          <w:rFonts w:asciiTheme="minorEastAsia" w:hAnsiTheme="minorEastAsia"/>
          <w:b/>
          <w:szCs w:val="21"/>
        </w:rPr>
      </w:pPr>
    </w:p>
    <w:p w14:paraId="65640E0A" w14:textId="77777777" w:rsidR="003F1FC3" w:rsidRPr="003F1FC3" w:rsidRDefault="003F1FC3" w:rsidP="003F1FC3">
      <w:pPr>
        <w:widowControl/>
        <w:shd w:val="clear" w:color="auto" w:fill="FFFFFF"/>
        <w:spacing w:before="270" w:after="180"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F1FC3">
        <w:rPr>
          <w:rFonts w:asciiTheme="minorEastAsia" w:hAnsiTheme="minorEastAsia" w:cs="宋体"/>
          <w:color w:val="000000"/>
          <w:kern w:val="0"/>
          <w:szCs w:val="21"/>
        </w:rPr>
        <w:t>有关上述基金销售的具体事宜请仔细阅读上述基金的招募说明书、基金产品资料概要及基金合同等相关法律文件。</w:t>
      </w:r>
    </w:p>
    <w:p w14:paraId="4A7B71DF" w14:textId="77777777" w:rsidR="003F1FC3" w:rsidRPr="003F1FC3" w:rsidRDefault="003F1FC3" w:rsidP="003F1FC3">
      <w:pPr>
        <w:spacing w:line="360" w:lineRule="auto"/>
        <w:rPr>
          <w:rFonts w:asciiTheme="minorEastAsia" w:hAnsiTheme="minorEastAsia" w:cs="Arial"/>
          <w:b/>
          <w:szCs w:val="21"/>
        </w:rPr>
      </w:pPr>
      <w:r w:rsidRPr="003F1FC3">
        <w:rPr>
          <w:rFonts w:asciiTheme="minorEastAsia" w:hAnsiTheme="minorEastAsia" w:cs="Arial"/>
          <w:b/>
          <w:szCs w:val="21"/>
        </w:rPr>
        <w:t xml:space="preserve">投资者可通过以下途径咨询有关详情：　</w:t>
      </w:r>
    </w:p>
    <w:p w14:paraId="7CCC427D" w14:textId="77777777" w:rsidR="003F1FC3" w:rsidRPr="003F1FC3" w:rsidRDefault="003F1FC3" w:rsidP="003F1FC3">
      <w:pPr>
        <w:spacing w:line="360" w:lineRule="auto"/>
        <w:rPr>
          <w:rFonts w:asciiTheme="minorEastAsia" w:hAnsiTheme="minorEastAsia" w:cs="Arial"/>
          <w:szCs w:val="21"/>
        </w:rPr>
      </w:pPr>
      <w:r w:rsidRPr="003F1FC3">
        <w:rPr>
          <w:rFonts w:asciiTheme="minorEastAsia" w:hAnsiTheme="minorEastAsia" w:cs="Arial"/>
          <w:szCs w:val="21"/>
        </w:rPr>
        <w:t>1、</w:t>
      </w:r>
      <w:r w:rsidRPr="003F1FC3">
        <w:rPr>
          <w:rFonts w:asciiTheme="minorEastAsia" w:hAnsiTheme="minorEastAsia" w:cs="Arial" w:hint="eastAsia"/>
          <w:szCs w:val="21"/>
        </w:rPr>
        <w:t>兴业银行股份有限公司</w:t>
      </w:r>
    </w:p>
    <w:p w14:paraId="431FA461" w14:textId="77777777" w:rsidR="003F1FC3" w:rsidRPr="003F1FC3" w:rsidRDefault="003F1FC3" w:rsidP="003F1FC3">
      <w:pPr>
        <w:spacing w:line="360" w:lineRule="auto"/>
        <w:rPr>
          <w:rFonts w:asciiTheme="minorEastAsia" w:hAnsiTheme="minorEastAsia" w:cs="Arial"/>
          <w:szCs w:val="21"/>
        </w:rPr>
      </w:pPr>
      <w:r w:rsidRPr="003F1FC3">
        <w:rPr>
          <w:rFonts w:asciiTheme="minorEastAsia" w:hAnsiTheme="minorEastAsia" w:cs="Arial"/>
          <w:szCs w:val="21"/>
        </w:rPr>
        <w:t>客服电话：95561</w:t>
      </w:r>
    </w:p>
    <w:p w14:paraId="2FF1F787" w14:textId="77777777" w:rsidR="003F1FC3" w:rsidRPr="003F1FC3" w:rsidRDefault="003F1FC3" w:rsidP="003F1FC3">
      <w:pPr>
        <w:tabs>
          <w:tab w:val="left" w:pos="1956"/>
        </w:tabs>
        <w:spacing w:line="360" w:lineRule="auto"/>
        <w:rPr>
          <w:rFonts w:asciiTheme="minorEastAsia" w:hAnsiTheme="minorEastAsia" w:cs="Arial"/>
          <w:szCs w:val="21"/>
        </w:rPr>
      </w:pPr>
      <w:r w:rsidRPr="003F1FC3">
        <w:rPr>
          <w:rFonts w:asciiTheme="minorEastAsia" w:hAnsiTheme="minorEastAsia" w:cs="Arial"/>
          <w:szCs w:val="21"/>
        </w:rPr>
        <w:t>网</w:t>
      </w:r>
      <w:r w:rsidRPr="003F1FC3">
        <w:rPr>
          <w:rFonts w:asciiTheme="minorEastAsia" w:hAnsiTheme="minorEastAsia" w:cs="Arial" w:hint="eastAsia"/>
          <w:szCs w:val="21"/>
        </w:rPr>
        <w:t>址</w:t>
      </w:r>
      <w:r w:rsidRPr="003F1FC3">
        <w:rPr>
          <w:rFonts w:asciiTheme="minorEastAsia" w:hAnsiTheme="minorEastAsia" w:cs="Arial"/>
          <w:szCs w:val="21"/>
        </w:rPr>
        <w:t>：www.cib.com.cn</w:t>
      </w:r>
    </w:p>
    <w:p w14:paraId="70B1CB29" w14:textId="77777777" w:rsidR="003F1FC3" w:rsidRPr="003F1FC3" w:rsidRDefault="003F1FC3" w:rsidP="003F1FC3">
      <w:pPr>
        <w:spacing w:line="360" w:lineRule="auto"/>
        <w:rPr>
          <w:rFonts w:asciiTheme="minorEastAsia" w:hAnsiTheme="minorEastAsia" w:cs="Arial"/>
          <w:szCs w:val="21"/>
        </w:rPr>
      </w:pPr>
    </w:p>
    <w:p w14:paraId="6FCBCAEB" w14:textId="77777777" w:rsidR="003F1FC3" w:rsidRPr="003F1FC3" w:rsidRDefault="003F1FC3" w:rsidP="003F1FC3">
      <w:pPr>
        <w:spacing w:line="360" w:lineRule="auto"/>
        <w:rPr>
          <w:rFonts w:asciiTheme="minorEastAsia" w:hAnsiTheme="minorEastAsia" w:cs="Arial"/>
          <w:szCs w:val="21"/>
        </w:rPr>
      </w:pPr>
      <w:r w:rsidRPr="003F1FC3">
        <w:rPr>
          <w:rFonts w:asciiTheme="minorEastAsia" w:hAnsiTheme="minorEastAsia" w:cs="Arial"/>
          <w:szCs w:val="21"/>
        </w:rPr>
        <w:t>2、上投摩根基金管理有限公司</w:t>
      </w:r>
    </w:p>
    <w:p w14:paraId="78349047" w14:textId="77777777" w:rsidR="003F1FC3" w:rsidRPr="003F1FC3" w:rsidRDefault="003F1FC3" w:rsidP="003F1FC3">
      <w:pPr>
        <w:spacing w:line="360" w:lineRule="auto"/>
        <w:rPr>
          <w:rFonts w:asciiTheme="minorEastAsia" w:hAnsiTheme="minorEastAsia" w:cs="Arial"/>
          <w:szCs w:val="21"/>
        </w:rPr>
      </w:pPr>
      <w:r w:rsidRPr="003F1FC3">
        <w:rPr>
          <w:rFonts w:asciiTheme="minorEastAsia" w:hAnsiTheme="minorEastAsia" w:cs="Arial" w:hint="eastAsia"/>
          <w:szCs w:val="21"/>
        </w:rPr>
        <w:t>客服电话</w:t>
      </w:r>
      <w:r w:rsidRPr="003F1FC3">
        <w:rPr>
          <w:rFonts w:asciiTheme="minorEastAsia" w:hAnsiTheme="minorEastAsia" w:cs="Arial"/>
          <w:szCs w:val="21"/>
        </w:rPr>
        <w:t>：400</w:t>
      </w:r>
      <w:r w:rsidRPr="003F1FC3">
        <w:rPr>
          <w:rFonts w:asciiTheme="minorEastAsia" w:hAnsiTheme="minorEastAsia" w:cs="Arial" w:hint="eastAsia"/>
          <w:szCs w:val="21"/>
        </w:rPr>
        <w:t>-</w:t>
      </w:r>
      <w:r w:rsidRPr="003F1FC3">
        <w:rPr>
          <w:rFonts w:asciiTheme="minorEastAsia" w:hAnsiTheme="minorEastAsia" w:cs="Arial"/>
          <w:szCs w:val="21"/>
        </w:rPr>
        <w:t>889</w:t>
      </w:r>
      <w:r w:rsidRPr="003F1FC3">
        <w:rPr>
          <w:rFonts w:asciiTheme="minorEastAsia" w:hAnsiTheme="minorEastAsia" w:cs="Arial" w:hint="eastAsia"/>
          <w:szCs w:val="21"/>
        </w:rPr>
        <w:t>-</w:t>
      </w:r>
      <w:r w:rsidRPr="003F1FC3">
        <w:rPr>
          <w:rFonts w:asciiTheme="minorEastAsia" w:hAnsiTheme="minorEastAsia" w:cs="Arial"/>
          <w:szCs w:val="21"/>
        </w:rPr>
        <w:t>4888 </w:t>
      </w:r>
    </w:p>
    <w:p w14:paraId="138FFE30" w14:textId="77777777" w:rsidR="003F1FC3" w:rsidRPr="003F1FC3" w:rsidRDefault="003F1FC3" w:rsidP="003F1FC3">
      <w:pPr>
        <w:spacing w:line="360" w:lineRule="auto"/>
        <w:rPr>
          <w:rFonts w:asciiTheme="minorEastAsia" w:hAnsiTheme="minorEastAsia" w:cs="Arial"/>
          <w:szCs w:val="21"/>
        </w:rPr>
      </w:pPr>
      <w:r w:rsidRPr="003F1FC3">
        <w:rPr>
          <w:rFonts w:asciiTheme="minorEastAsia" w:hAnsiTheme="minorEastAsia" w:cs="Arial"/>
          <w:szCs w:val="21"/>
        </w:rPr>
        <w:t>网</w:t>
      </w:r>
      <w:r w:rsidRPr="003F1FC3">
        <w:rPr>
          <w:rFonts w:asciiTheme="minorEastAsia" w:hAnsiTheme="minorEastAsia" w:cs="Arial" w:hint="eastAsia"/>
          <w:szCs w:val="21"/>
        </w:rPr>
        <w:t>址</w:t>
      </w:r>
      <w:r w:rsidRPr="003F1FC3">
        <w:rPr>
          <w:rFonts w:asciiTheme="minorEastAsia" w:hAnsiTheme="minorEastAsia" w:cs="Arial"/>
          <w:szCs w:val="21"/>
        </w:rPr>
        <w:t>：www.cifm.com</w:t>
      </w:r>
    </w:p>
    <w:p w14:paraId="16173DCC" w14:textId="77777777" w:rsidR="003F1FC3" w:rsidRPr="003F1FC3" w:rsidRDefault="003F1FC3" w:rsidP="003F1FC3">
      <w:pPr>
        <w:spacing w:line="360" w:lineRule="auto"/>
        <w:rPr>
          <w:rFonts w:asciiTheme="minorEastAsia" w:hAnsiTheme="minorEastAsia" w:cs="Arial"/>
          <w:szCs w:val="21"/>
        </w:rPr>
      </w:pPr>
      <w:r w:rsidRPr="003F1FC3">
        <w:rPr>
          <w:rFonts w:asciiTheme="minorEastAsia" w:hAnsiTheme="minorEastAsia" w:cs="Arial"/>
          <w:szCs w:val="21"/>
        </w:rPr>
        <w:t xml:space="preserve">　　特此公告。　</w:t>
      </w:r>
    </w:p>
    <w:p w14:paraId="14AA8418" w14:textId="77777777" w:rsidR="003F1FC3" w:rsidRPr="003F1FC3" w:rsidRDefault="003F1FC3" w:rsidP="003F1FC3">
      <w:pPr>
        <w:spacing w:line="360" w:lineRule="auto"/>
        <w:jc w:val="right"/>
        <w:rPr>
          <w:rFonts w:asciiTheme="minorEastAsia" w:hAnsiTheme="minorEastAsia" w:cs="Arial"/>
          <w:szCs w:val="21"/>
        </w:rPr>
      </w:pPr>
      <w:r w:rsidRPr="003F1FC3">
        <w:rPr>
          <w:rFonts w:asciiTheme="minorEastAsia" w:hAnsiTheme="minorEastAsia" w:cs="Arial"/>
          <w:szCs w:val="21"/>
        </w:rPr>
        <w:t>上投摩根基金管理有限公司</w:t>
      </w:r>
    </w:p>
    <w:p w14:paraId="7424D544" w14:textId="46B79736" w:rsidR="00D66735" w:rsidRPr="003F1FC3" w:rsidRDefault="00B2761D" w:rsidP="00DE6F95">
      <w:pPr>
        <w:spacing w:line="360" w:lineRule="auto"/>
        <w:jc w:val="right"/>
      </w:pPr>
      <w:r>
        <w:rPr>
          <w:rFonts w:asciiTheme="minorEastAsia" w:hAnsiTheme="minorEastAsia"/>
          <w:szCs w:val="21"/>
        </w:rPr>
        <w:t>2022</w:t>
      </w:r>
      <w:r w:rsidR="003F1FC3" w:rsidRPr="003F1FC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/>
          <w:szCs w:val="21"/>
        </w:rPr>
        <w:t>11</w:t>
      </w:r>
      <w:r w:rsidR="003F1FC3" w:rsidRPr="003F1FC3">
        <w:rPr>
          <w:rFonts w:asciiTheme="minorEastAsia" w:hAnsiTheme="minorEastAsia" w:hint="eastAsia"/>
          <w:szCs w:val="21"/>
        </w:rPr>
        <w:t>月</w:t>
      </w:r>
      <w:r w:rsidR="006C372B">
        <w:rPr>
          <w:rFonts w:asciiTheme="minorEastAsia" w:hAnsiTheme="minorEastAsia"/>
          <w:szCs w:val="21"/>
        </w:rPr>
        <w:t>15</w:t>
      </w:r>
      <w:r w:rsidR="003F1FC3" w:rsidRPr="003F1FC3">
        <w:rPr>
          <w:rFonts w:asciiTheme="minorEastAsia" w:hAnsiTheme="minorEastAsia" w:hint="eastAsia"/>
          <w:szCs w:val="21"/>
        </w:rPr>
        <w:t>日</w:t>
      </w:r>
    </w:p>
    <w:sectPr w:rsidR="00D66735" w:rsidRPr="003F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11BF" w14:textId="77777777" w:rsidR="00186C68" w:rsidRDefault="00186C68"/>
  </w:endnote>
  <w:endnote w:type="continuationSeparator" w:id="0">
    <w:p w14:paraId="0461DD0C" w14:textId="77777777" w:rsidR="00186C68" w:rsidRDefault="00186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9E6A7" w14:textId="77777777" w:rsidR="00186C68" w:rsidRDefault="00186C68"/>
  </w:footnote>
  <w:footnote w:type="continuationSeparator" w:id="0">
    <w:p w14:paraId="0AE7017F" w14:textId="77777777" w:rsidR="00186C68" w:rsidRDefault="00186C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50BA"/>
    <w:multiLevelType w:val="hybridMultilevel"/>
    <w:tmpl w:val="BF70DD1E"/>
    <w:lvl w:ilvl="0" w:tplc="4556822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D339F"/>
    <w:multiLevelType w:val="hybridMultilevel"/>
    <w:tmpl w:val="2E9C7CF4"/>
    <w:lvl w:ilvl="0" w:tplc="8BF8373A">
      <w:start w:val="2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5A"/>
    <w:rsid w:val="00002317"/>
    <w:rsid w:val="00005A52"/>
    <w:rsid w:val="00042917"/>
    <w:rsid w:val="00080D8B"/>
    <w:rsid w:val="00084A9A"/>
    <w:rsid w:val="001111DE"/>
    <w:rsid w:val="0014008D"/>
    <w:rsid w:val="0018195A"/>
    <w:rsid w:val="00186C68"/>
    <w:rsid w:val="00197AFA"/>
    <w:rsid w:val="001E15F2"/>
    <w:rsid w:val="0024168B"/>
    <w:rsid w:val="00287CDF"/>
    <w:rsid w:val="002A2780"/>
    <w:rsid w:val="002B76ED"/>
    <w:rsid w:val="002C0C40"/>
    <w:rsid w:val="002D2B6A"/>
    <w:rsid w:val="003F1FC3"/>
    <w:rsid w:val="003F4E20"/>
    <w:rsid w:val="00525442"/>
    <w:rsid w:val="005511A2"/>
    <w:rsid w:val="00557F54"/>
    <w:rsid w:val="005748D3"/>
    <w:rsid w:val="0067079B"/>
    <w:rsid w:val="006C372B"/>
    <w:rsid w:val="007362B6"/>
    <w:rsid w:val="007553AB"/>
    <w:rsid w:val="00797024"/>
    <w:rsid w:val="007C0DC4"/>
    <w:rsid w:val="007F662B"/>
    <w:rsid w:val="007F6D9F"/>
    <w:rsid w:val="00802CFF"/>
    <w:rsid w:val="008F379F"/>
    <w:rsid w:val="00912898"/>
    <w:rsid w:val="00A1555D"/>
    <w:rsid w:val="00A605BC"/>
    <w:rsid w:val="00AA4F40"/>
    <w:rsid w:val="00B12FAE"/>
    <w:rsid w:val="00B2761D"/>
    <w:rsid w:val="00C36B09"/>
    <w:rsid w:val="00D66735"/>
    <w:rsid w:val="00DE6F95"/>
    <w:rsid w:val="00E3058D"/>
    <w:rsid w:val="00E93C49"/>
    <w:rsid w:val="00EE1A9C"/>
    <w:rsid w:val="00EF4BE8"/>
    <w:rsid w:val="00F6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ADF16F"/>
  <w15:chartTrackingRefBased/>
  <w15:docId w15:val="{FBA40880-C78D-4526-A42E-BBEB5AA5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917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197AF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197AFA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197AFA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7AFA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197AFA"/>
    <w:rPr>
      <w:b/>
      <w:bCs/>
    </w:rPr>
  </w:style>
  <w:style w:type="paragraph" w:styleId="a9">
    <w:name w:val="Revision"/>
    <w:hidden/>
    <w:uiPriority w:val="99"/>
    <w:semiHidden/>
    <w:rsid w:val="00197AFA"/>
  </w:style>
  <w:style w:type="paragraph" w:styleId="aa">
    <w:name w:val="Balloon Text"/>
    <w:basedOn w:val="a"/>
    <w:link w:val="ab"/>
    <w:uiPriority w:val="99"/>
    <w:semiHidden/>
    <w:unhideWhenUsed/>
    <w:rsid w:val="00197AF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7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Grace.Wei@CS</dc:creator>
  <cp:keywords/>
  <dc:description/>
  <cp:lastModifiedBy>Yiping.Wang@Product-PD</cp:lastModifiedBy>
  <cp:revision>2</cp:revision>
  <dcterms:created xsi:type="dcterms:W3CDTF">2022-11-10T06:25:00Z</dcterms:created>
  <dcterms:modified xsi:type="dcterms:W3CDTF">2022-11-10T06:25:00Z</dcterms:modified>
</cp:coreProperties>
</file>