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5F73F1" w14:textId="77777777" w:rsidR="001F3F42" w:rsidRDefault="001F3F42">
      <w:pPr>
        <w:rPr>
          <w:rFonts w:ascii="宋体" w:hAnsi="宋体" w:hint="eastAsia"/>
          <w:sz w:val="48"/>
        </w:rPr>
      </w:pPr>
      <w:r>
        <w:rPr>
          <w:rFonts w:ascii="宋体" w:hAnsi="宋体" w:hint="eastAsia"/>
          <w:sz w:val="48"/>
        </w:rPr>
        <w:t xml:space="preserve">　 </w:t>
      </w:r>
    </w:p>
    <w:p w14:paraId="09EF90D6" w14:textId="77777777" w:rsidR="001F3F42" w:rsidRDefault="001F3F42">
      <w:pPr>
        <w:rPr>
          <w:rFonts w:ascii="宋体" w:hAnsi="宋体" w:hint="eastAsia"/>
          <w:sz w:val="48"/>
        </w:rPr>
      </w:pPr>
      <w:r>
        <w:rPr>
          <w:rFonts w:ascii="宋体" w:hAnsi="宋体" w:hint="eastAsia"/>
          <w:sz w:val="48"/>
        </w:rPr>
        <w:t xml:space="preserve">　 </w:t>
      </w:r>
    </w:p>
    <w:p w14:paraId="469422A1" w14:textId="77777777" w:rsidR="001F3F42" w:rsidRDefault="001F3F42">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摩根沪</w:t>
      </w:r>
      <w:proofErr w:type="gramEnd"/>
      <w:r>
        <w:rPr>
          <w:rFonts w:ascii="宋体" w:hAnsi="宋体" w:hint="eastAsia"/>
          <w:b/>
          <w:bCs/>
          <w:color w:val="000000" w:themeColor="text1"/>
          <w:sz w:val="48"/>
          <w:szCs w:val="30"/>
        </w:rPr>
        <w:t>深300自由现金</w:t>
      </w:r>
      <w:proofErr w:type="gramStart"/>
      <w:r>
        <w:rPr>
          <w:rFonts w:ascii="宋体" w:hAnsi="宋体" w:hint="eastAsia"/>
          <w:b/>
          <w:bCs/>
          <w:color w:val="000000" w:themeColor="text1"/>
          <w:sz w:val="48"/>
          <w:szCs w:val="30"/>
        </w:rPr>
        <w:t>流交易</w:t>
      </w:r>
      <w:proofErr w:type="gramEnd"/>
      <w:r>
        <w:rPr>
          <w:rFonts w:ascii="宋体" w:hAnsi="宋体" w:hint="eastAsia"/>
          <w:b/>
          <w:bCs/>
          <w:color w:val="000000" w:themeColor="text1"/>
          <w:sz w:val="48"/>
          <w:szCs w:val="30"/>
        </w:rPr>
        <w:t>型开放式指数证券投资基金联接基金</w:t>
      </w:r>
      <w:r>
        <w:rPr>
          <w:rFonts w:ascii="宋体" w:hAnsi="宋体" w:hint="eastAsia"/>
          <w:b/>
          <w:bCs/>
          <w:color w:val="000000" w:themeColor="text1"/>
          <w:sz w:val="48"/>
          <w:szCs w:val="30"/>
        </w:rPr>
        <w:br/>
        <w:t>2025年第3季度报告</w:t>
      </w:r>
    </w:p>
    <w:p w14:paraId="3C015FDE"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1BC79846" w14:textId="77777777" w:rsidR="001F3F42" w:rsidRDefault="001F3F42">
      <w:pPr>
        <w:jc w:val="center"/>
      </w:pPr>
      <w:r>
        <w:rPr>
          <w:rFonts w:ascii="宋体" w:hAnsi="宋体" w:hint="eastAsia"/>
          <w:b/>
          <w:bCs/>
          <w:sz w:val="28"/>
          <w:szCs w:val="30"/>
        </w:rPr>
        <w:t>2025年9月30日</w:t>
      </w:r>
    </w:p>
    <w:p w14:paraId="532979FD"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7939C077"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3799821A"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1720F671"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669AFC1B" w14:textId="77777777" w:rsidR="001F3F42" w:rsidRDefault="001F3F42">
      <w:pPr>
        <w:jc w:val="center"/>
        <w:rPr>
          <w:rFonts w:ascii="宋体" w:hAnsi="宋体"/>
          <w:sz w:val="28"/>
          <w:szCs w:val="30"/>
        </w:rPr>
      </w:pPr>
      <w:r>
        <w:rPr>
          <w:rFonts w:ascii="宋体" w:hAnsi="宋体" w:hint="eastAsia"/>
          <w:sz w:val="28"/>
          <w:szCs w:val="30"/>
        </w:rPr>
        <w:t xml:space="preserve">　 </w:t>
      </w:r>
    </w:p>
    <w:p w14:paraId="1B63F76F" w14:textId="77777777" w:rsidR="008D2332" w:rsidRPr="008D2332" w:rsidRDefault="008D2332">
      <w:pPr>
        <w:jc w:val="center"/>
        <w:rPr>
          <w:rFonts w:ascii="宋体" w:hAnsi="宋体" w:hint="eastAsia"/>
          <w:sz w:val="28"/>
          <w:szCs w:val="30"/>
        </w:rPr>
      </w:pPr>
    </w:p>
    <w:p w14:paraId="62C67458"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726A3A51"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704C3A45"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37646B38"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22720A74"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0C07C615" w14:textId="77777777" w:rsidR="001F3F42" w:rsidRDefault="001F3F42">
      <w:pPr>
        <w:jc w:val="center"/>
        <w:rPr>
          <w:rFonts w:ascii="宋体" w:hAnsi="宋体" w:hint="eastAsia"/>
          <w:sz w:val="28"/>
          <w:szCs w:val="30"/>
        </w:rPr>
      </w:pPr>
      <w:r>
        <w:rPr>
          <w:rFonts w:ascii="宋体" w:hAnsi="宋体" w:hint="eastAsia"/>
          <w:sz w:val="28"/>
          <w:szCs w:val="30"/>
        </w:rPr>
        <w:t xml:space="preserve">　 </w:t>
      </w:r>
    </w:p>
    <w:p w14:paraId="2146C11D" w14:textId="77777777" w:rsidR="001F3F42" w:rsidRDefault="001F3F42">
      <w:pPr>
        <w:ind w:firstLineChars="800" w:firstLine="2249"/>
        <w:jc w:val="left"/>
      </w:pPr>
      <w:r>
        <w:rPr>
          <w:rFonts w:ascii="宋体" w:hAnsi="宋体" w:hint="eastAsia"/>
          <w:b/>
          <w:bCs/>
          <w:sz w:val="28"/>
          <w:szCs w:val="30"/>
        </w:rPr>
        <w:t>基金管理人：摩根基金管理（中国）有限公司</w:t>
      </w:r>
    </w:p>
    <w:p w14:paraId="326B32D4" w14:textId="77777777" w:rsidR="001F3F42" w:rsidRDefault="001F3F42">
      <w:pPr>
        <w:ind w:firstLineChars="800" w:firstLine="2249"/>
        <w:jc w:val="left"/>
      </w:pPr>
      <w:r>
        <w:rPr>
          <w:rFonts w:ascii="宋体" w:hAnsi="宋体" w:hint="eastAsia"/>
          <w:b/>
          <w:bCs/>
          <w:sz w:val="28"/>
          <w:szCs w:val="30"/>
        </w:rPr>
        <w:t>基金托管人：中国光大银行股份有限公司</w:t>
      </w:r>
    </w:p>
    <w:p w14:paraId="5589B8D2" w14:textId="77777777" w:rsidR="001F3F42" w:rsidRDefault="001F3F42">
      <w:pPr>
        <w:ind w:firstLineChars="800" w:firstLine="2249"/>
        <w:jc w:val="left"/>
      </w:pPr>
      <w:r>
        <w:rPr>
          <w:rFonts w:ascii="宋体" w:hAnsi="宋体" w:hint="eastAsia"/>
          <w:b/>
          <w:bCs/>
          <w:sz w:val="28"/>
          <w:szCs w:val="30"/>
        </w:rPr>
        <w:t>报告送出日期：2025年10月28日</w:t>
      </w:r>
    </w:p>
    <w:p w14:paraId="1F8426E9" w14:textId="77777777" w:rsidR="001F3F42" w:rsidRDefault="001F3F42">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2BD56B39" w14:textId="77777777" w:rsidR="001F3F42" w:rsidRDefault="001F3F42">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57F347D" w14:textId="77777777" w:rsidR="001F3F42" w:rsidRDefault="001F3F42">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6C0D5D86" w14:textId="77777777" w:rsidR="001F3F42" w:rsidRDefault="001F3F42">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14B71" w14:paraId="249EAED4" w14:textId="77777777">
        <w:trPr>
          <w:divId w:val="109413307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C9CDC5" w14:textId="77777777" w:rsidR="001F3F42" w:rsidRDefault="001F3F4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E7F493" w14:textId="77777777" w:rsidR="001F3F42" w:rsidRDefault="001F3F42">
            <w:pPr>
              <w:jc w:val="left"/>
            </w:pPr>
            <w:r>
              <w:rPr>
                <w:rFonts w:ascii="宋体" w:hAnsi="宋体" w:hint="eastAsia"/>
                <w:szCs w:val="24"/>
                <w:lang w:eastAsia="zh-Hans"/>
              </w:rPr>
              <w:t>摩根沪深300自由现金流ETF联接</w:t>
            </w:r>
            <w:r>
              <w:rPr>
                <w:rFonts w:ascii="宋体" w:hAnsi="宋体" w:hint="eastAsia"/>
                <w:lang w:eastAsia="zh-Hans"/>
              </w:rPr>
              <w:t xml:space="preserve"> </w:t>
            </w:r>
          </w:p>
        </w:tc>
      </w:tr>
      <w:tr w:rsidR="00014B71" w14:paraId="2276FA48"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A5C591" w14:textId="77777777" w:rsidR="001F3F42" w:rsidRDefault="001F3F4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99419D" w14:textId="77777777" w:rsidR="001F3F42" w:rsidRDefault="001F3F42">
            <w:pPr>
              <w:jc w:val="left"/>
            </w:pPr>
            <w:r>
              <w:rPr>
                <w:rFonts w:ascii="宋体" w:hAnsi="宋体" w:hint="eastAsia"/>
                <w:lang w:eastAsia="zh-Hans"/>
              </w:rPr>
              <w:t>024613</w:t>
            </w:r>
          </w:p>
        </w:tc>
      </w:tr>
      <w:tr w:rsidR="00014B71" w14:paraId="1A28273F"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6C5241" w14:textId="77777777" w:rsidR="001F3F42" w:rsidRDefault="001F3F42">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C66FF" w14:textId="77777777" w:rsidR="001F3F42" w:rsidRDefault="001F3F42">
            <w:pPr>
              <w:jc w:val="left"/>
            </w:pPr>
            <w:r>
              <w:rPr>
                <w:rFonts w:ascii="宋体" w:hAnsi="宋体" w:hint="eastAsia"/>
                <w:lang w:eastAsia="zh-Hans"/>
              </w:rPr>
              <w:t>契约型开放式</w:t>
            </w:r>
          </w:p>
        </w:tc>
      </w:tr>
      <w:tr w:rsidR="00014B71" w14:paraId="0933CBB6"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7650DD" w14:textId="77777777" w:rsidR="001F3F42" w:rsidRDefault="001F3F4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08F1E0" w14:textId="77777777" w:rsidR="001F3F42" w:rsidRDefault="001F3F42">
            <w:pPr>
              <w:jc w:val="left"/>
            </w:pPr>
            <w:r>
              <w:rPr>
                <w:rFonts w:ascii="宋体" w:hAnsi="宋体" w:hint="eastAsia"/>
                <w:lang w:eastAsia="zh-Hans"/>
              </w:rPr>
              <w:t>2025年7月1日</w:t>
            </w:r>
          </w:p>
        </w:tc>
      </w:tr>
      <w:tr w:rsidR="00014B71" w14:paraId="23D1108E"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1AB47A" w14:textId="77777777" w:rsidR="001F3F42" w:rsidRDefault="001F3F4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8A6EFF" w14:textId="77777777" w:rsidR="001F3F42" w:rsidRDefault="001F3F42">
            <w:pPr>
              <w:jc w:val="left"/>
            </w:pPr>
            <w:r>
              <w:rPr>
                <w:rFonts w:ascii="宋体" w:hAnsi="宋体" w:hint="eastAsia"/>
                <w:lang w:eastAsia="zh-Hans"/>
              </w:rPr>
              <w:t>298,361,317.76</w:t>
            </w:r>
            <w:r>
              <w:rPr>
                <w:rFonts w:hint="eastAsia"/>
              </w:rPr>
              <w:t>份</w:t>
            </w:r>
            <w:r>
              <w:rPr>
                <w:rFonts w:ascii="宋体" w:hAnsi="宋体" w:hint="eastAsia"/>
                <w:lang w:eastAsia="zh-Hans"/>
              </w:rPr>
              <w:t xml:space="preserve"> </w:t>
            </w:r>
          </w:p>
        </w:tc>
      </w:tr>
      <w:tr w:rsidR="00014B71" w14:paraId="29549A50"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74E690" w14:textId="77777777" w:rsidR="001F3F42" w:rsidRDefault="001F3F4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BDE705" w14:textId="77777777" w:rsidR="001F3F42" w:rsidRDefault="001F3F42">
            <w:pPr>
              <w:jc w:val="left"/>
            </w:pPr>
            <w:r>
              <w:rPr>
                <w:rFonts w:ascii="宋体" w:hAnsi="宋体" w:hint="eastAsia"/>
                <w:lang w:eastAsia="zh-Hans"/>
              </w:rPr>
              <w:t>通过对目标ETF的投资，追求跟踪标的指数，获得与指数收益相似的回报。</w:t>
            </w:r>
          </w:p>
        </w:tc>
      </w:tr>
      <w:tr w:rsidR="00014B71" w14:paraId="1C159D7C"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B0AD54" w14:textId="77777777" w:rsidR="001F3F42" w:rsidRDefault="001F3F4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F6472E" w14:textId="77777777" w:rsidR="001F3F42" w:rsidRDefault="001F3F42">
            <w:pPr>
              <w:jc w:val="left"/>
            </w:pPr>
            <w:r>
              <w:rPr>
                <w:rFonts w:ascii="宋体" w:hAnsi="宋体" w:hint="eastAsia"/>
                <w:lang w:eastAsia="zh-Hans"/>
              </w:rPr>
              <w:t>本基金为摩根沪深300自由现金流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w:t>
            </w:r>
            <w:r>
              <w:rPr>
                <w:rFonts w:ascii="宋体" w:hAnsi="宋体" w:hint="eastAsia"/>
                <w:lang w:eastAsia="zh-Hans"/>
              </w:rPr>
              <w:lastRenderedPageBreak/>
              <w:t>本基金也将作相应的变更或调整，无需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在投资运作过程中，本基金根据成份股构成及其权重的变动进行动态调整；在条件允许的情况下还可通过买入标的指数成份股、备选成份股以申购目标ETF。</w:t>
            </w:r>
            <w:r>
              <w:rPr>
                <w:rFonts w:ascii="宋体" w:hAnsi="宋体" w:hint="eastAsia"/>
                <w:lang w:eastAsia="zh-Hans"/>
              </w:rPr>
              <w:br/>
              <w:t>3、其他投资策略：包括金融衍生品投资策略、债券投资策略、融资及转融通证券出借策略、存托凭证投资策略。</w:t>
            </w:r>
          </w:p>
        </w:tc>
      </w:tr>
      <w:tr w:rsidR="00014B71" w14:paraId="0CD7D32F"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475593" w14:textId="77777777" w:rsidR="001F3F42" w:rsidRDefault="001F3F4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AA8C5E" w14:textId="77777777" w:rsidR="001F3F42" w:rsidRDefault="001F3F42">
            <w:pPr>
              <w:jc w:val="left"/>
            </w:pPr>
            <w:r>
              <w:rPr>
                <w:rFonts w:ascii="宋体" w:hAnsi="宋体" w:hint="eastAsia"/>
                <w:lang w:eastAsia="zh-Hans"/>
              </w:rPr>
              <w:t>沪深300自由现金流指数收益率×95%+银行活期存款利率（税后）×5%</w:t>
            </w:r>
          </w:p>
        </w:tc>
      </w:tr>
      <w:tr w:rsidR="00014B71" w14:paraId="67E6F301"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CD6E2B" w14:textId="77777777" w:rsidR="001F3F42" w:rsidRDefault="001F3F4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083506" w14:textId="77777777" w:rsidR="001F3F42" w:rsidRDefault="001F3F42">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014B71" w14:paraId="00DC92C9"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0566AD" w14:textId="77777777" w:rsidR="001F3F42" w:rsidRDefault="001F3F4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40B13F" w14:textId="77777777" w:rsidR="001F3F42" w:rsidRDefault="001F3F42">
            <w:pPr>
              <w:jc w:val="left"/>
            </w:pPr>
            <w:r>
              <w:rPr>
                <w:rFonts w:ascii="宋体" w:hAnsi="宋体" w:hint="eastAsia"/>
                <w:lang w:eastAsia="zh-Hans"/>
              </w:rPr>
              <w:t>摩根基金管理（中国）有限公司</w:t>
            </w:r>
          </w:p>
        </w:tc>
      </w:tr>
      <w:tr w:rsidR="00014B71" w14:paraId="1DA6E05B" w14:textId="77777777">
        <w:trPr>
          <w:divId w:val="10941330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F7D4C8" w14:textId="77777777" w:rsidR="001F3F42" w:rsidRDefault="001F3F4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AAB321" w14:textId="77777777" w:rsidR="001F3F42" w:rsidRDefault="001F3F42">
            <w:pPr>
              <w:jc w:val="left"/>
            </w:pPr>
            <w:r>
              <w:rPr>
                <w:rFonts w:ascii="宋体" w:hAnsi="宋体" w:hint="eastAsia"/>
                <w:lang w:eastAsia="zh-Hans"/>
              </w:rPr>
              <w:t>中国光大银行股份有限公司</w:t>
            </w:r>
          </w:p>
        </w:tc>
      </w:tr>
      <w:tr w:rsidR="00014B71" w14:paraId="039B6BEF" w14:textId="77777777">
        <w:trPr>
          <w:divId w:val="10941330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F9B94F" w14:textId="77777777" w:rsidR="001F3F42" w:rsidRDefault="001F3F42">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6D2A7" w14:textId="77777777" w:rsidR="001F3F42" w:rsidRDefault="001F3F42">
            <w:pPr>
              <w:jc w:val="center"/>
            </w:pPr>
            <w:r>
              <w:rPr>
                <w:rFonts w:ascii="宋体" w:hAnsi="宋体" w:hint="eastAsia"/>
                <w:lang w:eastAsia="zh-Hans"/>
              </w:rPr>
              <w:t>摩根沪深300自由现金流ETF联接A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0C5165" w14:textId="77777777" w:rsidR="001F3F42" w:rsidRDefault="001F3F42">
            <w:pPr>
              <w:jc w:val="center"/>
            </w:pPr>
            <w:r>
              <w:rPr>
                <w:rFonts w:ascii="宋体" w:hAnsi="宋体" w:hint="eastAsia"/>
                <w:lang w:eastAsia="zh-Hans"/>
              </w:rPr>
              <w:t>摩根沪深300自由现金流ETF联接C</w:t>
            </w:r>
            <w:r>
              <w:rPr>
                <w:rFonts w:ascii="宋体" w:hAnsi="宋体" w:hint="eastAsia"/>
                <w:kern w:val="0"/>
                <w:sz w:val="20"/>
                <w:lang w:eastAsia="zh-Hans"/>
              </w:rPr>
              <w:t xml:space="preserve"> </w:t>
            </w:r>
          </w:p>
        </w:tc>
      </w:tr>
      <w:tr w:rsidR="00014B71" w14:paraId="22C8FA69" w14:textId="77777777">
        <w:trPr>
          <w:divId w:val="10941330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8853F0" w14:textId="77777777" w:rsidR="001F3F42" w:rsidRDefault="001F3F4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90D29" w14:textId="77777777" w:rsidR="001F3F42" w:rsidRDefault="001F3F42">
            <w:pPr>
              <w:jc w:val="center"/>
            </w:pPr>
            <w:r>
              <w:rPr>
                <w:rFonts w:ascii="宋体" w:hAnsi="宋体" w:hint="eastAsia"/>
                <w:lang w:eastAsia="zh-Hans"/>
              </w:rPr>
              <w:t>024613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A91D3" w14:textId="77777777" w:rsidR="001F3F42" w:rsidRDefault="001F3F42">
            <w:pPr>
              <w:jc w:val="center"/>
            </w:pPr>
            <w:r>
              <w:rPr>
                <w:rFonts w:ascii="宋体" w:hAnsi="宋体" w:hint="eastAsia"/>
                <w:lang w:eastAsia="zh-Hans"/>
              </w:rPr>
              <w:t>024614</w:t>
            </w:r>
            <w:r>
              <w:rPr>
                <w:rFonts w:ascii="宋体" w:hAnsi="宋体" w:hint="eastAsia"/>
                <w:kern w:val="0"/>
                <w:sz w:val="20"/>
                <w:lang w:eastAsia="zh-Hans"/>
              </w:rPr>
              <w:t xml:space="preserve"> </w:t>
            </w:r>
          </w:p>
        </w:tc>
      </w:tr>
      <w:bookmarkEnd w:id="40"/>
      <w:tr w:rsidR="00014B71" w14:paraId="501DDF64" w14:textId="77777777">
        <w:trPr>
          <w:divId w:val="10941330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3B4ED0" w14:textId="77777777" w:rsidR="001F3F42" w:rsidRDefault="001F3F4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B2BAC" w14:textId="77777777" w:rsidR="001F3F42" w:rsidRDefault="001F3F42">
            <w:pPr>
              <w:jc w:val="center"/>
            </w:pPr>
            <w:r>
              <w:rPr>
                <w:rFonts w:ascii="宋体" w:hAnsi="宋体" w:hint="eastAsia"/>
                <w:lang w:eastAsia="zh-Hans"/>
              </w:rPr>
              <w:t>111,506,199.94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74279" w14:textId="77777777" w:rsidR="001F3F42" w:rsidRDefault="001F3F42">
            <w:pPr>
              <w:jc w:val="center"/>
            </w:pPr>
            <w:r>
              <w:rPr>
                <w:rFonts w:ascii="宋体" w:hAnsi="宋体" w:hint="eastAsia"/>
                <w:lang w:eastAsia="zh-Hans"/>
              </w:rPr>
              <w:t>186,855,117.82</w:t>
            </w:r>
            <w:r>
              <w:rPr>
                <w:rFonts w:hint="eastAsia"/>
              </w:rPr>
              <w:t>份</w:t>
            </w:r>
            <w:r>
              <w:rPr>
                <w:rFonts w:ascii="宋体" w:hAnsi="宋体" w:hint="eastAsia"/>
                <w:lang w:eastAsia="zh-Hans"/>
              </w:rPr>
              <w:t xml:space="preserve"> </w:t>
            </w:r>
          </w:p>
        </w:tc>
      </w:tr>
    </w:tbl>
    <w:p w14:paraId="250FEB74" w14:textId="77777777" w:rsidR="001F3F42" w:rsidRDefault="001F3F42">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014B71" w14:paraId="185382FE" w14:textId="77777777">
        <w:trPr>
          <w:divId w:val="591939245"/>
          <w:trHeight w:val="64"/>
        </w:trPr>
        <w:tc>
          <w:tcPr>
            <w:tcW w:w="1677" w:type="pct"/>
            <w:tcBorders>
              <w:top w:val="single" w:sz="4" w:space="0" w:color="000000"/>
              <w:left w:val="single" w:sz="4" w:space="0" w:color="000000"/>
              <w:bottom w:val="single" w:sz="4" w:space="0" w:color="000000"/>
              <w:right w:val="single" w:sz="4" w:space="0" w:color="000000"/>
            </w:tcBorders>
            <w:hideMark/>
          </w:tcPr>
          <w:p w14:paraId="6EC878BC" w14:textId="77777777" w:rsidR="001F3F42" w:rsidRDefault="001F3F42">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1BCCBBF6" w14:textId="77777777" w:rsidR="001F3F42" w:rsidRDefault="001F3F42">
            <w:pPr>
              <w:widowControl/>
              <w:spacing w:line="315" w:lineRule="atLeast"/>
              <w:jc w:val="left"/>
            </w:pPr>
            <w:proofErr w:type="gramStart"/>
            <w:r>
              <w:rPr>
                <w:rFonts w:asciiTheme="minorEastAsia" w:eastAsiaTheme="minorEastAsia" w:hAnsiTheme="minorEastAsia" w:hint="eastAsia"/>
              </w:rPr>
              <w:t>摩根沪</w:t>
            </w:r>
            <w:proofErr w:type="gramEnd"/>
            <w:r>
              <w:rPr>
                <w:rFonts w:asciiTheme="minorEastAsia" w:eastAsiaTheme="minorEastAsia" w:hAnsiTheme="minorEastAsia" w:hint="eastAsia"/>
              </w:rPr>
              <w:t>深300自由现金</w:t>
            </w:r>
            <w:proofErr w:type="gramStart"/>
            <w:r>
              <w:rPr>
                <w:rFonts w:asciiTheme="minorEastAsia" w:eastAsiaTheme="minorEastAsia" w:hAnsiTheme="minorEastAsia" w:hint="eastAsia"/>
              </w:rPr>
              <w:t>流交易</w:t>
            </w:r>
            <w:proofErr w:type="gramEnd"/>
            <w:r>
              <w:rPr>
                <w:rFonts w:asciiTheme="minorEastAsia" w:eastAsiaTheme="minorEastAsia" w:hAnsiTheme="minorEastAsia" w:hint="eastAsia"/>
              </w:rPr>
              <w:t>型开放式指数证券投资基金</w:t>
            </w:r>
          </w:p>
        </w:tc>
      </w:tr>
      <w:tr w:rsidR="00014B71" w14:paraId="153CA357" w14:textId="77777777">
        <w:trPr>
          <w:divId w:val="591939245"/>
        </w:trPr>
        <w:tc>
          <w:tcPr>
            <w:tcW w:w="1677" w:type="pct"/>
            <w:tcBorders>
              <w:top w:val="nil"/>
              <w:left w:val="single" w:sz="4" w:space="0" w:color="000000"/>
              <w:bottom w:val="single" w:sz="4" w:space="0" w:color="000000"/>
              <w:right w:val="single" w:sz="4" w:space="0" w:color="000000"/>
            </w:tcBorders>
            <w:hideMark/>
          </w:tcPr>
          <w:p w14:paraId="56D50DB5" w14:textId="77777777" w:rsidR="001F3F42" w:rsidRDefault="001F3F42">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467BC4E0" w14:textId="77777777" w:rsidR="001F3F42" w:rsidRDefault="001F3F42">
            <w:pPr>
              <w:widowControl/>
              <w:spacing w:line="315" w:lineRule="atLeast"/>
              <w:jc w:val="left"/>
            </w:pPr>
            <w:r>
              <w:rPr>
                <w:rFonts w:asciiTheme="minorEastAsia" w:eastAsiaTheme="minorEastAsia" w:hAnsiTheme="minorEastAsia" w:hint="eastAsia"/>
              </w:rPr>
              <w:t>563900</w:t>
            </w:r>
          </w:p>
        </w:tc>
      </w:tr>
      <w:tr w:rsidR="00014B71" w14:paraId="20798AD4" w14:textId="77777777">
        <w:trPr>
          <w:divId w:val="591939245"/>
        </w:trPr>
        <w:tc>
          <w:tcPr>
            <w:tcW w:w="1677" w:type="pct"/>
            <w:tcBorders>
              <w:top w:val="nil"/>
              <w:left w:val="single" w:sz="4" w:space="0" w:color="000000"/>
              <w:bottom w:val="single" w:sz="4" w:space="0" w:color="000000"/>
              <w:right w:val="single" w:sz="4" w:space="0" w:color="000000"/>
            </w:tcBorders>
            <w:hideMark/>
          </w:tcPr>
          <w:p w14:paraId="5252EB8A" w14:textId="77777777" w:rsidR="001F3F42" w:rsidRDefault="001F3F42">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5222EA0B" w14:textId="77777777" w:rsidR="001F3F42" w:rsidRDefault="001F3F42">
            <w:pPr>
              <w:widowControl/>
              <w:spacing w:line="315" w:lineRule="atLeast"/>
              <w:jc w:val="left"/>
            </w:pPr>
            <w:r>
              <w:rPr>
                <w:rFonts w:asciiTheme="minorEastAsia" w:eastAsiaTheme="minorEastAsia" w:hAnsiTheme="minorEastAsia" w:hint="eastAsia"/>
              </w:rPr>
              <w:t>交易型开放式</w:t>
            </w:r>
          </w:p>
        </w:tc>
      </w:tr>
      <w:tr w:rsidR="00014B71" w14:paraId="7D238D2F" w14:textId="77777777">
        <w:trPr>
          <w:divId w:val="591939245"/>
        </w:trPr>
        <w:tc>
          <w:tcPr>
            <w:tcW w:w="1677" w:type="pct"/>
            <w:tcBorders>
              <w:top w:val="nil"/>
              <w:left w:val="single" w:sz="4" w:space="0" w:color="000000"/>
              <w:bottom w:val="single" w:sz="4" w:space="0" w:color="000000"/>
              <w:right w:val="single" w:sz="4" w:space="0" w:color="000000"/>
            </w:tcBorders>
            <w:hideMark/>
          </w:tcPr>
          <w:p w14:paraId="71CFB0E4" w14:textId="77777777" w:rsidR="001F3F42" w:rsidRDefault="001F3F42">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47C21EC7" w14:textId="77777777" w:rsidR="001F3F42" w:rsidRDefault="001F3F42">
            <w:pPr>
              <w:widowControl/>
              <w:spacing w:line="315" w:lineRule="atLeast"/>
              <w:jc w:val="left"/>
            </w:pPr>
            <w:r>
              <w:rPr>
                <w:rFonts w:asciiTheme="minorEastAsia" w:eastAsiaTheme="minorEastAsia" w:hAnsiTheme="minorEastAsia" w:hint="eastAsia"/>
              </w:rPr>
              <w:t>2025年4月24日</w:t>
            </w:r>
          </w:p>
        </w:tc>
      </w:tr>
      <w:tr w:rsidR="00014B71" w14:paraId="4262F8E2" w14:textId="77777777">
        <w:trPr>
          <w:divId w:val="591939245"/>
        </w:trPr>
        <w:tc>
          <w:tcPr>
            <w:tcW w:w="1677" w:type="pct"/>
            <w:tcBorders>
              <w:top w:val="nil"/>
              <w:left w:val="single" w:sz="4" w:space="0" w:color="000000"/>
              <w:bottom w:val="single" w:sz="4" w:space="0" w:color="000000"/>
              <w:right w:val="single" w:sz="4" w:space="0" w:color="000000"/>
            </w:tcBorders>
            <w:hideMark/>
          </w:tcPr>
          <w:p w14:paraId="57EC3C8F" w14:textId="77777777" w:rsidR="001F3F42" w:rsidRDefault="001F3F42">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1CDC16CA" w14:textId="77777777" w:rsidR="001F3F42" w:rsidRDefault="001F3F42">
            <w:pPr>
              <w:widowControl/>
              <w:spacing w:line="315" w:lineRule="atLeast"/>
              <w:jc w:val="left"/>
            </w:pPr>
            <w:r>
              <w:rPr>
                <w:rFonts w:asciiTheme="minorEastAsia" w:eastAsiaTheme="minorEastAsia" w:hAnsiTheme="minorEastAsia" w:hint="eastAsia"/>
              </w:rPr>
              <w:t>上海证券交易所</w:t>
            </w:r>
          </w:p>
        </w:tc>
      </w:tr>
      <w:tr w:rsidR="00014B71" w14:paraId="13586360" w14:textId="77777777">
        <w:trPr>
          <w:divId w:val="591939245"/>
        </w:trPr>
        <w:tc>
          <w:tcPr>
            <w:tcW w:w="1677" w:type="pct"/>
            <w:tcBorders>
              <w:top w:val="nil"/>
              <w:left w:val="single" w:sz="4" w:space="0" w:color="000000"/>
              <w:bottom w:val="single" w:sz="4" w:space="0" w:color="000000"/>
              <w:right w:val="single" w:sz="4" w:space="0" w:color="000000"/>
            </w:tcBorders>
            <w:hideMark/>
          </w:tcPr>
          <w:p w14:paraId="69F2C41A" w14:textId="77777777" w:rsidR="001F3F42" w:rsidRDefault="001F3F42">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2159F6A9" w14:textId="77777777" w:rsidR="001F3F42" w:rsidRDefault="001F3F42">
            <w:pPr>
              <w:widowControl/>
              <w:spacing w:line="315" w:lineRule="atLeast"/>
              <w:jc w:val="left"/>
            </w:pPr>
            <w:r>
              <w:rPr>
                <w:rFonts w:asciiTheme="minorEastAsia" w:eastAsiaTheme="minorEastAsia" w:hAnsiTheme="minorEastAsia" w:hint="eastAsia"/>
              </w:rPr>
              <w:t>2025年5月7日</w:t>
            </w:r>
          </w:p>
        </w:tc>
      </w:tr>
      <w:tr w:rsidR="00014B71" w14:paraId="1B8C27E7" w14:textId="77777777">
        <w:trPr>
          <w:divId w:val="591939245"/>
        </w:trPr>
        <w:tc>
          <w:tcPr>
            <w:tcW w:w="1677" w:type="pct"/>
            <w:tcBorders>
              <w:top w:val="nil"/>
              <w:left w:val="single" w:sz="4" w:space="0" w:color="000000"/>
              <w:bottom w:val="single" w:sz="4" w:space="0" w:color="000000"/>
              <w:right w:val="single" w:sz="4" w:space="0" w:color="000000"/>
            </w:tcBorders>
            <w:hideMark/>
          </w:tcPr>
          <w:p w14:paraId="40E91345" w14:textId="77777777" w:rsidR="001F3F42" w:rsidRDefault="001F3F42">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48951D26" w14:textId="77777777" w:rsidR="001F3F42" w:rsidRDefault="001F3F42">
            <w:pPr>
              <w:widowControl/>
              <w:spacing w:line="315" w:lineRule="atLeast"/>
              <w:jc w:val="left"/>
            </w:pPr>
            <w:r>
              <w:rPr>
                <w:rFonts w:asciiTheme="minorEastAsia" w:eastAsiaTheme="minorEastAsia" w:hAnsiTheme="minorEastAsia" w:hint="eastAsia"/>
              </w:rPr>
              <w:t>摩根基金管理（中国）有限公司</w:t>
            </w:r>
          </w:p>
        </w:tc>
      </w:tr>
      <w:tr w:rsidR="00014B71" w14:paraId="5FA60F15" w14:textId="77777777">
        <w:trPr>
          <w:divId w:val="591939245"/>
        </w:trPr>
        <w:tc>
          <w:tcPr>
            <w:tcW w:w="1677" w:type="pct"/>
            <w:tcBorders>
              <w:top w:val="nil"/>
              <w:left w:val="single" w:sz="4" w:space="0" w:color="000000"/>
              <w:bottom w:val="single" w:sz="4" w:space="0" w:color="000000"/>
              <w:right w:val="single" w:sz="4" w:space="0" w:color="000000"/>
            </w:tcBorders>
            <w:hideMark/>
          </w:tcPr>
          <w:p w14:paraId="6AE38E60" w14:textId="77777777" w:rsidR="001F3F42" w:rsidRDefault="001F3F42">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36D9E153" w14:textId="77777777" w:rsidR="001F3F42" w:rsidRDefault="001F3F42">
            <w:pPr>
              <w:widowControl/>
              <w:spacing w:line="315" w:lineRule="atLeast"/>
              <w:jc w:val="left"/>
            </w:pPr>
            <w:r>
              <w:rPr>
                <w:rFonts w:asciiTheme="minorEastAsia" w:eastAsiaTheme="minorEastAsia" w:hAnsiTheme="minorEastAsia" w:hint="eastAsia"/>
              </w:rPr>
              <w:t>中国光大银行股份有限公司</w:t>
            </w:r>
          </w:p>
        </w:tc>
      </w:tr>
    </w:tbl>
    <w:p w14:paraId="009D81FB" w14:textId="77777777" w:rsidR="001F3F42" w:rsidRDefault="001F3F42">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014B71" w14:paraId="7E4B1D61" w14:textId="77777777">
        <w:trPr>
          <w:divId w:val="633948893"/>
          <w:trHeight w:val="64"/>
        </w:trPr>
        <w:tc>
          <w:tcPr>
            <w:tcW w:w="1294" w:type="pct"/>
            <w:tcBorders>
              <w:top w:val="single" w:sz="4" w:space="0" w:color="000000"/>
              <w:left w:val="single" w:sz="4" w:space="0" w:color="000000"/>
              <w:bottom w:val="single" w:sz="4" w:space="0" w:color="000000"/>
              <w:right w:val="single" w:sz="4" w:space="0" w:color="000000"/>
            </w:tcBorders>
            <w:hideMark/>
          </w:tcPr>
          <w:p w14:paraId="35903C7F" w14:textId="77777777" w:rsidR="001F3F42" w:rsidRDefault="001F3F42">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796DA475" w14:textId="77777777" w:rsidR="001F3F42" w:rsidRDefault="001F3F42">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014B71" w14:paraId="3EF2E4D5" w14:textId="77777777">
        <w:trPr>
          <w:divId w:val="633948893"/>
        </w:trPr>
        <w:tc>
          <w:tcPr>
            <w:tcW w:w="1294" w:type="pct"/>
            <w:tcBorders>
              <w:top w:val="nil"/>
              <w:left w:val="single" w:sz="4" w:space="0" w:color="000000"/>
              <w:bottom w:val="single" w:sz="4" w:space="0" w:color="000000"/>
              <w:right w:val="single" w:sz="4" w:space="0" w:color="000000"/>
            </w:tcBorders>
            <w:hideMark/>
          </w:tcPr>
          <w:p w14:paraId="22B2FC44" w14:textId="77777777" w:rsidR="001F3F42" w:rsidRDefault="001F3F42">
            <w:pPr>
              <w:widowControl/>
              <w:spacing w:line="315" w:lineRule="atLeast"/>
              <w:jc w:val="left"/>
            </w:pPr>
            <w:r>
              <w:rPr>
                <w:rFonts w:asciiTheme="minorEastAsia" w:eastAsiaTheme="minorEastAsia" w:hAnsiTheme="minorEastAsia" w:hint="eastAsia"/>
              </w:rPr>
              <w:lastRenderedPageBreak/>
              <w:t xml:space="preserve">投资策略 </w:t>
            </w:r>
          </w:p>
        </w:tc>
        <w:tc>
          <w:tcPr>
            <w:tcW w:w="3706" w:type="pct"/>
            <w:tcBorders>
              <w:top w:val="nil"/>
              <w:left w:val="nil"/>
              <w:bottom w:val="single" w:sz="4" w:space="0" w:color="000000"/>
              <w:right w:val="single" w:sz="4" w:space="0" w:color="000000"/>
            </w:tcBorders>
            <w:hideMark/>
          </w:tcPr>
          <w:p w14:paraId="47847114" w14:textId="77777777" w:rsidR="001F3F42" w:rsidRDefault="001F3F42">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在特殊情况下，本基金将综合考虑政策、市场等因素，在本合同约定的投资比例和投资范围内，将少量投资于非成份股、成份股个股衍生品等，以期在规定的风险承受限度内，尽量缩小跟踪误差。</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r>
              <w:rPr>
                <w:rFonts w:asciiTheme="minorEastAsia" w:eastAsiaTheme="minorEastAsia" w:hAnsiTheme="minorEastAsia" w:hint="eastAsia"/>
              </w:rPr>
              <w:br/>
            </w:r>
          </w:p>
        </w:tc>
      </w:tr>
      <w:tr w:rsidR="00014B71" w14:paraId="08E07EAF" w14:textId="77777777">
        <w:trPr>
          <w:divId w:val="633948893"/>
        </w:trPr>
        <w:tc>
          <w:tcPr>
            <w:tcW w:w="1294" w:type="pct"/>
            <w:tcBorders>
              <w:top w:val="nil"/>
              <w:left w:val="single" w:sz="4" w:space="0" w:color="000000"/>
              <w:bottom w:val="single" w:sz="4" w:space="0" w:color="000000"/>
              <w:right w:val="single" w:sz="4" w:space="0" w:color="000000"/>
            </w:tcBorders>
            <w:hideMark/>
          </w:tcPr>
          <w:p w14:paraId="07418DAF" w14:textId="77777777" w:rsidR="001F3F42" w:rsidRDefault="001F3F42">
            <w:pPr>
              <w:widowControl/>
              <w:spacing w:line="315" w:lineRule="atLeast"/>
              <w:jc w:val="left"/>
            </w:pPr>
            <w:r>
              <w:rPr>
                <w:rFonts w:asciiTheme="minorEastAsia" w:eastAsiaTheme="minorEastAsia" w:hAnsiTheme="minorEastAsia" w:hint="eastAsia"/>
              </w:rPr>
              <w:t xml:space="preserve">业绩比较基准 </w:t>
            </w:r>
          </w:p>
        </w:tc>
        <w:tc>
          <w:tcPr>
            <w:tcW w:w="3706" w:type="pct"/>
            <w:tcBorders>
              <w:top w:val="nil"/>
              <w:left w:val="nil"/>
              <w:bottom w:val="single" w:sz="4" w:space="0" w:color="000000"/>
              <w:right w:val="single" w:sz="4" w:space="0" w:color="000000"/>
            </w:tcBorders>
            <w:hideMark/>
          </w:tcPr>
          <w:p w14:paraId="78E51EEE" w14:textId="77777777" w:rsidR="001F3F42" w:rsidRDefault="001F3F42">
            <w:pPr>
              <w:widowControl/>
              <w:spacing w:line="315" w:lineRule="atLeast"/>
              <w:jc w:val="left"/>
            </w:pPr>
            <w:r>
              <w:rPr>
                <w:rFonts w:asciiTheme="minorEastAsia" w:eastAsiaTheme="minorEastAsia" w:hAnsiTheme="minorEastAsia" w:hint="eastAsia"/>
              </w:rPr>
              <w:t>本基金的业绩比较基准为标的指数，即沪深300自由现金</w:t>
            </w:r>
            <w:proofErr w:type="gramStart"/>
            <w:r>
              <w:rPr>
                <w:rFonts w:asciiTheme="minorEastAsia" w:eastAsiaTheme="minorEastAsia" w:hAnsiTheme="minorEastAsia" w:hint="eastAsia"/>
              </w:rPr>
              <w:t>流指数</w:t>
            </w:r>
            <w:proofErr w:type="gramEnd"/>
            <w:r>
              <w:rPr>
                <w:rFonts w:asciiTheme="minorEastAsia" w:eastAsiaTheme="minorEastAsia" w:hAnsiTheme="minorEastAsia" w:hint="eastAsia"/>
              </w:rPr>
              <w:t>收益率。</w:t>
            </w:r>
          </w:p>
        </w:tc>
      </w:tr>
      <w:tr w:rsidR="00014B71" w14:paraId="7E6E1825" w14:textId="77777777">
        <w:trPr>
          <w:divId w:val="633948893"/>
        </w:trPr>
        <w:tc>
          <w:tcPr>
            <w:tcW w:w="1294" w:type="pct"/>
            <w:tcBorders>
              <w:top w:val="nil"/>
              <w:left w:val="single" w:sz="4" w:space="0" w:color="000000"/>
              <w:bottom w:val="single" w:sz="4" w:space="0" w:color="000000"/>
              <w:right w:val="single" w:sz="4" w:space="0" w:color="000000"/>
            </w:tcBorders>
            <w:hideMark/>
          </w:tcPr>
          <w:p w14:paraId="2768BA8B" w14:textId="77777777" w:rsidR="001F3F42" w:rsidRDefault="001F3F42">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77C93E75" w14:textId="77777777" w:rsidR="001F3F42" w:rsidRDefault="001F3F42">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bl>
    <w:p w14:paraId="60A13734" w14:textId="77777777" w:rsidR="001F3F42" w:rsidRDefault="001F3F42">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23CFB829" w14:textId="77777777" w:rsidR="001F3F42" w:rsidRDefault="001F3F42">
      <w:pPr>
        <w:pStyle w:val="XBRLTitle2"/>
        <w:spacing w:before="156"/>
        <w:ind w:left="454"/>
      </w:pPr>
      <w:bookmarkStart w:id="56" w:name="_Toc17881669"/>
      <w:proofErr w:type="spellStart"/>
      <w:r>
        <w:rPr>
          <w:rFonts w:hAnsi="宋体" w:hint="eastAsia"/>
        </w:rPr>
        <w:lastRenderedPageBreak/>
        <w:t>主要财务指标</w:t>
      </w:r>
      <w:bookmarkEnd w:id="56"/>
      <w:bookmarkEnd w:id="31"/>
      <w:bookmarkEnd w:id="32"/>
      <w:bookmarkEnd w:id="33"/>
      <w:bookmarkEnd w:id="34"/>
      <w:bookmarkEnd w:id="35"/>
      <w:bookmarkEnd w:id="36"/>
      <w:proofErr w:type="spellEnd"/>
    </w:p>
    <w:p w14:paraId="72D8B071" w14:textId="77777777" w:rsidR="001F3F42" w:rsidRDefault="001F3F42">
      <w:pPr>
        <w:jc w:val="right"/>
        <w:divId w:val="177251049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9"/>
        <w:gridCol w:w="3158"/>
        <w:gridCol w:w="3158"/>
      </w:tblGrid>
      <w:tr w:rsidR="00014B71" w14:paraId="33CF159B" w14:textId="77777777">
        <w:trPr>
          <w:divId w:val="177251049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DF5DE0D" w14:textId="77777777" w:rsidR="001F3F42" w:rsidRDefault="001F3F4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C54946E" w14:textId="77777777" w:rsidR="001F3F42" w:rsidRDefault="001F3F42">
            <w:pPr>
              <w:pStyle w:val="a5"/>
              <w:jc w:val="center"/>
              <w:rPr>
                <w:rFonts w:hint="eastAsia"/>
              </w:rPr>
            </w:pPr>
            <w:r>
              <w:rPr>
                <w:rFonts w:hint="eastAsia"/>
                <w:kern w:val="2"/>
                <w:sz w:val="21"/>
                <w:szCs w:val="24"/>
                <w:lang w:eastAsia="zh-Hans"/>
              </w:rPr>
              <w:t xml:space="preserve">报告期（2025年7月1日 - 2025年9月30日） </w:t>
            </w:r>
          </w:p>
        </w:tc>
      </w:tr>
      <w:tr w:rsidR="00014B71" w14:paraId="24BABD66" w14:textId="77777777">
        <w:trPr>
          <w:divId w:val="17725104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CA663" w14:textId="77777777" w:rsidR="001F3F42" w:rsidRDefault="001F3F4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07FDF5" w14:textId="77777777" w:rsidR="001F3F42" w:rsidRDefault="001F3F42">
            <w:pPr>
              <w:jc w:val="center"/>
            </w:pPr>
            <w:r>
              <w:rPr>
                <w:rFonts w:ascii="宋体" w:hAnsi="宋体" w:hint="eastAsia"/>
                <w:szCs w:val="24"/>
                <w:lang w:eastAsia="zh-Hans"/>
              </w:rPr>
              <w:t>摩根沪深300自由现金流ETF联接A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CA65940" w14:textId="77777777" w:rsidR="001F3F42" w:rsidRDefault="001F3F42">
            <w:pPr>
              <w:jc w:val="center"/>
            </w:pPr>
            <w:r>
              <w:rPr>
                <w:rFonts w:ascii="宋体" w:hAnsi="宋体" w:hint="eastAsia"/>
                <w:szCs w:val="24"/>
                <w:lang w:eastAsia="zh-Hans"/>
              </w:rPr>
              <w:t>摩根沪深300自由现金流ETF联接C</w:t>
            </w:r>
          </w:p>
        </w:tc>
      </w:tr>
      <w:tr w:rsidR="00014B71" w14:paraId="3801B1AC" w14:textId="77777777">
        <w:trPr>
          <w:divId w:val="17725104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00C108" w14:textId="77777777" w:rsidR="001F3F42" w:rsidRDefault="001F3F4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FA149D" w14:textId="77777777" w:rsidR="001F3F42" w:rsidRDefault="001F3F42">
            <w:pPr>
              <w:jc w:val="right"/>
            </w:pPr>
            <w:r>
              <w:rPr>
                <w:rFonts w:ascii="宋体" w:hAnsi="宋体" w:hint="eastAsia"/>
                <w:szCs w:val="24"/>
                <w:lang w:eastAsia="zh-Hans"/>
              </w:rPr>
              <w:t>1,136,382.50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F5BA87" w14:textId="77777777" w:rsidR="001F3F42" w:rsidRDefault="001F3F42">
            <w:pPr>
              <w:jc w:val="right"/>
            </w:pPr>
            <w:r>
              <w:rPr>
                <w:rFonts w:ascii="宋体" w:hAnsi="宋体" w:hint="eastAsia"/>
                <w:szCs w:val="24"/>
                <w:lang w:eastAsia="zh-Hans"/>
              </w:rPr>
              <w:t>2,531,896.92</w:t>
            </w:r>
          </w:p>
        </w:tc>
      </w:tr>
      <w:tr w:rsidR="00014B71" w14:paraId="3B8BA057" w14:textId="77777777">
        <w:trPr>
          <w:divId w:val="17725104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09EB27" w14:textId="77777777" w:rsidR="001F3F42" w:rsidRDefault="001F3F4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8EFE92" w14:textId="77777777" w:rsidR="001F3F42" w:rsidRDefault="001F3F42">
            <w:pPr>
              <w:jc w:val="right"/>
            </w:pPr>
            <w:r>
              <w:rPr>
                <w:rFonts w:ascii="宋体" w:hAnsi="宋体" w:hint="eastAsia"/>
                <w:szCs w:val="24"/>
                <w:lang w:eastAsia="zh-Hans"/>
              </w:rPr>
              <w:t>5,153,277.23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C92B37" w14:textId="77777777" w:rsidR="001F3F42" w:rsidRDefault="001F3F42">
            <w:pPr>
              <w:jc w:val="right"/>
            </w:pPr>
            <w:r>
              <w:rPr>
                <w:rFonts w:ascii="宋体" w:hAnsi="宋体" w:hint="eastAsia"/>
                <w:szCs w:val="24"/>
                <w:lang w:eastAsia="zh-Hans"/>
              </w:rPr>
              <w:t>14,122,995.98</w:t>
            </w:r>
          </w:p>
        </w:tc>
      </w:tr>
      <w:tr w:rsidR="00014B71" w14:paraId="22B98B52" w14:textId="77777777">
        <w:trPr>
          <w:divId w:val="17725104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930EC1" w14:textId="77777777" w:rsidR="001F3F42" w:rsidRDefault="001F3F4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AA0A90" w14:textId="77777777" w:rsidR="001F3F42" w:rsidRDefault="001F3F42">
            <w:pPr>
              <w:jc w:val="right"/>
            </w:pPr>
            <w:r>
              <w:rPr>
                <w:rFonts w:ascii="宋体" w:hAnsi="宋体" w:hint="eastAsia"/>
                <w:szCs w:val="24"/>
                <w:lang w:eastAsia="zh-Hans"/>
              </w:rPr>
              <w:t>0.0486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63E0F2" w14:textId="77777777" w:rsidR="001F3F42" w:rsidRDefault="001F3F42">
            <w:pPr>
              <w:jc w:val="right"/>
            </w:pPr>
            <w:r>
              <w:rPr>
                <w:rFonts w:ascii="宋体" w:hAnsi="宋体" w:hint="eastAsia"/>
                <w:szCs w:val="24"/>
                <w:lang w:eastAsia="zh-Hans"/>
              </w:rPr>
              <w:t>0.0464</w:t>
            </w:r>
          </w:p>
        </w:tc>
      </w:tr>
      <w:tr w:rsidR="00014B71" w14:paraId="7039144D" w14:textId="77777777">
        <w:trPr>
          <w:divId w:val="17725104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228661" w14:textId="77777777" w:rsidR="001F3F42" w:rsidRDefault="001F3F4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8A1CEB" w14:textId="77777777" w:rsidR="001F3F42" w:rsidRDefault="001F3F42">
            <w:pPr>
              <w:jc w:val="right"/>
            </w:pPr>
            <w:r>
              <w:rPr>
                <w:rFonts w:ascii="宋体" w:hAnsi="宋体" w:hint="eastAsia"/>
                <w:szCs w:val="24"/>
                <w:lang w:eastAsia="zh-Hans"/>
              </w:rPr>
              <w:t>116,972,026.99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842981" w14:textId="77777777" w:rsidR="001F3F42" w:rsidRDefault="001F3F42">
            <w:pPr>
              <w:jc w:val="right"/>
            </w:pPr>
            <w:r>
              <w:rPr>
                <w:rFonts w:ascii="宋体" w:hAnsi="宋体" w:hint="eastAsia"/>
                <w:szCs w:val="24"/>
                <w:lang w:eastAsia="zh-Hans"/>
              </w:rPr>
              <w:t>195,816,836.66</w:t>
            </w:r>
          </w:p>
        </w:tc>
      </w:tr>
      <w:tr w:rsidR="00014B71" w14:paraId="77EE5F62" w14:textId="77777777">
        <w:trPr>
          <w:divId w:val="17725104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CCB107" w14:textId="77777777" w:rsidR="001F3F42" w:rsidRDefault="001F3F4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B0387A" w14:textId="77777777" w:rsidR="001F3F42" w:rsidRDefault="001F3F42">
            <w:pPr>
              <w:jc w:val="right"/>
            </w:pPr>
            <w:r>
              <w:rPr>
                <w:rFonts w:ascii="宋体" w:hAnsi="宋体" w:hint="eastAsia"/>
                <w:szCs w:val="24"/>
                <w:lang w:eastAsia="zh-Hans"/>
              </w:rPr>
              <w:t>1.0490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737F7A" w14:textId="77777777" w:rsidR="001F3F42" w:rsidRDefault="001F3F42">
            <w:pPr>
              <w:jc w:val="right"/>
            </w:pPr>
            <w:r>
              <w:rPr>
                <w:rFonts w:ascii="宋体" w:hAnsi="宋体" w:hint="eastAsia"/>
                <w:szCs w:val="24"/>
                <w:lang w:eastAsia="zh-Hans"/>
              </w:rPr>
              <w:t>1.0480</w:t>
            </w:r>
          </w:p>
        </w:tc>
      </w:tr>
    </w:tbl>
    <w:p w14:paraId="0ECE1A4E" w14:textId="77777777" w:rsidR="001F3F42" w:rsidRDefault="001F3F42">
      <w:pPr>
        <w:wordWrap w:val="0"/>
        <w:spacing w:line="360" w:lineRule="auto"/>
        <w:jc w:val="left"/>
        <w:divId w:val="149344729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t xml:space="preserve">　　2.基金合同在当期生效。</w:t>
      </w:r>
    </w:p>
    <w:p w14:paraId="13D3E4CD" w14:textId="77777777" w:rsidR="001F3F42" w:rsidRDefault="001F3F42">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42FD445F" w14:textId="77777777" w:rsidR="001F3F42" w:rsidRDefault="001F3F42">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0934B753" w14:textId="77777777" w:rsidR="001F3F42" w:rsidRDefault="001F3F42">
      <w:pPr>
        <w:spacing w:line="360" w:lineRule="auto"/>
        <w:jc w:val="center"/>
        <w:divId w:val="391853105"/>
      </w:pPr>
      <w:proofErr w:type="gramStart"/>
      <w:r>
        <w:rPr>
          <w:rFonts w:ascii="宋体" w:hAnsi="宋体" w:hint="eastAsia"/>
        </w:rPr>
        <w:t>摩根沪</w:t>
      </w:r>
      <w:proofErr w:type="gramEnd"/>
      <w:r>
        <w:rPr>
          <w:rFonts w:ascii="宋体" w:hAnsi="宋体" w:hint="eastAsia"/>
        </w:rPr>
        <w:t>深300自由现金流ETF联接A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14B71" w14:paraId="59644694" w14:textId="77777777">
        <w:trPr>
          <w:divId w:val="3918531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699137" w14:textId="77777777" w:rsidR="001F3F42" w:rsidRDefault="001F3F4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F4CF4F" w14:textId="77777777" w:rsidR="001F3F42" w:rsidRDefault="001F3F4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C1EBDA" w14:textId="77777777" w:rsidR="001F3F42" w:rsidRDefault="001F3F4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820873" w14:textId="77777777" w:rsidR="001F3F42" w:rsidRDefault="001F3F4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8B002A" w14:textId="77777777" w:rsidR="001F3F42" w:rsidRDefault="001F3F4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223AD" w14:textId="77777777" w:rsidR="001F3F42" w:rsidRDefault="001F3F4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6F6435" w14:textId="77777777" w:rsidR="001F3F42" w:rsidRDefault="001F3F42">
            <w:pPr>
              <w:spacing w:line="360" w:lineRule="auto"/>
              <w:jc w:val="center"/>
            </w:pPr>
            <w:r>
              <w:rPr>
                <w:rFonts w:ascii="宋体" w:hAnsi="宋体" w:hint="eastAsia"/>
              </w:rPr>
              <w:t xml:space="preserve">②－④ </w:t>
            </w:r>
          </w:p>
        </w:tc>
      </w:tr>
      <w:tr w:rsidR="00014B71" w14:paraId="25BF81B6" w14:textId="77777777">
        <w:trPr>
          <w:divId w:val="391853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48962" w14:textId="77777777" w:rsidR="001F3F42" w:rsidRDefault="001F3F4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76AD7" w14:textId="77777777" w:rsidR="001F3F42" w:rsidRDefault="001F3F42">
            <w:pPr>
              <w:spacing w:line="360" w:lineRule="auto"/>
              <w:jc w:val="right"/>
            </w:pPr>
            <w:r>
              <w:rPr>
                <w:rFonts w:ascii="宋体" w:hAnsi="宋体" w:hint="eastAsia"/>
              </w:rPr>
              <w:t xml:space="preserve">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A85DC" w14:textId="77777777" w:rsidR="001F3F42" w:rsidRDefault="001F3F42">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E14E6" w14:textId="77777777" w:rsidR="001F3F42" w:rsidRDefault="001F3F42">
            <w:pPr>
              <w:spacing w:line="360" w:lineRule="auto"/>
              <w:jc w:val="right"/>
            </w:pPr>
            <w:r>
              <w:rPr>
                <w:rFonts w:ascii="宋体" w:hAnsi="宋体" w:hint="eastAsia"/>
              </w:rPr>
              <w:t xml:space="preserve">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49C70" w14:textId="77777777" w:rsidR="001F3F42" w:rsidRDefault="001F3F42">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724934" w14:textId="77777777" w:rsidR="001F3F42" w:rsidRDefault="001F3F42">
            <w:pPr>
              <w:spacing w:line="360" w:lineRule="auto"/>
              <w:jc w:val="right"/>
            </w:pPr>
            <w:r>
              <w:rPr>
                <w:rFonts w:ascii="宋体" w:hAnsi="宋体" w:hint="eastAsia"/>
              </w:rPr>
              <w:t xml:space="preserve">-1.71%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F4BE7" w14:textId="77777777" w:rsidR="001F3F42" w:rsidRDefault="001F3F42">
            <w:pPr>
              <w:spacing w:line="360" w:lineRule="auto"/>
              <w:jc w:val="right"/>
            </w:pPr>
            <w:r>
              <w:rPr>
                <w:rFonts w:ascii="宋体" w:hAnsi="宋体" w:hint="eastAsia"/>
              </w:rPr>
              <w:t xml:space="preserve">-0.06% </w:t>
            </w:r>
          </w:p>
        </w:tc>
      </w:tr>
      <w:tr w:rsidR="00014B71" w14:paraId="08C784F0" w14:textId="77777777">
        <w:trPr>
          <w:divId w:val="3918531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FDDB6" w14:textId="77777777" w:rsidR="001F3F42" w:rsidRDefault="001F3F4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9761C" w14:textId="77777777" w:rsidR="001F3F42" w:rsidRDefault="001F3F42">
            <w:pPr>
              <w:spacing w:line="360" w:lineRule="auto"/>
              <w:jc w:val="right"/>
            </w:pPr>
            <w:r>
              <w:rPr>
                <w:rFonts w:ascii="宋体" w:hAnsi="宋体" w:hint="eastAsia"/>
              </w:rPr>
              <w:t xml:space="preserve">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4CA03" w14:textId="77777777" w:rsidR="001F3F42" w:rsidRDefault="001F3F42">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6DDFC" w14:textId="77777777" w:rsidR="001F3F42" w:rsidRDefault="001F3F42">
            <w:pPr>
              <w:spacing w:line="360" w:lineRule="auto"/>
              <w:jc w:val="right"/>
            </w:pPr>
            <w:r>
              <w:rPr>
                <w:rFonts w:ascii="宋体" w:hAnsi="宋体" w:hint="eastAsia"/>
              </w:rPr>
              <w:t xml:space="preserve">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EE0FE" w14:textId="77777777" w:rsidR="001F3F42" w:rsidRDefault="001F3F42">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8A3EF4" w14:textId="77777777" w:rsidR="001F3F42" w:rsidRDefault="001F3F42">
            <w:pPr>
              <w:spacing w:line="360" w:lineRule="auto"/>
              <w:jc w:val="right"/>
            </w:pPr>
            <w:r>
              <w:rPr>
                <w:rFonts w:ascii="宋体" w:hAnsi="宋体" w:hint="eastAsia"/>
              </w:rPr>
              <w:t xml:space="preserve">-1.71%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DBF7A" w14:textId="77777777" w:rsidR="001F3F42" w:rsidRDefault="001F3F42">
            <w:pPr>
              <w:spacing w:line="360" w:lineRule="auto"/>
              <w:jc w:val="right"/>
            </w:pPr>
            <w:r>
              <w:rPr>
                <w:rFonts w:ascii="宋体" w:hAnsi="宋体" w:hint="eastAsia"/>
              </w:rPr>
              <w:t xml:space="preserve">-0.06% </w:t>
            </w:r>
          </w:p>
        </w:tc>
      </w:tr>
    </w:tbl>
    <w:p w14:paraId="6943B36B" w14:textId="77777777" w:rsidR="001F3F42" w:rsidRDefault="001F3F42">
      <w:pPr>
        <w:spacing w:line="360" w:lineRule="auto"/>
        <w:jc w:val="center"/>
        <w:divId w:val="663359211"/>
      </w:pPr>
      <w:proofErr w:type="gramStart"/>
      <w:r>
        <w:rPr>
          <w:rFonts w:ascii="宋体" w:hAnsi="宋体" w:hint="eastAsia"/>
        </w:rPr>
        <w:t>摩根沪</w:t>
      </w:r>
      <w:proofErr w:type="gramEnd"/>
      <w:r>
        <w:rPr>
          <w:rFonts w:ascii="宋体" w:hAnsi="宋体" w:hint="eastAsia"/>
        </w:rPr>
        <w:t>深300自由现金流ETF联接C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14B71" w14:paraId="51B07AB5" w14:textId="77777777">
        <w:trPr>
          <w:divId w:val="6633592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46ED9B" w14:textId="77777777" w:rsidR="001F3F42" w:rsidRDefault="001F3F4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163610" w14:textId="77777777" w:rsidR="001F3F42" w:rsidRDefault="001F3F4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24ED17" w14:textId="77777777" w:rsidR="001F3F42" w:rsidRDefault="001F3F4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A846C7" w14:textId="77777777" w:rsidR="001F3F42" w:rsidRDefault="001F3F4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AFF557" w14:textId="77777777" w:rsidR="001F3F42" w:rsidRDefault="001F3F4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3FB85" w14:textId="77777777" w:rsidR="001F3F42" w:rsidRDefault="001F3F4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51341" w14:textId="77777777" w:rsidR="001F3F42" w:rsidRDefault="001F3F42">
            <w:pPr>
              <w:spacing w:line="360" w:lineRule="auto"/>
              <w:jc w:val="center"/>
            </w:pPr>
            <w:r>
              <w:rPr>
                <w:rFonts w:ascii="宋体" w:hAnsi="宋体" w:hint="eastAsia"/>
              </w:rPr>
              <w:t xml:space="preserve">②－④ </w:t>
            </w:r>
          </w:p>
        </w:tc>
      </w:tr>
      <w:tr w:rsidR="00014B71" w14:paraId="2F97F649" w14:textId="77777777">
        <w:trPr>
          <w:divId w:val="6633592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04047" w14:textId="77777777" w:rsidR="001F3F42" w:rsidRDefault="001F3F4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ECB6B" w14:textId="77777777" w:rsidR="001F3F42" w:rsidRDefault="001F3F42">
            <w:pPr>
              <w:spacing w:line="360" w:lineRule="auto"/>
              <w:jc w:val="right"/>
            </w:pPr>
            <w:r>
              <w:rPr>
                <w:rFonts w:ascii="宋体" w:hAnsi="宋体" w:hint="eastAsia"/>
              </w:rPr>
              <w:t xml:space="preserve">4.80%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EA9CD" w14:textId="77777777" w:rsidR="001F3F42" w:rsidRDefault="001F3F42">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506D2" w14:textId="77777777" w:rsidR="001F3F42" w:rsidRDefault="001F3F42">
            <w:pPr>
              <w:spacing w:line="360" w:lineRule="auto"/>
              <w:jc w:val="right"/>
            </w:pPr>
            <w:r>
              <w:rPr>
                <w:rFonts w:ascii="宋体" w:hAnsi="宋体" w:hint="eastAsia"/>
              </w:rPr>
              <w:t xml:space="preserve">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38EF7" w14:textId="77777777" w:rsidR="001F3F42" w:rsidRDefault="001F3F42">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506A21" w14:textId="77777777" w:rsidR="001F3F42" w:rsidRDefault="001F3F42">
            <w:pPr>
              <w:spacing w:line="360" w:lineRule="auto"/>
              <w:jc w:val="right"/>
            </w:pPr>
            <w:r>
              <w:rPr>
                <w:rFonts w:ascii="宋体" w:hAnsi="宋体" w:hint="eastAsia"/>
              </w:rPr>
              <w:t xml:space="preserve">-1.81%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44A02" w14:textId="77777777" w:rsidR="001F3F42" w:rsidRDefault="001F3F42">
            <w:pPr>
              <w:spacing w:line="360" w:lineRule="auto"/>
              <w:jc w:val="right"/>
            </w:pPr>
            <w:r>
              <w:rPr>
                <w:rFonts w:ascii="宋体" w:hAnsi="宋体" w:hint="eastAsia"/>
              </w:rPr>
              <w:t xml:space="preserve">-0.06% </w:t>
            </w:r>
          </w:p>
        </w:tc>
      </w:tr>
      <w:tr w:rsidR="00014B71" w14:paraId="3D26BBDA" w14:textId="77777777">
        <w:trPr>
          <w:divId w:val="6633592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013E6" w14:textId="77777777" w:rsidR="001F3F42" w:rsidRDefault="001F3F4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86667" w14:textId="77777777" w:rsidR="001F3F42" w:rsidRDefault="001F3F42">
            <w:pPr>
              <w:spacing w:line="360" w:lineRule="auto"/>
              <w:jc w:val="right"/>
            </w:pPr>
            <w:r>
              <w:rPr>
                <w:rFonts w:ascii="宋体" w:hAnsi="宋体" w:hint="eastAsia"/>
              </w:rPr>
              <w:t xml:space="preserve">4.80%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D3D08" w14:textId="77777777" w:rsidR="001F3F42" w:rsidRDefault="001F3F42">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B3DEA" w14:textId="77777777" w:rsidR="001F3F42" w:rsidRDefault="001F3F42">
            <w:pPr>
              <w:spacing w:line="360" w:lineRule="auto"/>
              <w:jc w:val="right"/>
            </w:pPr>
            <w:r>
              <w:rPr>
                <w:rFonts w:ascii="宋体" w:hAnsi="宋体" w:hint="eastAsia"/>
              </w:rPr>
              <w:t xml:space="preserve">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303F7" w14:textId="77777777" w:rsidR="001F3F42" w:rsidRDefault="001F3F42">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7BD8ED" w14:textId="77777777" w:rsidR="001F3F42" w:rsidRDefault="001F3F42">
            <w:pPr>
              <w:spacing w:line="360" w:lineRule="auto"/>
              <w:jc w:val="right"/>
            </w:pPr>
            <w:r>
              <w:rPr>
                <w:rFonts w:ascii="宋体" w:hAnsi="宋体" w:hint="eastAsia"/>
              </w:rPr>
              <w:t xml:space="preserve">-1.81%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DA66F" w14:textId="77777777" w:rsidR="001F3F42" w:rsidRDefault="001F3F42">
            <w:pPr>
              <w:spacing w:line="360" w:lineRule="auto"/>
              <w:jc w:val="right"/>
            </w:pPr>
            <w:r>
              <w:rPr>
                <w:rFonts w:ascii="宋体" w:hAnsi="宋体" w:hint="eastAsia"/>
              </w:rPr>
              <w:t xml:space="preserve">-0.06% </w:t>
            </w:r>
          </w:p>
        </w:tc>
      </w:tr>
    </w:tbl>
    <w:p w14:paraId="120177A2" w14:textId="77777777" w:rsidR="001F3F42" w:rsidRDefault="001F3F42">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w:t>
      </w:r>
      <w:r>
        <w:rPr>
          <w:rFonts w:hAnsi="宋体" w:hint="eastAsia"/>
        </w:rPr>
        <w:lastRenderedPageBreak/>
        <w:t>率变动的比较</w:t>
      </w:r>
      <w:bookmarkEnd w:id="68"/>
      <w:bookmarkEnd w:id="69"/>
      <w:bookmarkEnd w:id="70"/>
      <w:bookmarkEnd w:id="71"/>
      <w:proofErr w:type="spellEnd"/>
      <w:r>
        <w:rPr>
          <w:rStyle w:val="spelle"/>
          <w:rFonts w:hAnsi="宋体" w:hint="eastAsia"/>
        </w:rPr>
        <w:t xml:space="preserve"> </w:t>
      </w:r>
    </w:p>
    <w:p w14:paraId="5D5748BB" w14:textId="0DE04D3A" w:rsidR="001F3F42" w:rsidRDefault="001F3F42">
      <w:pPr>
        <w:spacing w:line="360" w:lineRule="auto"/>
        <w:jc w:val="left"/>
        <w:divId w:val="736896547"/>
      </w:pPr>
      <w:bookmarkStart w:id="72" w:name="m07_04_07_09_tab"/>
      <w:bookmarkStart w:id="73" w:name="m07_04_07_09"/>
    </w:p>
    <w:p w14:paraId="788E27B0" w14:textId="70FF54B4" w:rsidR="001F3F42" w:rsidRDefault="001F3F42">
      <w:pPr>
        <w:spacing w:line="360" w:lineRule="auto"/>
        <w:jc w:val="left"/>
        <w:divId w:val="303003886"/>
      </w:pPr>
    </w:p>
    <w:p w14:paraId="4FB98DEC" w14:textId="0492F941" w:rsidR="00915EA5" w:rsidRDefault="00915EA5">
      <w:pPr>
        <w:spacing w:line="360" w:lineRule="auto"/>
        <w:jc w:val="left"/>
        <w:divId w:val="303003886"/>
      </w:pPr>
      <w:r>
        <w:rPr>
          <w:rFonts w:ascii="宋体" w:hAnsi="宋体" w:hint="eastAsia"/>
          <w:noProof/>
        </w:rPr>
        <w:drawing>
          <wp:inline distT="0" distB="0" distL="0" distR="0" wp14:anchorId="1570E318" wp14:editId="04F349B7">
            <wp:extent cx="5229225" cy="3009900"/>
            <wp:effectExtent l="0" t="0" r="9525" b="0"/>
            <wp:docPr id="417245810" name="图片 417245810"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45810" name="图片 417245810" descr="图表, 折线图&#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72C743C" w14:textId="217D19E8" w:rsidR="00915EA5" w:rsidRDefault="00915EA5">
      <w:pPr>
        <w:spacing w:line="360" w:lineRule="auto"/>
        <w:jc w:val="left"/>
        <w:divId w:val="303003886"/>
      </w:pPr>
      <w:r>
        <w:rPr>
          <w:rFonts w:ascii="宋体" w:hAnsi="宋体" w:hint="eastAsia"/>
          <w:noProof/>
        </w:rPr>
        <w:drawing>
          <wp:inline distT="0" distB="0" distL="0" distR="0" wp14:anchorId="57578BB5" wp14:editId="3E1D0552">
            <wp:extent cx="5229225" cy="3009900"/>
            <wp:effectExtent l="0" t="0" r="9525" b="0"/>
            <wp:docPr id="1083999971" name="图片 108399997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99971" name="图片 1083999971" descr="图表, 折线图&#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00959183" w14:textId="77777777" w:rsidR="001F3F42" w:rsidRDefault="001F3F42">
      <w:pPr>
        <w:spacing w:line="360" w:lineRule="auto"/>
      </w:pPr>
      <w:r>
        <w:rPr>
          <w:rFonts w:ascii="宋体" w:hAnsi="宋体" w:hint="eastAsia"/>
        </w:rPr>
        <w:t>注：</w:t>
      </w:r>
      <w:r>
        <w:rPr>
          <w:rFonts w:ascii="宋体" w:hAnsi="宋体" w:hint="eastAsia"/>
          <w:lang w:eastAsia="zh-Hans"/>
        </w:rPr>
        <w:t>本基金合同生效日为2025年7月1日，截至本报告期末本基金合同生效未满一年。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bookmarkEnd w:id="72"/>
      <w:bookmarkEnd w:id="73"/>
      <w:bookmarkEnd w:id="15"/>
    </w:p>
    <w:p w14:paraId="04FC0AC3" w14:textId="77777777" w:rsidR="001F3F42" w:rsidRDefault="001F3F42">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543588D9" w14:textId="77777777" w:rsidR="001F3F42" w:rsidRDefault="001F3F42">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14B71" w14:paraId="52B6F024" w14:textId="77777777">
        <w:trPr>
          <w:divId w:val="78526832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FC00A" w14:textId="77777777" w:rsidR="001F3F42" w:rsidRDefault="001F3F4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6F3A2" w14:textId="77777777" w:rsidR="001F3F42" w:rsidRDefault="001F3F4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D69F1" w14:textId="77777777" w:rsidR="001F3F42" w:rsidRDefault="001F3F4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95FF19" w14:textId="77777777" w:rsidR="001F3F42" w:rsidRDefault="001F3F4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80C92" w14:textId="77777777" w:rsidR="001F3F42" w:rsidRDefault="001F3F4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14B71" w14:paraId="05DC439F" w14:textId="77777777">
        <w:trPr>
          <w:divId w:val="78526832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76A45" w14:textId="77777777" w:rsidR="001F3F42" w:rsidRDefault="001F3F4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4C710" w14:textId="77777777" w:rsidR="001F3F42" w:rsidRDefault="001F3F4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57D2A" w14:textId="77777777" w:rsidR="001F3F42" w:rsidRDefault="001F3F4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F919E" w14:textId="77777777" w:rsidR="001F3F42" w:rsidRDefault="001F3F4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240AD" w14:textId="77777777" w:rsidR="001F3F42" w:rsidRDefault="001F3F4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8045E" w14:textId="77777777" w:rsidR="001F3F42" w:rsidRDefault="001F3F42">
            <w:pPr>
              <w:widowControl/>
              <w:jc w:val="left"/>
            </w:pPr>
          </w:p>
        </w:tc>
      </w:tr>
      <w:tr w:rsidR="00014B71" w14:paraId="378C7CC0" w14:textId="77777777">
        <w:trPr>
          <w:divId w:val="78526832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AEA73" w14:textId="77777777" w:rsidR="001F3F42" w:rsidRDefault="001F3F42">
            <w:pPr>
              <w:jc w:val="center"/>
            </w:pPr>
            <w:r>
              <w:rPr>
                <w:rFonts w:ascii="宋体" w:hAnsi="宋体" w:hint="eastAsia"/>
                <w:szCs w:val="24"/>
                <w:lang w:eastAsia="zh-Hans"/>
              </w:rPr>
              <w:lastRenderedPageBreak/>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126C1" w14:textId="77777777" w:rsidR="001F3F42" w:rsidRDefault="001F3F4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88005" w14:textId="77777777" w:rsidR="001F3F42" w:rsidRDefault="001F3F42">
            <w:pPr>
              <w:jc w:val="center"/>
            </w:pPr>
            <w:r>
              <w:rPr>
                <w:rFonts w:ascii="宋体" w:hAnsi="宋体" w:hint="eastAsia"/>
                <w:szCs w:val="24"/>
                <w:lang w:eastAsia="zh-Hans"/>
              </w:rPr>
              <w:t>2025年7月1日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42BB7" w14:textId="77777777" w:rsidR="001F3F42" w:rsidRDefault="001F3F4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DD48A" w14:textId="77777777" w:rsidR="001F3F42" w:rsidRDefault="001F3F42">
            <w:pPr>
              <w:jc w:val="center"/>
            </w:pPr>
            <w:r>
              <w:rPr>
                <w:rFonts w:ascii="宋体" w:hAnsi="宋体" w:hint="eastAsia"/>
                <w:szCs w:val="24"/>
                <w:lang w:eastAsia="zh-Hans"/>
              </w:rPr>
              <w:t>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F696E" w14:textId="77777777" w:rsidR="001F3F42" w:rsidRDefault="001F3F42">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毛时超先生曾任平安基金管理有限公司量化研究员、基金经理助理、基金经理；自2021年11月加入摩根基金管理（中国）有限公司（原上投摩根基金管理有限公司），现任指数及量化投资部基金经理。</w:t>
            </w:r>
          </w:p>
        </w:tc>
      </w:tr>
    </w:tbl>
    <w:p w14:paraId="239A98C9" w14:textId="77777777" w:rsidR="001F3F42" w:rsidRDefault="001F3F42">
      <w:pPr>
        <w:wordWrap w:val="0"/>
        <w:spacing w:line="360" w:lineRule="auto"/>
        <w:jc w:val="left"/>
        <w:divId w:val="132450237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3.自2025年10月22日起，曲蕾蕾女士被聘任为本</w:t>
      </w:r>
      <w:proofErr w:type="gramStart"/>
      <w:r>
        <w:rPr>
          <w:rFonts w:ascii="宋体" w:hAnsi="宋体" w:hint="eastAsia"/>
          <w:szCs w:val="21"/>
        </w:rPr>
        <w:t>基金基金</w:t>
      </w:r>
      <w:proofErr w:type="gramEnd"/>
      <w:r>
        <w:rPr>
          <w:rFonts w:ascii="宋体" w:hAnsi="宋体" w:hint="eastAsia"/>
          <w:szCs w:val="21"/>
        </w:rPr>
        <w:t>经理，毛时超先生不再担任本</w:t>
      </w:r>
      <w:proofErr w:type="gramStart"/>
      <w:r>
        <w:rPr>
          <w:rFonts w:ascii="宋体" w:hAnsi="宋体" w:hint="eastAsia"/>
          <w:szCs w:val="21"/>
        </w:rPr>
        <w:t>基金基金</w:t>
      </w:r>
      <w:proofErr w:type="gramEnd"/>
      <w:r>
        <w:rPr>
          <w:rFonts w:ascii="宋体" w:hAnsi="宋体" w:hint="eastAsia"/>
          <w:szCs w:val="21"/>
        </w:rPr>
        <w:t>经理。</w:t>
      </w:r>
    </w:p>
    <w:p w14:paraId="7CE411FC" w14:textId="77777777" w:rsidR="001F3F42" w:rsidRDefault="001F3F42">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5492EEE0" w14:textId="77777777" w:rsidR="001F3F42" w:rsidRDefault="001F3F42">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23E2EACF" w14:textId="77777777" w:rsidR="001F3F42" w:rsidRDefault="001F3F42">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5356BC19" w14:textId="77777777" w:rsidR="001F3F42" w:rsidRDefault="001F3F42">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417AEE10" w14:textId="77777777" w:rsidR="001F3F42" w:rsidRDefault="001F3F4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40BB3A1" w14:textId="77777777" w:rsidR="001F3F42" w:rsidRDefault="001F3F42">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6FF6FCD4" w14:textId="77777777" w:rsidR="001F3F42" w:rsidRDefault="001F3F4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714E4CF2" w14:textId="77777777" w:rsidR="001F3F42" w:rsidRDefault="001F3F42">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63EACA89" w14:textId="77777777" w:rsidR="001F3F42" w:rsidRDefault="001F3F42">
      <w:pPr>
        <w:spacing w:line="360" w:lineRule="auto"/>
        <w:ind w:firstLineChars="200" w:firstLine="420"/>
        <w:jc w:val="left"/>
      </w:pPr>
      <w:bookmarkStart w:id="122" w:name="m405_01_2550"/>
      <w:r>
        <w:rPr>
          <w:rFonts w:ascii="宋体" w:hAnsi="宋体" w:cs="宋体" w:hint="eastAsia"/>
          <w:color w:val="000000"/>
          <w:kern w:val="0"/>
        </w:rPr>
        <w:t>报告期内，A股整体呈现稳步上涨的趋势，全球关税冲突对市场影响减弱，投资者的乐观情绪得到明显修复。沪深300自由现金流指数，聚焦现金</w:t>
      </w:r>
      <w:proofErr w:type="gramStart"/>
      <w:r>
        <w:rPr>
          <w:rFonts w:ascii="宋体" w:hAnsi="宋体" w:cs="宋体" w:hint="eastAsia"/>
          <w:color w:val="000000"/>
          <w:kern w:val="0"/>
        </w:rPr>
        <w:t>流创造</w:t>
      </w:r>
      <w:proofErr w:type="gramEnd"/>
      <w:r>
        <w:rPr>
          <w:rFonts w:ascii="宋体" w:hAnsi="宋体" w:cs="宋体" w:hint="eastAsia"/>
          <w:color w:val="000000"/>
          <w:kern w:val="0"/>
        </w:rPr>
        <w:t>能力强的企业，对应的</w:t>
      </w:r>
      <w:proofErr w:type="gramStart"/>
      <w:r>
        <w:rPr>
          <w:rFonts w:ascii="宋体" w:hAnsi="宋体" w:cs="宋体" w:hint="eastAsia"/>
          <w:color w:val="000000"/>
          <w:kern w:val="0"/>
        </w:rPr>
        <w:t>全收益</w:t>
      </w:r>
      <w:proofErr w:type="gramEnd"/>
      <w:r>
        <w:rPr>
          <w:rFonts w:ascii="宋体" w:hAnsi="宋体" w:cs="宋体" w:hint="eastAsia"/>
          <w:color w:val="000000"/>
          <w:kern w:val="0"/>
        </w:rPr>
        <w:t>指数在期间处于震荡上行的走势。</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展望未来，本基金投资跟踪的沪深300自由现金流指数，当前估值依然处于历史较低分位数，成分个股属于大市值、低估值、高股息率的公司，或具有较好的投资机会和配置价值。</w:t>
      </w:r>
    </w:p>
    <w:p w14:paraId="4168D5E4" w14:textId="77777777" w:rsidR="001F3F42" w:rsidRDefault="001F3F42">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6DE269C9" w14:textId="77777777" w:rsidR="001F3F42" w:rsidRDefault="001F3F42">
      <w:pPr>
        <w:spacing w:line="360" w:lineRule="auto"/>
        <w:ind w:firstLineChars="200" w:firstLine="420"/>
      </w:pPr>
      <w:r>
        <w:rPr>
          <w:rFonts w:ascii="宋体" w:hAnsi="宋体" w:hint="eastAsia"/>
        </w:rPr>
        <w:t>本报告期</w:t>
      </w:r>
      <w:proofErr w:type="gramStart"/>
      <w:r>
        <w:rPr>
          <w:rFonts w:ascii="宋体" w:hAnsi="宋体" w:hint="eastAsia"/>
        </w:rPr>
        <w:t>摩根沪</w:t>
      </w:r>
      <w:proofErr w:type="gramEnd"/>
      <w:r>
        <w:rPr>
          <w:rFonts w:ascii="宋体" w:hAnsi="宋体" w:hint="eastAsia"/>
        </w:rPr>
        <w:t>深300自由现金流ETF联接A份额净值增长率为：4.90%，同期业绩比较基准收益率为：6.61%；</w:t>
      </w:r>
      <w:r>
        <w:rPr>
          <w:rFonts w:ascii="宋体" w:hAnsi="宋体" w:hint="eastAsia"/>
        </w:rPr>
        <w:br/>
        <w:t xml:space="preserve">　　</w:t>
      </w:r>
      <w:proofErr w:type="gramStart"/>
      <w:r>
        <w:rPr>
          <w:rFonts w:ascii="宋体" w:hAnsi="宋体" w:hint="eastAsia"/>
        </w:rPr>
        <w:t>摩根沪</w:t>
      </w:r>
      <w:proofErr w:type="gramEnd"/>
      <w:r>
        <w:rPr>
          <w:rFonts w:ascii="宋体" w:hAnsi="宋体" w:hint="eastAsia"/>
        </w:rPr>
        <w:t>深300自由现金流ETF联接C份额净值增长率为：4.80%，同期业绩比较基准收益率为：6.61%。</w:t>
      </w:r>
    </w:p>
    <w:p w14:paraId="22013BAF" w14:textId="77777777" w:rsidR="001F3F42" w:rsidRDefault="001F3F42">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245B5F33" w14:textId="77777777" w:rsidR="001F3F42" w:rsidRDefault="001F3F42">
      <w:pPr>
        <w:spacing w:line="360" w:lineRule="auto"/>
        <w:ind w:firstLineChars="200" w:firstLine="420"/>
        <w:jc w:val="left"/>
      </w:pPr>
      <w:r>
        <w:rPr>
          <w:rFonts w:ascii="宋体" w:hAnsi="宋体" w:hint="eastAsia"/>
        </w:rPr>
        <w:t>无。</w:t>
      </w:r>
    </w:p>
    <w:p w14:paraId="605FEAF6" w14:textId="77777777" w:rsidR="001F3F42" w:rsidRDefault="001F3F42">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5AC5CB7D" w14:textId="77777777" w:rsidR="001F3F42" w:rsidRDefault="001F3F42">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14B71" w14:paraId="612F8622"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1C585E" w14:textId="77777777" w:rsidR="001F3F42" w:rsidRDefault="001F3F42">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77705CF" w14:textId="77777777" w:rsidR="001F3F42" w:rsidRDefault="001F3F4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C26B32F" w14:textId="77777777" w:rsidR="001F3F42" w:rsidRDefault="001F3F4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3B4FBDF" w14:textId="77777777" w:rsidR="001F3F42" w:rsidRDefault="001F3F4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14B71" w14:paraId="374B5CC2"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39A44F" w14:textId="77777777" w:rsidR="001F3F42" w:rsidRDefault="001F3F4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961625B" w14:textId="77777777" w:rsidR="001F3F42" w:rsidRDefault="001F3F4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074069"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3EBFA8" w14:textId="77777777" w:rsidR="001F3F42" w:rsidRDefault="001F3F42">
            <w:pPr>
              <w:jc w:val="right"/>
            </w:pPr>
            <w:r>
              <w:rPr>
                <w:rFonts w:ascii="宋体" w:hAnsi="宋体" w:hint="eastAsia"/>
                <w:szCs w:val="24"/>
                <w:lang w:eastAsia="zh-Hans"/>
              </w:rPr>
              <w:t>-</w:t>
            </w:r>
          </w:p>
        </w:tc>
      </w:tr>
      <w:tr w:rsidR="00014B71" w14:paraId="0696FFD5"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325850" w14:textId="77777777" w:rsidR="001F3F42" w:rsidRDefault="001F3F4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72ED19" w14:textId="77777777" w:rsidR="001F3F42" w:rsidRDefault="001F3F4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FEB179"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EB3D2F" w14:textId="77777777" w:rsidR="001F3F42" w:rsidRDefault="001F3F42">
            <w:pPr>
              <w:jc w:val="right"/>
            </w:pPr>
            <w:r>
              <w:rPr>
                <w:rFonts w:ascii="宋体" w:hAnsi="宋体" w:hint="eastAsia"/>
                <w:szCs w:val="24"/>
                <w:lang w:eastAsia="zh-Hans"/>
              </w:rPr>
              <w:t>-</w:t>
            </w:r>
          </w:p>
        </w:tc>
      </w:tr>
      <w:tr w:rsidR="00014B71" w14:paraId="195E8C4E"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E133FE" w14:textId="77777777" w:rsidR="001F3F42" w:rsidRDefault="001F3F4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F947827" w14:textId="77777777" w:rsidR="001F3F42" w:rsidRDefault="001F3F4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D26B0C" w14:textId="77777777" w:rsidR="001F3F42" w:rsidRDefault="001F3F42">
            <w:pPr>
              <w:jc w:val="right"/>
            </w:pPr>
            <w:r>
              <w:rPr>
                <w:rFonts w:ascii="宋体" w:hAnsi="宋体" w:hint="eastAsia"/>
                <w:szCs w:val="24"/>
                <w:lang w:eastAsia="zh-Hans"/>
              </w:rPr>
              <w:t>295,936,406.10</w:t>
            </w:r>
          </w:p>
        </w:tc>
        <w:tc>
          <w:tcPr>
            <w:tcW w:w="1333" w:type="pct"/>
            <w:tcBorders>
              <w:top w:val="single" w:sz="4" w:space="0" w:color="auto"/>
              <w:left w:val="nil"/>
              <w:bottom w:val="single" w:sz="4" w:space="0" w:color="auto"/>
              <w:right w:val="single" w:sz="4" w:space="0" w:color="auto"/>
            </w:tcBorders>
            <w:vAlign w:val="center"/>
            <w:hideMark/>
          </w:tcPr>
          <w:p w14:paraId="0C61A75F" w14:textId="77777777" w:rsidR="001F3F42" w:rsidRDefault="001F3F42">
            <w:pPr>
              <w:jc w:val="right"/>
            </w:pPr>
            <w:r>
              <w:rPr>
                <w:rFonts w:ascii="宋体" w:hAnsi="宋体" w:hint="eastAsia"/>
                <w:szCs w:val="24"/>
                <w:lang w:eastAsia="zh-Hans"/>
              </w:rPr>
              <w:t>93.87</w:t>
            </w:r>
          </w:p>
        </w:tc>
      </w:tr>
      <w:tr w:rsidR="00014B71" w14:paraId="7A6E0390"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3946EE" w14:textId="77777777" w:rsidR="001F3F42" w:rsidRDefault="001F3F4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F62F3F3" w14:textId="77777777" w:rsidR="001F3F42" w:rsidRDefault="001F3F4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3582CC" w14:textId="77777777" w:rsidR="001F3F42" w:rsidRDefault="001F3F42">
            <w:pPr>
              <w:jc w:val="right"/>
            </w:pPr>
            <w:r>
              <w:rPr>
                <w:rFonts w:ascii="宋体" w:hAnsi="宋体" w:hint="eastAsia"/>
                <w:szCs w:val="24"/>
                <w:lang w:eastAsia="zh-Hans"/>
              </w:rPr>
              <w:t>5,434,253.75</w:t>
            </w:r>
          </w:p>
        </w:tc>
        <w:tc>
          <w:tcPr>
            <w:tcW w:w="1333" w:type="pct"/>
            <w:tcBorders>
              <w:top w:val="single" w:sz="4" w:space="0" w:color="auto"/>
              <w:left w:val="nil"/>
              <w:bottom w:val="single" w:sz="4" w:space="0" w:color="auto"/>
              <w:right w:val="single" w:sz="4" w:space="0" w:color="auto"/>
            </w:tcBorders>
            <w:vAlign w:val="center"/>
            <w:hideMark/>
          </w:tcPr>
          <w:p w14:paraId="69E7BDEC" w14:textId="77777777" w:rsidR="001F3F42" w:rsidRDefault="001F3F42">
            <w:pPr>
              <w:jc w:val="right"/>
            </w:pPr>
            <w:r>
              <w:rPr>
                <w:rFonts w:ascii="宋体" w:hAnsi="宋体" w:hint="eastAsia"/>
                <w:szCs w:val="24"/>
                <w:lang w:eastAsia="zh-Hans"/>
              </w:rPr>
              <w:t>1.72</w:t>
            </w:r>
          </w:p>
        </w:tc>
      </w:tr>
      <w:tr w:rsidR="00014B71" w14:paraId="72C32E9A"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8B9CAD" w14:textId="77777777" w:rsidR="001F3F42" w:rsidRDefault="001F3F4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06924F" w14:textId="77777777" w:rsidR="001F3F42" w:rsidRDefault="001F3F4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27A509" w14:textId="77777777" w:rsidR="001F3F42" w:rsidRDefault="001F3F42">
            <w:pPr>
              <w:jc w:val="right"/>
            </w:pPr>
            <w:r>
              <w:rPr>
                <w:rFonts w:ascii="宋体" w:hAnsi="宋体" w:hint="eastAsia"/>
                <w:szCs w:val="24"/>
                <w:lang w:eastAsia="zh-Hans"/>
              </w:rPr>
              <w:t>5,434,253.75</w:t>
            </w:r>
          </w:p>
        </w:tc>
        <w:tc>
          <w:tcPr>
            <w:tcW w:w="1333" w:type="pct"/>
            <w:tcBorders>
              <w:top w:val="single" w:sz="4" w:space="0" w:color="auto"/>
              <w:left w:val="nil"/>
              <w:bottom w:val="single" w:sz="4" w:space="0" w:color="auto"/>
              <w:right w:val="single" w:sz="4" w:space="0" w:color="auto"/>
            </w:tcBorders>
            <w:vAlign w:val="center"/>
            <w:hideMark/>
          </w:tcPr>
          <w:p w14:paraId="72F316EB" w14:textId="77777777" w:rsidR="001F3F42" w:rsidRDefault="001F3F42">
            <w:pPr>
              <w:jc w:val="right"/>
            </w:pPr>
            <w:r>
              <w:rPr>
                <w:rFonts w:ascii="宋体" w:hAnsi="宋体" w:hint="eastAsia"/>
                <w:szCs w:val="24"/>
                <w:lang w:eastAsia="zh-Hans"/>
              </w:rPr>
              <w:t>1.72</w:t>
            </w:r>
          </w:p>
        </w:tc>
      </w:tr>
      <w:tr w:rsidR="00014B71" w14:paraId="77BE32BC"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DFC640" w14:textId="77777777" w:rsidR="001F3F42" w:rsidRDefault="001F3F4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C56C46" w14:textId="77777777" w:rsidR="001F3F42" w:rsidRDefault="001F3F4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D7B044"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91FDB1" w14:textId="77777777" w:rsidR="001F3F42" w:rsidRDefault="001F3F42">
            <w:pPr>
              <w:jc w:val="right"/>
            </w:pPr>
            <w:r>
              <w:rPr>
                <w:rFonts w:ascii="宋体" w:hAnsi="宋体" w:hint="eastAsia"/>
                <w:szCs w:val="24"/>
                <w:lang w:eastAsia="zh-Hans"/>
              </w:rPr>
              <w:t>-</w:t>
            </w:r>
          </w:p>
        </w:tc>
      </w:tr>
      <w:tr w:rsidR="00014B71" w14:paraId="44904696"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AD426B" w14:textId="77777777" w:rsidR="001F3F42" w:rsidRDefault="001F3F4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FD9E0E8" w14:textId="77777777" w:rsidR="001F3F42" w:rsidRDefault="001F3F4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95FC8B"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065FA6" w14:textId="77777777" w:rsidR="001F3F42" w:rsidRDefault="001F3F42">
            <w:pPr>
              <w:jc w:val="right"/>
            </w:pPr>
            <w:r>
              <w:rPr>
                <w:rFonts w:ascii="宋体" w:hAnsi="宋体" w:hint="eastAsia"/>
                <w:szCs w:val="24"/>
                <w:lang w:eastAsia="zh-Hans"/>
              </w:rPr>
              <w:t>-</w:t>
            </w:r>
          </w:p>
        </w:tc>
      </w:tr>
      <w:tr w:rsidR="00014B71" w14:paraId="488D145C"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F0B5D1" w14:textId="77777777" w:rsidR="001F3F42" w:rsidRDefault="001F3F4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67BFE26" w14:textId="77777777" w:rsidR="001F3F42" w:rsidRDefault="001F3F4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D1CEF3"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FCFD46" w14:textId="77777777" w:rsidR="001F3F42" w:rsidRDefault="001F3F42">
            <w:pPr>
              <w:jc w:val="right"/>
            </w:pPr>
            <w:r>
              <w:rPr>
                <w:rFonts w:ascii="宋体" w:hAnsi="宋体" w:hint="eastAsia"/>
                <w:szCs w:val="24"/>
                <w:lang w:eastAsia="zh-Hans"/>
              </w:rPr>
              <w:t>-</w:t>
            </w:r>
          </w:p>
        </w:tc>
      </w:tr>
      <w:tr w:rsidR="00014B71" w14:paraId="3D29B973"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52F485" w14:textId="77777777" w:rsidR="001F3F42" w:rsidRDefault="001F3F4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47B901E" w14:textId="77777777" w:rsidR="001F3F42" w:rsidRDefault="001F3F4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54CE20"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748BF3" w14:textId="77777777" w:rsidR="001F3F42" w:rsidRDefault="001F3F42">
            <w:pPr>
              <w:jc w:val="right"/>
            </w:pPr>
            <w:r>
              <w:rPr>
                <w:rFonts w:ascii="宋体" w:hAnsi="宋体" w:hint="eastAsia"/>
                <w:szCs w:val="24"/>
                <w:lang w:eastAsia="zh-Hans"/>
              </w:rPr>
              <w:t>-</w:t>
            </w:r>
          </w:p>
        </w:tc>
      </w:tr>
      <w:tr w:rsidR="00014B71" w14:paraId="692BE8D8"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BC5842" w14:textId="77777777" w:rsidR="001F3F42" w:rsidRDefault="001F3F4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928988" w14:textId="77777777" w:rsidR="001F3F42" w:rsidRDefault="001F3F4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B31108" w14:textId="77777777" w:rsidR="001F3F42" w:rsidRDefault="001F3F4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A12597" w14:textId="77777777" w:rsidR="001F3F42" w:rsidRDefault="001F3F42">
            <w:pPr>
              <w:jc w:val="right"/>
            </w:pPr>
            <w:r>
              <w:rPr>
                <w:rFonts w:ascii="宋体" w:hAnsi="宋体" w:hint="eastAsia"/>
                <w:szCs w:val="24"/>
                <w:lang w:eastAsia="zh-Hans"/>
              </w:rPr>
              <w:t>-</w:t>
            </w:r>
          </w:p>
        </w:tc>
      </w:tr>
      <w:tr w:rsidR="00014B71" w14:paraId="21E9F25A"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90A240" w14:textId="77777777" w:rsidR="001F3F42" w:rsidRDefault="001F3F4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BAD4DC9" w14:textId="77777777" w:rsidR="001F3F42" w:rsidRDefault="001F3F4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8DFE5F" w14:textId="77777777" w:rsidR="001F3F42" w:rsidRDefault="001F3F42">
            <w:pPr>
              <w:jc w:val="right"/>
            </w:pPr>
            <w:r>
              <w:rPr>
                <w:rFonts w:ascii="宋体" w:hAnsi="宋体" w:hint="eastAsia"/>
                <w:szCs w:val="24"/>
                <w:lang w:eastAsia="zh-Hans"/>
              </w:rPr>
              <w:t>12,065,217.84</w:t>
            </w:r>
          </w:p>
        </w:tc>
        <w:tc>
          <w:tcPr>
            <w:tcW w:w="1333" w:type="pct"/>
            <w:tcBorders>
              <w:top w:val="single" w:sz="4" w:space="0" w:color="auto"/>
              <w:left w:val="nil"/>
              <w:bottom w:val="single" w:sz="4" w:space="0" w:color="auto"/>
              <w:right w:val="single" w:sz="4" w:space="0" w:color="auto"/>
            </w:tcBorders>
            <w:vAlign w:val="center"/>
            <w:hideMark/>
          </w:tcPr>
          <w:p w14:paraId="2C6460FF" w14:textId="77777777" w:rsidR="001F3F42" w:rsidRDefault="001F3F42">
            <w:pPr>
              <w:jc w:val="right"/>
            </w:pPr>
            <w:r>
              <w:rPr>
                <w:rFonts w:ascii="宋体" w:hAnsi="宋体" w:hint="eastAsia"/>
                <w:szCs w:val="24"/>
                <w:lang w:eastAsia="zh-Hans"/>
              </w:rPr>
              <w:t>3.83</w:t>
            </w:r>
          </w:p>
        </w:tc>
      </w:tr>
      <w:tr w:rsidR="00014B71" w14:paraId="0E71B69E"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0326C3" w14:textId="77777777" w:rsidR="001F3F42" w:rsidRDefault="001F3F4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EF2C5EE" w14:textId="77777777" w:rsidR="001F3F42" w:rsidRDefault="001F3F4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A0130E" w14:textId="77777777" w:rsidR="001F3F42" w:rsidRDefault="001F3F42">
            <w:pPr>
              <w:jc w:val="right"/>
            </w:pPr>
            <w:r>
              <w:rPr>
                <w:rFonts w:ascii="宋体" w:hAnsi="宋体" w:hint="eastAsia"/>
                <w:szCs w:val="24"/>
                <w:lang w:eastAsia="zh-Hans"/>
              </w:rPr>
              <w:t>1,827,989.94</w:t>
            </w:r>
          </w:p>
        </w:tc>
        <w:tc>
          <w:tcPr>
            <w:tcW w:w="1333" w:type="pct"/>
            <w:tcBorders>
              <w:top w:val="single" w:sz="4" w:space="0" w:color="auto"/>
              <w:left w:val="nil"/>
              <w:bottom w:val="single" w:sz="4" w:space="0" w:color="auto"/>
              <w:right w:val="single" w:sz="4" w:space="0" w:color="auto"/>
            </w:tcBorders>
            <w:vAlign w:val="center"/>
            <w:hideMark/>
          </w:tcPr>
          <w:p w14:paraId="5207C086" w14:textId="77777777" w:rsidR="001F3F42" w:rsidRDefault="001F3F42">
            <w:pPr>
              <w:jc w:val="right"/>
            </w:pPr>
            <w:r>
              <w:rPr>
                <w:rFonts w:ascii="宋体" w:hAnsi="宋体" w:hint="eastAsia"/>
                <w:szCs w:val="24"/>
                <w:lang w:eastAsia="zh-Hans"/>
              </w:rPr>
              <w:t>0.58</w:t>
            </w:r>
          </w:p>
        </w:tc>
      </w:tr>
      <w:tr w:rsidR="00014B71" w14:paraId="1A33922F" w14:textId="77777777">
        <w:trPr>
          <w:divId w:val="9659651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777F06" w14:textId="77777777" w:rsidR="001F3F42" w:rsidRDefault="001F3F42">
            <w:pPr>
              <w:jc w:val="center"/>
            </w:pPr>
            <w:r>
              <w:rPr>
                <w:rFonts w:ascii="宋体" w:hAnsi="宋体" w:hint="eastAsia"/>
                <w:color w:val="000000"/>
                <w:lang w:eastAsia="zh-Hans"/>
              </w:rPr>
              <w:lastRenderedPageBreak/>
              <w:t>9</w:t>
            </w:r>
          </w:p>
        </w:tc>
        <w:tc>
          <w:tcPr>
            <w:tcW w:w="1979" w:type="pct"/>
            <w:tcBorders>
              <w:top w:val="single" w:sz="4" w:space="0" w:color="auto"/>
              <w:left w:val="nil"/>
              <w:bottom w:val="single" w:sz="4" w:space="0" w:color="auto"/>
              <w:right w:val="single" w:sz="4" w:space="0" w:color="auto"/>
            </w:tcBorders>
            <w:vAlign w:val="center"/>
            <w:hideMark/>
          </w:tcPr>
          <w:p w14:paraId="7250E8C9" w14:textId="77777777" w:rsidR="001F3F42" w:rsidRDefault="001F3F4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FF5E88" w14:textId="77777777" w:rsidR="001F3F42" w:rsidRDefault="001F3F42">
            <w:pPr>
              <w:jc w:val="right"/>
            </w:pPr>
            <w:r>
              <w:rPr>
                <w:rFonts w:ascii="宋体" w:hAnsi="宋体" w:hint="eastAsia"/>
                <w:szCs w:val="24"/>
                <w:lang w:eastAsia="zh-Hans"/>
              </w:rPr>
              <w:t>315,263,867.63</w:t>
            </w:r>
          </w:p>
        </w:tc>
        <w:tc>
          <w:tcPr>
            <w:tcW w:w="1333" w:type="pct"/>
            <w:tcBorders>
              <w:top w:val="single" w:sz="4" w:space="0" w:color="auto"/>
              <w:left w:val="nil"/>
              <w:bottom w:val="single" w:sz="4" w:space="0" w:color="auto"/>
              <w:right w:val="single" w:sz="4" w:space="0" w:color="auto"/>
            </w:tcBorders>
            <w:vAlign w:val="center"/>
            <w:hideMark/>
          </w:tcPr>
          <w:p w14:paraId="73DA5674" w14:textId="77777777" w:rsidR="001F3F42" w:rsidRDefault="001F3F42">
            <w:pPr>
              <w:jc w:val="right"/>
            </w:pPr>
            <w:r>
              <w:rPr>
                <w:rFonts w:ascii="宋体" w:hAnsi="宋体" w:hint="eastAsia"/>
                <w:szCs w:val="24"/>
                <w:lang w:eastAsia="zh-Hans"/>
              </w:rPr>
              <w:t>100.00</w:t>
            </w:r>
          </w:p>
        </w:tc>
      </w:tr>
    </w:tbl>
    <w:p w14:paraId="477BDA3C" w14:textId="77777777" w:rsidR="001F3F42" w:rsidRDefault="001F3F42">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756FFC5F" w14:textId="77777777" w:rsidR="001F3F42" w:rsidRDefault="001F3F42">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6431BAC7" w14:textId="77777777" w:rsidR="001F3F42" w:rsidRDefault="001F3F42">
      <w:pPr>
        <w:spacing w:line="360" w:lineRule="auto"/>
        <w:ind w:firstLineChars="200" w:firstLine="420"/>
        <w:divId w:val="1287542932"/>
      </w:pPr>
      <w:r>
        <w:rPr>
          <w:rFonts w:ascii="宋体" w:hAnsi="宋体" w:hint="eastAsia"/>
          <w:szCs w:val="21"/>
          <w:lang w:eastAsia="zh-Hans"/>
        </w:rPr>
        <w:t>本基金本报告期末未持有境内股票。</w:t>
      </w:r>
    </w:p>
    <w:p w14:paraId="62D73E48" w14:textId="77777777" w:rsidR="001F3F42" w:rsidRDefault="001F3F42">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767D2FC3" w14:textId="77777777" w:rsidR="001F3F42" w:rsidRDefault="001F3F42">
      <w:pPr>
        <w:spacing w:line="360" w:lineRule="auto"/>
        <w:ind w:firstLineChars="200" w:firstLine="420"/>
        <w:divId w:val="1226337863"/>
      </w:pPr>
      <w:r>
        <w:rPr>
          <w:rFonts w:ascii="宋体" w:hAnsi="宋体" w:hint="eastAsia"/>
          <w:szCs w:val="21"/>
          <w:lang w:eastAsia="zh-Hans"/>
        </w:rPr>
        <w:t>本基金本报告期末未持有港股通股票　。</w:t>
      </w:r>
    </w:p>
    <w:p w14:paraId="3B9E435A" w14:textId="77777777" w:rsidR="001F3F42" w:rsidRDefault="001F3F42">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68"/>
      <w:bookmarkEnd w:id="156"/>
      <w:bookmarkEnd w:id="157"/>
      <w:bookmarkEnd w:id="158"/>
      <w:bookmarkEnd w:id="159"/>
      <w:bookmarkEnd w:id="160"/>
      <w:proofErr w:type="spellEnd"/>
      <w:r>
        <w:rPr>
          <w:rFonts w:hAnsi="宋体" w:hint="eastAsia"/>
          <w:lang w:eastAsia="zh-CN"/>
        </w:rPr>
        <w:t xml:space="preserve"> </w:t>
      </w:r>
    </w:p>
    <w:p w14:paraId="418AA2BF" w14:textId="77777777" w:rsidR="001F3F42" w:rsidRDefault="001F3F42">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9"/>
      <w:bookmarkEnd w:id="162"/>
      <w:bookmarkEnd w:id="163"/>
      <w:proofErr w:type="spellEnd"/>
      <w:r>
        <w:rPr>
          <w:rFonts w:hint="eastAsia"/>
          <w:lang w:eastAsia="zh-CN"/>
        </w:rPr>
        <w:t xml:space="preserve"> </w:t>
      </w:r>
    </w:p>
    <w:p w14:paraId="7E924510" w14:textId="77777777" w:rsidR="001F3F42" w:rsidRDefault="001F3F42">
      <w:pPr>
        <w:spacing w:line="360" w:lineRule="auto"/>
        <w:ind w:firstLineChars="200" w:firstLine="420"/>
        <w:jc w:val="left"/>
      </w:pPr>
      <w:r>
        <w:rPr>
          <w:rFonts w:ascii="宋体" w:hAnsi="宋体" w:hint="eastAsia"/>
          <w:color w:val="000000"/>
          <w:szCs w:val="21"/>
          <w:lang w:eastAsia="zh-Hans"/>
        </w:rPr>
        <w:t>本基金本报告期末未持有股票。</w:t>
      </w:r>
    </w:p>
    <w:p w14:paraId="4C70622F" w14:textId="77777777" w:rsidR="001F3F42" w:rsidRDefault="001F3F42">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14B71" w14:paraId="092D4E8E"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738A28" w14:textId="77777777" w:rsidR="001F3F42" w:rsidRDefault="001F3F42">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87D549" w14:textId="77777777" w:rsidR="001F3F42" w:rsidRDefault="001F3F42">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0E0033" w14:textId="77777777" w:rsidR="001F3F42" w:rsidRDefault="001F3F42">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2A8496" w14:textId="77777777" w:rsidR="001F3F42" w:rsidRDefault="001F3F42">
            <w:pPr>
              <w:jc w:val="center"/>
            </w:pPr>
            <w:r>
              <w:rPr>
                <w:rFonts w:ascii="宋体" w:hAnsi="宋体" w:hint="eastAsia"/>
                <w:color w:val="000000"/>
              </w:rPr>
              <w:t xml:space="preserve">占基金资产净值比例（%） </w:t>
            </w:r>
          </w:p>
        </w:tc>
      </w:tr>
      <w:tr w:rsidR="00014B71" w14:paraId="555408EE"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2B4BD1" w14:textId="77777777" w:rsidR="001F3F42" w:rsidRDefault="001F3F4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A086D89" w14:textId="77777777" w:rsidR="001F3F42" w:rsidRDefault="001F3F42">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5F0E18" w14:textId="77777777" w:rsidR="001F3F42" w:rsidRDefault="001F3F42">
            <w:pPr>
              <w:jc w:val="right"/>
            </w:pPr>
            <w:r>
              <w:rPr>
                <w:rFonts w:ascii="宋体" w:hAnsi="宋体" w:hint="eastAsia"/>
                <w:szCs w:val="24"/>
                <w:lang w:eastAsia="zh-Hans"/>
              </w:rPr>
              <w:t>5,434,253.75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AC62B8" w14:textId="77777777" w:rsidR="001F3F42" w:rsidRDefault="001F3F42">
            <w:pPr>
              <w:jc w:val="right"/>
            </w:pPr>
            <w:r>
              <w:rPr>
                <w:rFonts w:ascii="宋体" w:hAnsi="宋体" w:hint="eastAsia"/>
                <w:szCs w:val="24"/>
                <w:lang w:eastAsia="zh-Hans"/>
              </w:rPr>
              <w:t>1.74</w:t>
            </w:r>
          </w:p>
        </w:tc>
      </w:tr>
      <w:tr w:rsidR="00014B71" w14:paraId="06FC8037"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E7755F" w14:textId="77777777" w:rsidR="001F3F42" w:rsidRDefault="001F3F4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8E67FF" w14:textId="77777777" w:rsidR="001F3F42" w:rsidRDefault="001F3F42">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387B1A"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D769A3" w14:textId="77777777" w:rsidR="001F3F42" w:rsidRDefault="001F3F42">
            <w:pPr>
              <w:jc w:val="right"/>
            </w:pPr>
            <w:r>
              <w:rPr>
                <w:rFonts w:ascii="宋体" w:hAnsi="宋体" w:hint="eastAsia"/>
                <w:szCs w:val="24"/>
                <w:lang w:eastAsia="zh-Hans"/>
              </w:rPr>
              <w:t>-</w:t>
            </w:r>
          </w:p>
        </w:tc>
      </w:tr>
      <w:tr w:rsidR="00014B71" w14:paraId="476173AB"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FCF63F9" w14:textId="77777777" w:rsidR="001F3F42" w:rsidRDefault="001F3F4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3AFE74" w14:textId="77777777" w:rsidR="001F3F42" w:rsidRDefault="001F3F42">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408E6B"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3A47677" w14:textId="77777777" w:rsidR="001F3F42" w:rsidRDefault="001F3F42">
            <w:pPr>
              <w:jc w:val="right"/>
            </w:pPr>
            <w:r>
              <w:rPr>
                <w:rFonts w:ascii="宋体" w:hAnsi="宋体" w:hint="eastAsia"/>
                <w:szCs w:val="24"/>
                <w:lang w:eastAsia="zh-Hans"/>
              </w:rPr>
              <w:t>-</w:t>
            </w:r>
          </w:p>
        </w:tc>
      </w:tr>
      <w:tr w:rsidR="00014B71" w14:paraId="2CD3B957"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09F490E" w14:textId="77777777" w:rsidR="001F3F42" w:rsidRDefault="001F3F42">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9C26112" w14:textId="77777777" w:rsidR="001F3F42" w:rsidRDefault="001F3F42">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12D837"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FD91EB" w14:textId="77777777" w:rsidR="001F3F42" w:rsidRDefault="001F3F42">
            <w:pPr>
              <w:jc w:val="right"/>
            </w:pPr>
            <w:r>
              <w:rPr>
                <w:rFonts w:ascii="宋体" w:hAnsi="宋体" w:hint="eastAsia"/>
                <w:szCs w:val="24"/>
                <w:lang w:eastAsia="zh-Hans"/>
              </w:rPr>
              <w:t>-</w:t>
            </w:r>
          </w:p>
        </w:tc>
      </w:tr>
      <w:tr w:rsidR="00014B71" w14:paraId="79CFB813"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7A17B2" w14:textId="77777777" w:rsidR="001F3F42" w:rsidRDefault="001F3F4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EBE061" w14:textId="77777777" w:rsidR="001F3F42" w:rsidRDefault="001F3F42">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B0BC57A"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A3A3CD" w14:textId="77777777" w:rsidR="001F3F42" w:rsidRDefault="001F3F42">
            <w:pPr>
              <w:jc w:val="right"/>
            </w:pPr>
            <w:r>
              <w:rPr>
                <w:rFonts w:ascii="宋体" w:hAnsi="宋体" w:hint="eastAsia"/>
                <w:szCs w:val="24"/>
                <w:lang w:eastAsia="zh-Hans"/>
              </w:rPr>
              <w:t>-</w:t>
            </w:r>
          </w:p>
        </w:tc>
      </w:tr>
      <w:tr w:rsidR="00014B71" w14:paraId="530FF796"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D5B17B" w14:textId="77777777" w:rsidR="001F3F42" w:rsidRDefault="001F3F4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0689D6" w14:textId="77777777" w:rsidR="001F3F42" w:rsidRDefault="001F3F42">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E29B87"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A755A25" w14:textId="77777777" w:rsidR="001F3F42" w:rsidRDefault="001F3F42">
            <w:pPr>
              <w:jc w:val="right"/>
            </w:pPr>
            <w:r>
              <w:rPr>
                <w:rFonts w:ascii="宋体" w:hAnsi="宋体" w:hint="eastAsia"/>
                <w:szCs w:val="24"/>
                <w:lang w:eastAsia="zh-Hans"/>
              </w:rPr>
              <w:t>-</w:t>
            </w:r>
          </w:p>
        </w:tc>
      </w:tr>
      <w:tr w:rsidR="00014B71" w14:paraId="0E54B51C"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9A0D89" w14:textId="77777777" w:rsidR="001F3F42" w:rsidRDefault="001F3F4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0604A7" w14:textId="77777777" w:rsidR="001F3F42" w:rsidRDefault="001F3F42">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4ED6A3D"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3116B78" w14:textId="77777777" w:rsidR="001F3F42" w:rsidRDefault="001F3F42">
            <w:pPr>
              <w:jc w:val="right"/>
            </w:pPr>
            <w:r>
              <w:rPr>
                <w:rFonts w:ascii="宋体" w:hAnsi="宋体" w:hint="eastAsia"/>
                <w:szCs w:val="24"/>
                <w:lang w:eastAsia="zh-Hans"/>
              </w:rPr>
              <w:t>-</w:t>
            </w:r>
          </w:p>
        </w:tc>
      </w:tr>
      <w:tr w:rsidR="00014B71" w14:paraId="3452DDED"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B4B6D5" w14:textId="77777777" w:rsidR="001F3F42" w:rsidRDefault="001F3F4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9D6E40B" w14:textId="77777777" w:rsidR="001F3F42" w:rsidRDefault="001F3F42">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F74B98"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1BD8A4" w14:textId="77777777" w:rsidR="001F3F42" w:rsidRDefault="001F3F42">
            <w:pPr>
              <w:jc w:val="right"/>
            </w:pPr>
            <w:r>
              <w:rPr>
                <w:rFonts w:ascii="宋体" w:hAnsi="宋体" w:hint="eastAsia"/>
                <w:szCs w:val="24"/>
                <w:lang w:eastAsia="zh-Hans"/>
              </w:rPr>
              <w:t>-</w:t>
            </w:r>
          </w:p>
        </w:tc>
      </w:tr>
      <w:tr w:rsidR="00014B71" w14:paraId="005CCA80"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189879" w14:textId="77777777" w:rsidR="001F3F42" w:rsidRDefault="001F3F4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9E4FD2" w14:textId="77777777" w:rsidR="001F3F42" w:rsidRDefault="001F3F42">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68FA69"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5B8728" w14:textId="77777777" w:rsidR="001F3F42" w:rsidRDefault="001F3F42">
            <w:pPr>
              <w:jc w:val="right"/>
            </w:pPr>
            <w:r>
              <w:rPr>
                <w:rFonts w:ascii="宋体" w:hAnsi="宋体" w:hint="eastAsia"/>
                <w:szCs w:val="24"/>
                <w:lang w:eastAsia="zh-Hans"/>
              </w:rPr>
              <w:t>-</w:t>
            </w:r>
          </w:p>
        </w:tc>
      </w:tr>
      <w:tr w:rsidR="00014B71" w14:paraId="52DBF496"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D13020" w14:textId="77777777" w:rsidR="001F3F42" w:rsidRDefault="001F3F4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2FE1C4" w14:textId="77777777" w:rsidR="001F3F42" w:rsidRDefault="001F3F42">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F4EF82" w14:textId="77777777" w:rsidR="001F3F42" w:rsidRDefault="001F3F4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954DF1" w14:textId="77777777" w:rsidR="001F3F42" w:rsidRDefault="001F3F42">
            <w:pPr>
              <w:jc w:val="right"/>
            </w:pPr>
            <w:r>
              <w:rPr>
                <w:rFonts w:ascii="宋体" w:hAnsi="宋体" w:hint="eastAsia"/>
                <w:szCs w:val="24"/>
                <w:lang w:eastAsia="zh-Hans"/>
              </w:rPr>
              <w:t>-</w:t>
            </w:r>
          </w:p>
        </w:tc>
      </w:tr>
      <w:tr w:rsidR="00014B71" w14:paraId="35D99458" w14:textId="77777777">
        <w:trPr>
          <w:divId w:val="57805515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42F6C2" w14:textId="77777777" w:rsidR="001F3F42" w:rsidRDefault="001F3F42">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3014945" w14:textId="77777777" w:rsidR="001F3F42" w:rsidRDefault="001F3F42">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6498E8" w14:textId="77777777" w:rsidR="001F3F42" w:rsidRDefault="001F3F42">
            <w:pPr>
              <w:jc w:val="right"/>
            </w:pPr>
            <w:r>
              <w:rPr>
                <w:rFonts w:ascii="宋体" w:hAnsi="宋体" w:hint="eastAsia"/>
                <w:szCs w:val="24"/>
                <w:lang w:eastAsia="zh-Hans"/>
              </w:rPr>
              <w:t>5,434,253.75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4AE900" w14:textId="77777777" w:rsidR="001F3F42" w:rsidRDefault="001F3F42">
            <w:pPr>
              <w:jc w:val="right"/>
            </w:pPr>
            <w:r>
              <w:rPr>
                <w:rFonts w:ascii="宋体" w:hAnsi="宋体" w:hint="eastAsia"/>
                <w:szCs w:val="24"/>
                <w:lang w:eastAsia="zh-Hans"/>
              </w:rPr>
              <w:t>1.74</w:t>
            </w:r>
          </w:p>
        </w:tc>
      </w:tr>
    </w:tbl>
    <w:p w14:paraId="771CCAA8" w14:textId="77777777" w:rsidR="001F3F42" w:rsidRDefault="001F3F42">
      <w:pPr>
        <w:pStyle w:val="XBRLTitle2"/>
        <w:spacing w:before="156"/>
        <w:ind w:left="454"/>
      </w:pPr>
      <w:bookmarkStart w:id="178" w:name="_Toc17881690"/>
      <w:bookmarkStart w:id="179" w:name="_Toc512627232"/>
      <w:bookmarkStart w:id="180" w:name="_Toc492299886"/>
      <w:bookmarkStart w:id="181" w:name="_Toc466644470"/>
      <w:bookmarkStart w:id="182" w:name="_Toc447872932"/>
      <w:bookmarkStart w:id="183" w:name="_Toc438646472"/>
      <w:bookmarkStart w:id="184" w:name="_Toc512694312"/>
      <w:bookmarkStart w:id="185" w:name="m506"/>
      <w:bookmarkEnd w:id="177"/>
      <w:proofErr w:type="spellStart"/>
      <w:r>
        <w:rPr>
          <w:rFonts w:hAnsi="宋体" w:hint="eastAsia"/>
        </w:rPr>
        <w:t>报告期末按公允价值占基金资产净值比例大小排序的前五名债券投资明细</w:t>
      </w:r>
      <w:bookmarkEnd w:id="178"/>
      <w:bookmarkEnd w:id="179"/>
      <w:bookmarkEnd w:id="180"/>
      <w:bookmarkEnd w:id="181"/>
      <w:bookmarkEnd w:id="182"/>
      <w:bookmarkEnd w:id="183"/>
      <w:bookmarkEnd w:id="18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14B71" w14:paraId="2F03FB82" w14:textId="77777777">
        <w:trPr>
          <w:divId w:val="16871727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7954E" w14:textId="77777777" w:rsidR="001F3F42" w:rsidRDefault="001F3F4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4797FF" w14:textId="77777777" w:rsidR="001F3F42" w:rsidRDefault="001F3F42">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9ED020" w14:textId="77777777" w:rsidR="001F3F42" w:rsidRDefault="001F3F42">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A34832" w14:textId="77777777" w:rsidR="001F3F42" w:rsidRDefault="001F3F42">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1587A5" w14:textId="77777777" w:rsidR="001F3F42" w:rsidRDefault="001F3F42">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01AAD8" w14:textId="77777777" w:rsidR="001F3F42" w:rsidRDefault="001F3F42">
            <w:pPr>
              <w:jc w:val="center"/>
            </w:pPr>
            <w:r>
              <w:rPr>
                <w:rFonts w:ascii="宋体" w:hAnsi="宋体" w:hint="eastAsia"/>
                <w:color w:val="000000"/>
              </w:rPr>
              <w:t xml:space="preserve">占基金资产净值比例（%） </w:t>
            </w:r>
          </w:p>
        </w:tc>
      </w:tr>
      <w:tr w:rsidR="00014B71" w14:paraId="6EFCE5A7" w14:textId="77777777">
        <w:trPr>
          <w:divId w:val="16871727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4784D" w14:textId="77777777" w:rsidR="001F3F42" w:rsidRDefault="001F3F4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80626" w14:textId="77777777" w:rsidR="001F3F42" w:rsidRDefault="001F3F42">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0DA64" w14:textId="77777777" w:rsidR="001F3F42" w:rsidRDefault="001F3F42">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6E819" w14:textId="77777777" w:rsidR="001F3F42" w:rsidRDefault="001F3F42">
            <w:pPr>
              <w:jc w:val="right"/>
            </w:pPr>
            <w:r>
              <w:rPr>
                <w:rFonts w:ascii="宋体" w:hAnsi="宋体" w:hint="eastAsia"/>
                <w:szCs w:val="24"/>
                <w:lang w:eastAsia="zh-Hans"/>
              </w:rPr>
              <w:t>54,000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2E2A6" w14:textId="77777777" w:rsidR="001F3F42" w:rsidRDefault="001F3F42">
            <w:pPr>
              <w:jc w:val="right"/>
            </w:pPr>
            <w:r>
              <w:rPr>
                <w:rFonts w:ascii="宋体" w:hAnsi="宋体" w:hint="eastAsia"/>
                <w:szCs w:val="24"/>
                <w:lang w:eastAsia="zh-Hans"/>
              </w:rPr>
              <w:t>5,434,253.75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DAC6F" w14:textId="77777777" w:rsidR="001F3F42" w:rsidRDefault="001F3F42">
            <w:pPr>
              <w:jc w:val="right"/>
            </w:pPr>
            <w:r>
              <w:rPr>
                <w:rFonts w:ascii="宋体" w:hAnsi="宋体" w:hint="eastAsia"/>
                <w:szCs w:val="24"/>
                <w:lang w:eastAsia="zh-Hans"/>
              </w:rPr>
              <w:t>1.74</w:t>
            </w:r>
          </w:p>
        </w:tc>
      </w:tr>
    </w:tbl>
    <w:p w14:paraId="770334DF" w14:textId="77777777" w:rsidR="001F3F42" w:rsidRDefault="001F3F42">
      <w:pPr>
        <w:pStyle w:val="XBRLTitle2"/>
        <w:spacing w:before="156"/>
        <w:ind w:left="454"/>
      </w:pPr>
      <w:bookmarkStart w:id="186" w:name="_Toc17881691"/>
      <w:bookmarkStart w:id="187" w:name="_Toc512627233"/>
      <w:bookmarkStart w:id="188" w:name="_Toc492299887"/>
      <w:bookmarkStart w:id="189" w:name="_Toc466644471"/>
      <w:bookmarkStart w:id="190" w:name="_Toc447872933"/>
      <w:bookmarkStart w:id="191" w:name="_Toc438646473"/>
      <w:bookmarkStart w:id="192" w:name="_Toc512694313"/>
      <w:bookmarkStart w:id="193" w:name="m507"/>
      <w:bookmarkEnd w:id="185"/>
      <w:proofErr w:type="spellStart"/>
      <w:r>
        <w:rPr>
          <w:rFonts w:hAnsi="宋体" w:hint="eastAsia"/>
        </w:rPr>
        <w:t>报告期末按公允价值占基金资产净值比例大小排序的前十名资产支持证券投资明细</w:t>
      </w:r>
      <w:bookmarkEnd w:id="186"/>
      <w:bookmarkEnd w:id="187"/>
      <w:bookmarkEnd w:id="188"/>
      <w:bookmarkEnd w:id="189"/>
      <w:bookmarkEnd w:id="190"/>
      <w:bookmarkEnd w:id="191"/>
      <w:bookmarkEnd w:id="192"/>
      <w:proofErr w:type="spellEnd"/>
      <w:r>
        <w:rPr>
          <w:rFonts w:hAnsi="宋体" w:hint="eastAsia"/>
        </w:rPr>
        <w:t xml:space="preserve"> </w:t>
      </w:r>
    </w:p>
    <w:p w14:paraId="51103CEE" w14:textId="77777777" w:rsidR="001F3F42" w:rsidRDefault="001F3F4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6FE6248" w14:textId="77777777" w:rsidR="001F3F42" w:rsidRDefault="001F3F42">
      <w:pPr>
        <w:pStyle w:val="XBRLTitle2"/>
        <w:spacing w:before="156"/>
        <w:ind w:left="454"/>
      </w:pPr>
      <w:bookmarkStart w:id="194" w:name="_Toc17881692"/>
      <w:bookmarkStart w:id="195" w:name="_Toc512627234"/>
      <w:bookmarkStart w:id="196" w:name="_Toc492299888"/>
      <w:bookmarkStart w:id="197" w:name="_Toc466644472"/>
      <w:bookmarkStart w:id="198" w:name="_Toc447872934"/>
      <w:bookmarkStart w:id="199" w:name="_Toc438646474"/>
      <w:bookmarkStart w:id="200" w:name="_Toc512694314"/>
      <w:bookmarkStart w:id="201" w:name="m508"/>
      <w:bookmarkEnd w:id="19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4"/>
      <w:bookmarkEnd w:id="195"/>
      <w:bookmarkEnd w:id="196"/>
      <w:bookmarkEnd w:id="197"/>
      <w:bookmarkEnd w:id="198"/>
      <w:bookmarkEnd w:id="199"/>
      <w:bookmarkEnd w:id="200"/>
      <w:proofErr w:type="spellEnd"/>
      <w:r>
        <w:rPr>
          <w:rFonts w:hAnsi="宋体" w:hint="eastAsia"/>
        </w:rPr>
        <w:t xml:space="preserve"> </w:t>
      </w:r>
    </w:p>
    <w:p w14:paraId="180D4C9C" w14:textId="77777777" w:rsidR="001F3F42" w:rsidRDefault="001F3F42">
      <w:pPr>
        <w:spacing w:line="360" w:lineRule="auto"/>
        <w:ind w:firstLineChars="200" w:firstLine="420"/>
        <w:divId w:val="1042750933"/>
      </w:pPr>
      <w:r>
        <w:rPr>
          <w:rFonts w:ascii="宋体" w:hAnsi="宋体" w:hint="eastAsia"/>
          <w:szCs w:val="21"/>
          <w:lang w:eastAsia="zh-Hans"/>
        </w:rPr>
        <w:t>本基金本报告期末未持有贵金属。</w:t>
      </w:r>
    </w:p>
    <w:p w14:paraId="5140B83D" w14:textId="77777777" w:rsidR="001F3F42" w:rsidRDefault="001F3F42">
      <w:pPr>
        <w:pStyle w:val="XBRLTitle2"/>
        <w:spacing w:before="156"/>
        <w:ind w:left="454"/>
      </w:pPr>
      <w:bookmarkStart w:id="202" w:name="_Toc17881693"/>
      <w:bookmarkStart w:id="203" w:name="_Toc512627235"/>
      <w:bookmarkStart w:id="204" w:name="_Toc492299889"/>
      <w:bookmarkStart w:id="205" w:name="_Toc466644473"/>
      <w:bookmarkStart w:id="206" w:name="_Toc447872935"/>
      <w:bookmarkStart w:id="207" w:name="_Toc438646475"/>
      <w:bookmarkStart w:id="208" w:name="_Toc512694315"/>
      <w:bookmarkStart w:id="209" w:name="m509"/>
      <w:bookmarkEnd w:id="201"/>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2"/>
      <w:bookmarkEnd w:id="203"/>
      <w:bookmarkEnd w:id="204"/>
      <w:bookmarkEnd w:id="205"/>
      <w:bookmarkEnd w:id="206"/>
      <w:bookmarkEnd w:id="207"/>
      <w:bookmarkEnd w:id="208"/>
      <w:proofErr w:type="spellEnd"/>
      <w:r>
        <w:rPr>
          <w:rFonts w:hAnsi="宋体" w:hint="eastAsia"/>
        </w:rPr>
        <w:t xml:space="preserve"> </w:t>
      </w:r>
    </w:p>
    <w:p w14:paraId="3AE8E583" w14:textId="77777777" w:rsidR="001F3F42" w:rsidRDefault="001F3F42">
      <w:pPr>
        <w:spacing w:line="360" w:lineRule="auto"/>
        <w:ind w:firstLineChars="200" w:firstLine="420"/>
        <w:divId w:val="375742220"/>
      </w:pPr>
      <w:r>
        <w:rPr>
          <w:rFonts w:ascii="宋体" w:hAnsi="宋体" w:hint="eastAsia"/>
          <w:szCs w:val="21"/>
          <w:lang w:eastAsia="zh-Hans"/>
        </w:rPr>
        <w:t>本基金本报告期末未持有权证。</w:t>
      </w:r>
    </w:p>
    <w:p w14:paraId="13B994E8" w14:textId="77777777" w:rsidR="001F3F42" w:rsidRDefault="001F3F42">
      <w:pPr>
        <w:pStyle w:val="XBRLTitle2"/>
        <w:spacing w:before="156"/>
        <w:ind w:left="454"/>
      </w:pPr>
      <w:bookmarkStart w:id="210" w:name="_Toc17881694"/>
      <w:bookmarkStart w:id="211" w:name="_Toc512627236"/>
      <w:bookmarkStart w:id="212" w:name="_Toc492299890"/>
      <w:bookmarkStart w:id="213" w:name="_Toc466644474"/>
      <w:bookmarkStart w:id="214" w:name="_Toc512694316"/>
      <w:proofErr w:type="spellStart"/>
      <w:r>
        <w:rPr>
          <w:rFonts w:hAnsi="宋体" w:hint="eastAsia"/>
          <w:kern w:val="2"/>
        </w:rPr>
        <w:t>报告期末按公允价值占基金资产净值比例大小排序的前十名基金投资明细</w:t>
      </w:r>
      <w:bookmarkEnd w:id="210"/>
      <w:bookmarkEnd w:id="211"/>
      <w:bookmarkEnd w:id="212"/>
      <w:bookmarkEnd w:id="213"/>
      <w:bookmarkEnd w:id="21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40"/>
        <w:gridCol w:w="1141"/>
        <w:gridCol w:w="1132"/>
        <w:gridCol w:w="1208"/>
        <w:gridCol w:w="1188"/>
        <w:gridCol w:w="1686"/>
        <w:gridCol w:w="1340"/>
      </w:tblGrid>
      <w:tr w:rsidR="00014B71" w14:paraId="2D4BD442" w14:textId="77777777">
        <w:trPr>
          <w:divId w:val="450173117"/>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192323E" w14:textId="77777777" w:rsidR="001F3F42" w:rsidRDefault="001F3F42">
            <w:pPr>
              <w:pStyle w:val="a5"/>
              <w:spacing w:before="0" w:beforeAutospacing="0" w:after="0" w:afterAutospacing="0"/>
              <w:ind w:firstLineChars="50" w:firstLine="105"/>
              <w:jc w:val="center"/>
              <w:rPr>
                <w:rFonts w:hint="eastAsia"/>
              </w:rPr>
            </w:pPr>
            <w:bookmarkStart w:id="215" w:name="OLE_LINK41"/>
            <w:bookmarkStart w:id="216" w:name="OLE_LINK42"/>
            <w:bookmarkStart w:id="217" w:name="OLE_LINK45"/>
            <w:bookmarkStart w:id="218" w:name="OLE_LINK46"/>
            <w:bookmarkStart w:id="219" w:name="m08QD_10"/>
            <w:r>
              <w:rPr>
                <w:rFonts w:hint="eastAsia"/>
                <w:kern w:val="2"/>
                <w:sz w:val="21"/>
              </w:rPr>
              <w:lastRenderedPageBreak/>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9E4392" w14:textId="77777777" w:rsidR="001F3F42" w:rsidRDefault="001F3F42">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932A16" w14:textId="77777777" w:rsidR="001F3F42" w:rsidRDefault="001F3F42">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2C22CC9" w14:textId="77777777" w:rsidR="001F3F42" w:rsidRDefault="001F3F42">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3D0DF6" w14:textId="77777777" w:rsidR="001F3F42" w:rsidRDefault="001F3F42">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74D7946" w14:textId="77777777" w:rsidR="001F3F42" w:rsidRDefault="001F3F42">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324348" w14:textId="77777777" w:rsidR="001F3F42" w:rsidRDefault="001F3F42">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014B71" w14:paraId="76A5B151" w14:textId="77777777">
        <w:trPr>
          <w:divId w:val="450173117"/>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ABD2B" w14:textId="77777777" w:rsidR="001F3F42" w:rsidRDefault="001F3F42">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8089F" w14:textId="77777777" w:rsidR="001F3F42" w:rsidRDefault="001F3F42">
            <w:pPr>
              <w:pStyle w:val="a5"/>
              <w:spacing w:before="0" w:beforeAutospacing="0" w:after="0" w:afterAutospacing="0"/>
              <w:jc w:val="center"/>
              <w:rPr>
                <w:rFonts w:hint="eastAsia"/>
              </w:rPr>
            </w:pPr>
            <w:r>
              <w:rPr>
                <w:rFonts w:hint="eastAsia"/>
                <w:kern w:val="2"/>
                <w:sz w:val="21"/>
                <w:lang w:eastAsia="zh-Hans"/>
              </w:rPr>
              <w:t>摩根沪深300自由现金流ETF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CF61C0" w14:textId="77777777" w:rsidR="001F3F42" w:rsidRDefault="001F3F42">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5E01D" w14:textId="77777777" w:rsidR="001F3F42" w:rsidRDefault="001F3F42">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37873" w14:textId="77777777" w:rsidR="001F3F42" w:rsidRDefault="001F3F42">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0AB4B" w14:textId="77777777" w:rsidR="001F3F42" w:rsidRDefault="001F3F42">
            <w:pPr>
              <w:pStyle w:val="a5"/>
              <w:spacing w:before="0" w:beforeAutospacing="0" w:after="0" w:afterAutospacing="0"/>
              <w:jc w:val="right"/>
              <w:rPr>
                <w:rFonts w:hint="eastAsia"/>
              </w:rPr>
            </w:pPr>
            <w:r>
              <w:rPr>
                <w:rFonts w:hint="eastAsia"/>
                <w:kern w:val="2"/>
                <w:sz w:val="21"/>
                <w:lang w:eastAsia="zh-Hans"/>
              </w:rPr>
              <w:t>295,936,406.10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83C14" w14:textId="77777777" w:rsidR="001F3F42" w:rsidRDefault="001F3F42">
            <w:pPr>
              <w:pStyle w:val="a5"/>
              <w:spacing w:before="0" w:beforeAutospacing="0" w:after="0" w:afterAutospacing="0"/>
              <w:jc w:val="right"/>
              <w:rPr>
                <w:rFonts w:hint="eastAsia"/>
              </w:rPr>
            </w:pPr>
            <w:r>
              <w:rPr>
                <w:rFonts w:hint="eastAsia"/>
                <w:kern w:val="2"/>
                <w:sz w:val="21"/>
                <w:lang w:eastAsia="zh-Hans"/>
              </w:rPr>
              <w:t>94.61</w:t>
            </w:r>
            <w:bookmarkEnd w:id="215"/>
            <w:bookmarkEnd w:id="216"/>
            <w:bookmarkEnd w:id="217"/>
            <w:bookmarkEnd w:id="218"/>
            <w:bookmarkEnd w:id="219"/>
          </w:p>
        </w:tc>
      </w:tr>
    </w:tbl>
    <w:p w14:paraId="4D905966" w14:textId="77777777" w:rsidR="001F3F42" w:rsidRDefault="001F3F42">
      <w:pPr>
        <w:pStyle w:val="XBRLTitle2"/>
        <w:spacing w:before="156"/>
        <w:ind w:left="454"/>
      </w:pPr>
      <w:bookmarkStart w:id="220" w:name="_Toc17881695"/>
      <w:bookmarkStart w:id="221" w:name="_Toc492299891"/>
      <w:bookmarkStart w:id="222" w:name="_Toc466644475"/>
      <w:bookmarkStart w:id="223" w:name="_Toc447872936"/>
      <w:bookmarkStart w:id="224" w:name="_Toc512627237"/>
      <w:bookmarkStart w:id="225" w:name="_Toc512694317"/>
      <w:proofErr w:type="spellStart"/>
      <w:r>
        <w:rPr>
          <w:rFonts w:hAnsi="宋体" w:hint="eastAsia"/>
        </w:rPr>
        <w:t>报告期末本基金投资的股指期货交易情况说明</w:t>
      </w:r>
      <w:bookmarkEnd w:id="220"/>
      <w:bookmarkEnd w:id="221"/>
      <w:bookmarkEnd w:id="222"/>
      <w:bookmarkEnd w:id="223"/>
      <w:bookmarkEnd w:id="224"/>
      <w:bookmarkEnd w:id="225"/>
      <w:proofErr w:type="spellEnd"/>
      <w:r>
        <w:rPr>
          <w:rFonts w:hAnsi="宋体" w:hint="eastAsia"/>
        </w:rPr>
        <w:t xml:space="preserve"> </w:t>
      </w:r>
      <w:bookmarkEnd w:id="209"/>
    </w:p>
    <w:p w14:paraId="35C28A54" w14:textId="77777777" w:rsidR="001F3F42" w:rsidRDefault="001F3F42">
      <w:pPr>
        <w:spacing w:line="360" w:lineRule="auto"/>
        <w:ind w:firstLineChars="200" w:firstLine="420"/>
        <w:divId w:val="742795686"/>
      </w:pPr>
      <w:r>
        <w:rPr>
          <w:rFonts w:ascii="宋体" w:hAnsi="宋体" w:hint="eastAsia"/>
          <w:szCs w:val="21"/>
          <w:lang w:eastAsia="zh-Hans"/>
        </w:rPr>
        <w:t>本基金本报告期末未持有股指期货。</w:t>
      </w:r>
    </w:p>
    <w:p w14:paraId="03417E0E" w14:textId="77777777" w:rsidR="001F3F42" w:rsidRDefault="001F3F42">
      <w:pPr>
        <w:pStyle w:val="XBRLTitle2"/>
        <w:spacing w:before="156"/>
        <w:ind w:left="454"/>
      </w:pPr>
      <w:bookmarkStart w:id="226" w:name="_Toc17881698"/>
      <w:bookmarkStart w:id="227" w:name="_Toc492299894"/>
      <w:bookmarkStart w:id="228" w:name="_Toc466644478"/>
      <w:bookmarkStart w:id="229" w:name="_Toc447872939"/>
      <w:bookmarkStart w:id="230" w:name="_Toc512627238"/>
      <w:bookmarkStart w:id="231" w:name="_Toc512694318"/>
      <w:bookmarkStart w:id="232" w:name="_Toc438646476"/>
      <w:proofErr w:type="spellStart"/>
      <w:r>
        <w:rPr>
          <w:rFonts w:hAnsi="宋体" w:hint="eastAsia"/>
        </w:rPr>
        <w:t>报告期末本基金投资的国债期货交易情况说明</w:t>
      </w:r>
      <w:bookmarkEnd w:id="226"/>
      <w:bookmarkEnd w:id="227"/>
      <w:bookmarkEnd w:id="228"/>
      <w:bookmarkEnd w:id="229"/>
      <w:bookmarkEnd w:id="230"/>
      <w:bookmarkEnd w:id="231"/>
      <w:bookmarkEnd w:id="232"/>
      <w:proofErr w:type="spellEnd"/>
      <w:r>
        <w:rPr>
          <w:rFonts w:hAnsi="宋体" w:hint="eastAsia"/>
        </w:rPr>
        <w:t xml:space="preserve"> </w:t>
      </w:r>
    </w:p>
    <w:p w14:paraId="028D81C8" w14:textId="77777777" w:rsidR="001F3F42" w:rsidRDefault="001F3F42">
      <w:pPr>
        <w:spacing w:line="360" w:lineRule="auto"/>
        <w:ind w:firstLineChars="200" w:firstLine="420"/>
        <w:divId w:val="1263151904"/>
      </w:pPr>
      <w:bookmarkStart w:id="233" w:name="m510_01_1597"/>
      <w:bookmarkStart w:id="234" w:name="m510_01_1598"/>
      <w:bookmarkEnd w:id="233"/>
      <w:r>
        <w:rPr>
          <w:rFonts w:ascii="宋体" w:hAnsi="宋体" w:hint="eastAsia"/>
          <w:szCs w:val="21"/>
          <w:lang w:eastAsia="zh-Hans"/>
        </w:rPr>
        <w:t>本基金本报告期末未持有国债期货。</w:t>
      </w:r>
    </w:p>
    <w:p w14:paraId="09B88CF6" w14:textId="77777777" w:rsidR="001F3F42" w:rsidRDefault="001F3F42">
      <w:pPr>
        <w:pStyle w:val="XBRLTitle2"/>
        <w:spacing w:before="156"/>
        <w:ind w:left="454"/>
      </w:pPr>
      <w:bookmarkStart w:id="235" w:name="_Toc17881702"/>
      <w:bookmarkStart w:id="236" w:name="_Toc492299898"/>
      <w:bookmarkStart w:id="237" w:name="_Toc466644482"/>
      <w:bookmarkStart w:id="238" w:name="_Toc447872943"/>
      <w:bookmarkStart w:id="239" w:name="_Toc512627239"/>
      <w:bookmarkStart w:id="240" w:name="_Toc512694319"/>
      <w:proofErr w:type="spellStart"/>
      <w:r>
        <w:rPr>
          <w:rFonts w:hint="eastAsia"/>
        </w:rPr>
        <w:t>投资组合报告附注</w:t>
      </w:r>
      <w:bookmarkEnd w:id="235"/>
      <w:bookmarkEnd w:id="236"/>
      <w:bookmarkEnd w:id="237"/>
      <w:bookmarkEnd w:id="238"/>
      <w:bookmarkEnd w:id="239"/>
      <w:bookmarkEnd w:id="240"/>
      <w:proofErr w:type="spellEnd"/>
    </w:p>
    <w:p w14:paraId="08045F6E" w14:textId="77777777" w:rsidR="001F3F42" w:rsidRDefault="001F3F42">
      <w:pPr>
        <w:pStyle w:val="XBRLTitle3"/>
        <w:numPr>
          <w:ilvl w:val="2"/>
          <w:numId w:val="2"/>
        </w:numPr>
        <w:spacing w:before="156"/>
        <w:ind w:left="0" w:firstLine="0"/>
      </w:pPr>
      <w:bookmarkStart w:id="241" w:name="_Toc512519515"/>
      <w:bookmarkStart w:id="242" w:name="_Toc481075083"/>
      <w:bookmarkStart w:id="243" w:name="_Toc490050036"/>
      <w:bookmarkStart w:id="244" w:name="_Toc513295927"/>
      <w:bookmarkStart w:id="245" w:name="_Toc17881703"/>
      <w:r>
        <w:rPr>
          <w:rFonts w:hint="eastAsia"/>
          <w:lang w:eastAsia="zh-CN"/>
        </w:rPr>
        <w:t xml:space="preserve"> </w:t>
      </w:r>
      <w:bookmarkEnd w:id="241"/>
      <w:bookmarkEnd w:id="242"/>
      <w:bookmarkEnd w:id="243"/>
      <w:bookmarkEnd w:id="244"/>
      <w:bookmarkEnd w:id="245"/>
    </w:p>
    <w:p w14:paraId="2ACDB54E" w14:textId="77777777" w:rsidR="001F3F42" w:rsidRDefault="001F3F4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0B1376A" w14:textId="77777777" w:rsidR="001F3F42" w:rsidRDefault="001F3F42">
      <w:pPr>
        <w:pStyle w:val="XBRLTitle3"/>
        <w:numPr>
          <w:ilvl w:val="2"/>
          <w:numId w:val="2"/>
        </w:numPr>
        <w:spacing w:before="156"/>
        <w:ind w:left="0" w:firstLine="0"/>
      </w:pPr>
      <w:bookmarkStart w:id="246" w:name="_Toc512519516"/>
      <w:bookmarkStart w:id="247" w:name="_Toc481075084"/>
      <w:bookmarkStart w:id="248" w:name="_Toc490050037"/>
      <w:bookmarkStart w:id="249" w:name="_Toc513295928"/>
      <w:bookmarkStart w:id="250" w:name="_Toc17881704"/>
      <w:r>
        <w:rPr>
          <w:rFonts w:hint="eastAsia"/>
          <w:lang w:eastAsia="zh-CN"/>
        </w:rPr>
        <w:t xml:space="preserve"> </w:t>
      </w:r>
      <w:bookmarkEnd w:id="246"/>
      <w:bookmarkEnd w:id="247"/>
      <w:bookmarkEnd w:id="248"/>
      <w:bookmarkEnd w:id="249"/>
      <w:bookmarkEnd w:id="250"/>
    </w:p>
    <w:p w14:paraId="19A7A91D" w14:textId="77777777" w:rsidR="001F3F42" w:rsidRDefault="001F3F42">
      <w:pPr>
        <w:spacing w:line="360" w:lineRule="auto"/>
        <w:ind w:firstLineChars="200" w:firstLine="420"/>
      </w:pPr>
      <w:r>
        <w:rPr>
          <w:rFonts w:ascii="宋体" w:hAnsi="宋体" w:hint="eastAsia"/>
        </w:rPr>
        <w:t>报告期内本基金投资的前十名股票中没有在基金合同规定备选股票库之外的股票。</w:t>
      </w:r>
    </w:p>
    <w:p w14:paraId="500F7B93" w14:textId="77777777" w:rsidR="001F3F42" w:rsidRDefault="001F3F42">
      <w:pPr>
        <w:pStyle w:val="XBRLTitle3"/>
        <w:numPr>
          <w:ilvl w:val="2"/>
          <w:numId w:val="2"/>
        </w:numPr>
        <w:spacing w:before="156"/>
        <w:ind w:left="0" w:firstLine="0"/>
      </w:pPr>
      <w:bookmarkStart w:id="251" w:name="_Toc17881705"/>
      <w:bookmarkStart w:id="252" w:name="_Toc492299901"/>
      <w:bookmarkStart w:id="253" w:name="_Toc466644485"/>
      <w:bookmarkStart w:id="254" w:name="_Toc447872946"/>
      <w:bookmarkStart w:id="255" w:name="m510_02"/>
      <w:bookmarkEnd w:id="234"/>
      <w:proofErr w:type="spellStart"/>
      <w:r>
        <w:rPr>
          <w:rFonts w:hAnsi="宋体" w:hint="eastAsia"/>
        </w:rPr>
        <w:t>其他资产构成</w:t>
      </w:r>
      <w:bookmarkEnd w:id="251"/>
      <w:bookmarkEnd w:id="252"/>
      <w:bookmarkEnd w:id="253"/>
      <w:bookmarkEnd w:id="25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14B71" w14:paraId="43E425EB" w14:textId="77777777">
        <w:trPr>
          <w:divId w:val="203210527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49F86" w14:textId="77777777" w:rsidR="001F3F42" w:rsidRDefault="001F3F4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8D1D0" w14:textId="77777777" w:rsidR="001F3F42" w:rsidRDefault="001F3F4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5F567" w14:textId="77777777" w:rsidR="001F3F42" w:rsidRDefault="001F3F42">
            <w:pPr>
              <w:jc w:val="center"/>
            </w:pPr>
            <w:r>
              <w:rPr>
                <w:rFonts w:ascii="宋体" w:hAnsi="宋体" w:hint="eastAsia"/>
              </w:rPr>
              <w:t>金额（元）</w:t>
            </w:r>
            <w:r>
              <w:t xml:space="preserve"> </w:t>
            </w:r>
          </w:p>
        </w:tc>
      </w:tr>
      <w:tr w:rsidR="00014B71" w14:paraId="721D76B1"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F7660" w14:textId="77777777" w:rsidR="001F3F42" w:rsidRDefault="001F3F4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CF7B8" w14:textId="77777777" w:rsidR="001F3F42" w:rsidRDefault="001F3F4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84C8D" w14:textId="77777777" w:rsidR="001F3F42" w:rsidRDefault="001F3F42">
            <w:pPr>
              <w:jc w:val="right"/>
            </w:pPr>
            <w:r>
              <w:rPr>
                <w:rFonts w:ascii="宋体" w:hAnsi="宋体" w:hint="eastAsia"/>
              </w:rPr>
              <w:t>-</w:t>
            </w:r>
          </w:p>
        </w:tc>
      </w:tr>
      <w:tr w:rsidR="00014B71" w14:paraId="49685702"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F4A5A" w14:textId="77777777" w:rsidR="001F3F42" w:rsidRDefault="001F3F4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447D2" w14:textId="77777777" w:rsidR="001F3F42" w:rsidRDefault="001F3F4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41722" w14:textId="77777777" w:rsidR="001F3F42" w:rsidRDefault="001F3F42">
            <w:pPr>
              <w:jc w:val="right"/>
            </w:pPr>
            <w:r>
              <w:rPr>
                <w:rFonts w:ascii="宋体" w:hAnsi="宋体" w:hint="eastAsia"/>
              </w:rPr>
              <w:t>-</w:t>
            </w:r>
          </w:p>
        </w:tc>
      </w:tr>
      <w:tr w:rsidR="00014B71" w14:paraId="4078401E"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EB188" w14:textId="77777777" w:rsidR="001F3F42" w:rsidRDefault="001F3F4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D8505" w14:textId="77777777" w:rsidR="001F3F42" w:rsidRDefault="001F3F4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5101E" w14:textId="77777777" w:rsidR="001F3F42" w:rsidRDefault="001F3F42">
            <w:pPr>
              <w:jc w:val="right"/>
            </w:pPr>
            <w:r>
              <w:rPr>
                <w:rFonts w:ascii="宋体" w:hAnsi="宋体" w:hint="eastAsia"/>
              </w:rPr>
              <w:t>-</w:t>
            </w:r>
          </w:p>
        </w:tc>
      </w:tr>
      <w:tr w:rsidR="00014B71" w14:paraId="5CF81720"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083FB" w14:textId="77777777" w:rsidR="001F3F42" w:rsidRDefault="001F3F4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42028" w14:textId="77777777" w:rsidR="001F3F42" w:rsidRDefault="001F3F4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26E8D" w14:textId="77777777" w:rsidR="001F3F42" w:rsidRDefault="001F3F42">
            <w:pPr>
              <w:jc w:val="right"/>
            </w:pPr>
            <w:r>
              <w:rPr>
                <w:rFonts w:ascii="宋体" w:hAnsi="宋体" w:hint="eastAsia"/>
              </w:rPr>
              <w:t>-</w:t>
            </w:r>
          </w:p>
        </w:tc>
      </w:tr>
      <w:tr w:rsidR="00014B71" w14:paraId="1D353C6A"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C02DD" w14:textId="77777777" w:rsidR="001F3F42" w:rsidRDefault="001F3F4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6A2C3" w14:textId="77777777" w:rsidR="001F3F42" w:rsidRDefault="001F3F4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F01CF" w14:textId="77777777" w:rsidR="001F3F42" w:rsidRDefault="001F3F42">
            <w:pPr>
              <w:jc w:val="right"/>
            </w:pPr>
            <w:r>
              <w:rPr>
                <w:rFonts w:ascii="宋体" w:hAnsi="宋体" w:hint="eastAsia"/>
              </w:rPr>
              <w:t>1,827,989.94</w:t>
            </w:r>
          </w:p>
        </w:tc>
      </w:tr>
      <w:tr w:rsidR="00014B71" w14:paraId="7B568DB4"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B7CA9" w14:textId="77777777" w:rsidR="001F3F42" w:rsidRDefault="001F3F4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A242E" w14:textId="77777777" w:rsidR="001F3F42" w:rsidRDefault="001F3F4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AC8D0" w14:textId="77777777" w:rsidR="001F3F42" w:rsidRDefault="001F3F42">
            <w:pPr>
              <w:jc w:val="right"/>
            </w:pPr>
            <w:r>
              <w:rPr>
                <w:rFonts w:ascii="宋体" w:hAnsi="宋体" w:hint="eastAsia"/>
              </w:rPr>
              <w:t>-</w:t>
            </w:r>
          </w:p>
        </w:tc>
      </w:tr>
      <w:tr w:rsidR="00014B71" w14:paraId="34BEDD98"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730CB" w14:textId="77777777" w:rsidR="001F3F42" w:rsidRDefault="001F3F4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7C611" w14:textId="77777777" w:rsidR="001F3F42" w:rsidRDefault="001F3F4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670B6" w14:textId="77777777" w:rsidR="001F3F42" w:rsidRDefault="001F3F42">
            <w:pPr>
              <w:jc w:val="right"/>
            </w:pPr>
            <w:r>
              <w:rPr>
                <w:rFonts w:ascii="宋体" w:hAnsi="宋体" w:hint="eastAsia"/>
              </w:rPr>
              <w:t>-</w:t>
            </w:r>
          </w:p>
        </w:tc>
      </w:tr>
      <w:tr w:rsidR="00014B71" w14:paraId="1D40C607" w14:textId="77777777">
        <w:trPr>
          <w:divId w:val="203210527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7E424" w14:textId="77777777" w:rsidR="001F3F42" w:rsidRDefault="001F3F4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7FD56" w14:textId="77777777" w:rsidR="001F3F42" w:rsidRDefault="001F3F4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EB84A" w14:textId="77777777" w:rsidR="001F3F42" w:rsidRDefault="001F3F42">
            <w:pPr>
              <w:jc w:val="right"/>
            </w:pPr>
            <w:r>
              <w:rPr>
                <w:rFonts w:ascii="宋体" w:hAnsi="宋体" w:hint="eastAsia"/>
              </w:rPr>
              <w:t>1,827,989.94</w:t>
            </w:r>
          </w:p>
        </w:tc>
      </w:tr>
    </w:tbl>
    <w:p w14:paraId="58F9B789" w14:textId="77777777" w:rsidR="001F3F42" w:rsidRDefault="001F3F42">
      <w:pPr>
        <w:pStyle w:val="XBRLTitle3"/>
        <w:numPr>
          <w:ilvl w:val="2"/>
          <w:numId w:val="2"/>
        </w:numPr>
        <w:spacing w:before="156"/>
        <w:ind w:left="0" w:firstLine="0"/>
      </w:pPr>
      <w:bookmarkStart w:id="256" w:name="_Toc17881706"/>
      <w:bookmarkStart w:id="257" w:name="_Toc492299902"/>
      <w:bookmarkStart w:id="258" w:name="_Toc466644486"/>
      <w:bookmarkStart w:id="259" w:name="_Toc447872947"/>
      <w:bookmarkStart w:id="260" w:name="m510_03"/>
      <w:bookmarkEnd w:id="255"/>
      <w:proofErr w:type="spellStart"/>
      <w:r>
        <w:rPr>
          <w:rFonts w:hAnsi="宋体" w:hint="eastAsia"/>
        </w:rPr>
        <w:t>报告期末持有的处于转股期的可转换债券明细</w:t>
      </w:r>
      <w:bookmarkEnd w:id="256"/>
      <w:bookmarkEnd w:id="257"/>
      <w:bookmarkEnd w:id="258"/>
      <w:bookmarkEnd w:id="259"/>
      <w:proofErr w:type="spellEnd"/>
    </w:p>
    <w:p w14:paraId="7F02D70F" w14:textId="77777777" w:rsidR="001F3F42" w:rsidRDefault="001F3F42">
      <w:pPr>
        <w:spacing w:line="360" w:lineRule="auto"/>
        <w:ind w:firstLineChars="200" w:firstLine="420"/>
        <w:jc w:val="left"/>
      </w:pPr>
      <w:r>
        <w:rPr>
          <w:rFonts w:ascii="宋体" w:hAnsi="宋体" w:hint="eastAsia"/>
        </w:rPr>
        <w:t xml:space="preserve">本基金本报告期末未持有处于转股期的可转换债券。 </w:t>
      </w:r>
    </w:p>
    <w:p w14:paraId="2B0167EA" w14:textId="77777777" w:rsidR="001F3F42" w:rsidRDefault="001F3F42">
      <w:pPr>
        <w:pStyle w:val="XBRLTitle3"/>
        <w:numPr>
          <w:ilvl w:val="2"/>
          <w:numId w:val="2"/>
        </w:numPr>
        <w:spacing w:before="156"/>
        <w:ind w:left="0" w:firstLine="0"/>
      </w:pPr>
      <w:bookmarkStart w:id="261" w:name="_Toc17881707"/>
      <w:bookmarkStart w:id="262" w:name="_Toc492299903"/>
      <w:bookmarkStart w:id="263" w:name="_Toc466644487"/>
      <w:bookmarkStart w:id="264" w:name="_Toc447872948"/>
      <w:bookmarkStart w:id="265" w:name="m510_04"/>
      <w:bookmarkEnd w:id="260"/>
      <w:proofErr w:type="spellStart"/>
      <w:r>
        <w:rPr>
          <w:rFonts w:hAnsi="宋体" w:hint="eastAsia"/>
        </w:rPr>
        <w:t>报告期末前十名股票中存在流通受限情况的说明</w:t>
      </w:r>
      <w:bookmarkEnd w:id="261"/>
      <w:bookmarkEnd w:id="262"/>
      <w:bookmarkEnd w:id="263"/>
      <w:bookmarkEnd w:id="264"/>
      <w:proofErr w:type="spellEnd"/>
    </w:p>
    <w:p w14:paraId="6FFC5372" w14:textId="77777777" w:rsidR="001F3F42" w:rsidRDefault="001F3F42">
      <w:pPr>
        <w:spacing w:line="360" w:lineRule="auto"/>
        <w:ind w:firstLineChars="200" w:firstLine="420"/>
        <w:jc w:val="left"/>
        <w:divId w:val="40811731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16"/>
    </w:p>
    <w:p w14:paraId="3E1A3BA5" w14:textId="77777777" w:rsidR="001F3F42" w:rsidRDefault="001F3F42">
      <w:pPr>
        <w:pStyle w:val="XBRLTitle3"/>
        <w:numPr>
          <w:ilvl w:val="2"/>
          <w:numId w:val="2"/>
        </w:numPr>
        <w:spacing w:before="156"/>
        <w:ind w:left="0" w:firstLine="0"/>
      </w:pPr>
      <w:bookmarkStart w:id="266" w:name="_Toc17881708"/>
      <w:bookmarkStart w:id="267" w:name="_Toc492299904"/>
      <w:bookmarkStart w:id="268" w:name="_Toc466644488"/>
      <w:bookmarkStart w:id="269" w:name="_Toc447872949"/>
      <w:bookmarkStart w:id="270" w:name="m510_05_1678"/>
      <w:bookmarkEnd w:id="265"/>
      <w:proofErr w:type="spellStart"/>
      <w:r>
        <w:rPr>
          <w:rFonts w:hAnsi="宋体" w:hint="eastAsia"/>
        </w:rPr>
        <w:t>投资组合报告附注的其他文字描述部分</w:t>
      </w:r>
      <w:bookmarkEnd w:id="266"/>
      <w:bookmarkEnd w:id="267"/>
      <w:bookmarkEnd w:id="268"/>
      <w:bookmarkEnd w:id="269"/>
      <w:proofErr w:type="spellEnd"/>
      <w:r>
        <w:rPr>
          <w:rFonts w:hint="eastAsia"/>
          <w:sz w:val="21"/>
        </w:rPr>
        <w:t xml:space="preserve"> </w:t>
      </w:r>
    </w:p>
    <w:p w14:paraId="0F6EECE8" w14:textId="77777777" w:rsidR="001F3F42" w:rsidRDefault="001F3F42">
      <w:pPr>
        <w:spacing w:line="360" w:lineRule="auto"/>
        <w:ind w:firstLineChars="200" w:firstLine="420"/>
        <w:jc w:val="left"/>
      </w:pPr>
      <w:r>
        <w:rPr>
          <w:rFonts w:ascii="宋体" w:hAnsi="宋体" w:hint="eastAsia"/>
        </w:rPr>
        <w:t>因四舍五入原因，投资组合报告中分项之和与合计可能存在尾差。</w:t>
      </w:r>
    </w:p>
    <w:p w14:paraId="2D832A18" w14:textId="77777777" w:rsidR="001F3F42" w:rsidRDefault="001F3F42">
      <w:pPr>
        <w:pStyle w:val="XBRLTitle1"/>
        <w:spacing w:before="156"/>
        <w:ind w:left="425"/>
      </w:pPr>
      <w:bookmarkStart w:id="271" w:name="_Toc17881709"/>
      <w:bookmarkStart w:id="272" w:name="_Toc512627240"/>
      <w:bookmarkStart w:id="273" w:name="_Toc492299905"/>
      <w:bookmarkStart w:id="274" w:name="_Toc466644489"/>
      <w:bookmarkStart w:id="275" w:name="_Toc447872950"/>
      <w:bookmarkStart w:id="276" w:name="_Toc438646477"/>
      <w:bookmarkStart w:id="277" w:name="_Toc512694320"/>
      <w:bookmarkStart w:id="278" w:name="m601"/>
      <w:bookmarkEnd w:id="270"/>
      <w:proofErr w:type="spellStart"/>
      <w:r>
        <w:rPr>
          <w:rFonts w:hAnsi="宋体" w:hint="eastAsia"/>
        </w:rPr>
        <w:lastRenderedPageBreak/>
        <w:t>开放式基金份额变动</w:t>
      </w:r>
      <w:bookmarkEnd w:id="271"/>
      <w:bookmarkEnd w:id="272"/>
      <w:bookmarkEnd w:id="273"/>
      <w:bookmarkEnd w:id="274"/>
      <w:bookmarkEnd w:id="275"/>
      <w:bookmarkEnd w:id="276"/>
      <w:bookmarkEnd w:id="277"/>
      <w:proofErr w:type="spellEnd"/>
      <w:r>
        <w:rPr>
          <w:rFonts w:hAnsi="宋体" w:hint="eastAsia"/>
        </w:rPr>
        <w:t xml:space="preserve"> </w:t>
      </w:r>
    </w:p>
    <w:p w14:paraId="1BF29BD5" w14:textId="77777777" w:rsidR="001F3F42" w:rsidRDefault="001F3F42">
      <w:pPr>
        <w:jc w:val="right"/>
      </w:pPr>
      <w:bookmarkStart w:id="279" w:name="m601_tab"/>
      <w:r>
        <w:rPr>
          <w:rFonts w:ascii="宋体" w:hAnsi="宋体" w:hint="eastAsia"/>
        </w:rPr>
        <w:t xml:space="preserve">                                                                             </w:t>
      </w:r>
    </w:p>
    <w:p w14:paraId="45510E4C" w14:textId="77777777" w:rsidR="001F3F42" w:rsidRDefault="001F3F42">
      <w:pPr>
        <w:wordWrap w:val="0"/>
        <w:spacing w:line="360" w:lineRule="auto"/>
        <w:jc w:val="right"/>
        <w:divId w:val="1278875614"/>
      </w:pPr>
      <w:bookmarkStart w:id="280"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014B71" w14:paraId="2E05E244" w14:textId="77777777">
        <w:trPr>
          <w:divId w:val="127887561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9E643B" w14:textId="77777777" w:rsidR="001F3F42" w:rsidRDefault="001F3F42">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1" w:name="m10_01" w:colFirst="1" w:colLast="2"/>
            <w:bookmarkEnd w:id="280"/>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8177B" w14:textId="77777777" w:rsidR="001F3F42" w:rsidRDefault="001F3F42">
            <w:pPr>
              <w:ind w:right="3"/>
              <w:jc w:val="center"/>
            </w:pPr>
            <w:r>
              <w:rPr>
                <w:rFonts w:ascii="宋体" w:hAnsi="宋体" w:hint="eastAsia"/>
                <w:lang w:eastAsia="zh-Hans"/>
              </w:rPr>
              <w:t>摩根沪深300自由现金流ETF联接A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29A0AD" w14:textId="77777777" w:rsidR="001F3F42" w:rsidRDefault="001F3F42">
            <w:pPr>
              <w:ind w:right="3"/>
              <w:jc w:val="center"/>
            </w:pPr>
            <w:r>
              <w:rPr>
                <w:rFonts w:ascii="宋体" w:hAnsi="宋体" w:hint="eastAsia"/>
                <w:lang w:eastAsia="zh-Hans"/>
              </w:rPr>
              <w:t>摩根沪深300自由现金流ETF联接C</w:t>
            </w:r>
            <w:r>
              <w:rPr>
                <w:rFonts w:ascii="宋体" w:hAnsi="宋体" w:hint="eastAsia"/>
                <w:kern w:val="0"/>
                <w:szCs w:val="24"/>
                <w:lang w:eastAsia="zh-Hans"/>
              </w:rPr>
              <w:t xml:space="preserve"> </w:t>
            </w:r>
          </w:p>
        </w:tc>
      </w:tr>
      <w:tr w:rsidR="00014B71" w14:paraId="39E4D1B1" w14:textId="77777777">
        <w:trPr>
          <w:divId w:val="1278875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C6273E" w14:textId="77777777" w:rsidR="001F3F42" w:rsidRDefault="001F3F42">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基金合同生效日(2025年7月1日)</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C3582" w14:textId="77777777" w:rsidR="001F3F42" w:rsidRDefault="001F3F42">
            <w:pPr>
              <w:jc w:val="right"/>
            </w:pPr>
            <w:r>
              <w:rPr>
                <w:rFonts w:ascii="宋体" w:hAnsi="宋体" w:hint="eastAsia"/>
              </w:rPr>
              <w:t>103,631,024.99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FDC112" w14:textId="77777777" w:rsidR="001F3F42" w:rsidRDefault="001F3F42">
            <w:pPr>
              <w:jc w:val="right"/>
            </w:pPr>
            <w:r>
              <w:rPr>
                <w:rFonts w:ascii="宋体" w:hAnsi="宋体" w:hint="eastAsia"/>
              </w:rPr>
              <w:t>493,494,072.59</w:t>
            </w:r>
          </w:p>
        </w:tc>
      </w:tr>
      <w:tr w:rsidR="00014B71" w14:paraId="4A198A9D" w14:textId="77777777">
        <w:trPr>
          <w:divId w:val="1278875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D3A69" w14:textId="77777777" w:rsidR="001F3F42" w:rsidRDefault="001F3F42">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基金合同生效日起</w:t>
            </w:r>
            <w:proofErr w:type="gramStart"/>
            <w:r>
              <w:rPr>
                <w:rFonts w:ascii="宋体" w:hAnsi="宋体" w:cs="Times New Roman" w:hint="eastAsia"/>
                <w:kern w:val="2"/>
                <w:sz w:val="21"/>
              </w:rPr>
              <w:t>至报告</w:t>
            </w:r>
            <w:proofErr w:type="gramEnd"/>
            <w:r>
              <w:rPr>
                <w:rFonts w:ascii="宋体" w:hAnsi="宋体" w:cs="Times New Roman" w:hint="eastAsia"/>
                <w:kern w:val="2"/>
                <w:sz w:val="21"/>
              </w:rPr>
              <w:t xml:space="preserve">期期末基金总申购份额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69015" w14:textId="77777777" w:rsidR="001F3F42" w:rsidRDefault="001F3F42">
            <w:pPr>
              <w:jc w:val="right"/>
            </w:pPr>
            <w:r>
              <w:rPr>
                <w:rFonts w:ascii="宋体" w:hAnsi="宋体" w:hint="eastAsia"/>
              </w:rPr>
              <w:t>40,496,393.27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92497A" w14:textId="77777777" w:rsidR="001F3F42" w:rsidRDefault="001F3F42">
            <w:pPr>
              <w:jc w:val="right"/>
            </w:pPr>
            <w:r>
              <w:rPr>
                <w:rFonts w:ascii="宋体" w:hAnsi="宋体" w:hint="eastAsia"/>
              </w:rPr>
              <w:t>58,651,494.95</w:t>
            </w:r>
          </w:p>
        </w:tc>
      </w:tr>
      <w:tr w:rsidR="00014B71" w14:paraId="65C6BE95" w14:textId="77777777">
        <w:trPr>
          <w:divId w:val="1278875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772D7" w14:textId="77777777" w:rsidR="001F3F42" w:rsidRDefault="001F3F42">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减:基金合同生效日起</w:t>
            </w:r>
            <w:proofErr w:type="gramStart"/>
            <w:r>
              <w:rPr>
                <w:rFonts w:ascii="宋体" w:hAnsi="宋体" w:cs="Times New Roman" w:hint="eastAsia"/>
                <w:kern w:val="2"/>
                <w:sz w:val="21"/>
              </w:rPr>
              <w:t>至报告</w:t>
            </w:r>
            <w:proofErr w:type="gramEnd"/>
            <w:r>
              <w:rPr>
                <w:rFonts w:ascii="宋体" w:hAnsi="宋体" w:cs="Times New Roman" w:hint="eastAsia"/>
                <w:kern w:val="2"/>
                <w:sz w:val="21"/>
              </w:rPr>
              <w:t xml:space="preserve">期期末基金总赎回份额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2D78B9" w14:textId="77777777" w:rsidR="001F3F42" w:rsidRDefault="001F3F42">
            <w:pPr>
              <w:jc w:val="right"/>
            </w:pPr>
            <w:r>
              <w:rPr>
                <w:rFonts w:ascii="宋体" w:hAnsi="宋体" w:hint="eastAsia"/>
              </w:rPr>
              <w:t>32,621,218.32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D2A26" w14:textId="77777777" w:rsidR="001F3F42" w:rsidRDefault="001F3F42">
            <w:pPr>
              <w:jc w:val="right"/>
            </w:pPr>
            <w:r>
              <w:rPr>
                <w:rFonts w:ascii="宋体" w:hAnsi="宋体" w:hint="eastAsia"/>
              </w:rPr>
              <w:t>365,290,449.72</w:t>
            </w:r>
          </w:p>
        </w:tc>
      </w:tr>
      <w:tr w:rsidR="00014B71" w14:paraId="7F367C3C" w14:textId="77777777">
        <w:trPr>
          <w:divId w:val="1278875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A3E9C" w14:textId="77777777" w:rsidR="001F3F42" w:rsidRDefault="001F3F42">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基金合同生效日起</w:t>
            </w:r>
            <w:proofErr w:type="gramStart"/>
            <w:r>
              <w:rPr>
                <w:rFonts w:ascii="宋体" w:hAnsi="宋体" w:cs="Times New Roman" w:hint="eastAsia"/>
                <w:kern w:val="2"/>
                <w:sz w:val="21"/>
              </w:rPr>
              <w:t>至报告</w:t>
            </w:r>
            <w:proofErr w:type="gramEnd"/>
            <w:r>
              <w:rPr>
                <w:rFonts w:ascii="宋体" w:hAnsi="宋体" w:cs="Times New Roman" w:hint="eastAsia"/>
                <w:kern w:val="2"/>
                <w:sz w:val="21"/>
              </w:rPr>
              <w:t xml:space="preserve">期期末基金拆分变动份额（份额减少以“-”填列）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90B067" w14:textId="77777777" w:rsidR="001F3F42" w:rsidRDefault="001F3F4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C2F11" w14:textId="77777777" w:rsidR="001F3F42" w:rsidRDefault="001F3F42">
            <w:pPr>
              <w:jc w:val="right"/>
            </w:pPr>
            <w:r>
              <w:rPr>
                <w:rFonts w:ascii="宋体" w:hAnsi="宋体" w:hint="eastAsia"/>
              </w:rPr>
              <w:t>-</w:t>
            </w:r>
          </w:p>
        </w:tc>
      </w:tr>
      <w:tr w:rsidR="00014B71" w14:paraId="74484DB8" w14:textId="77777777">
        <w:trPr>
          <w:divId w:val="1278875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8FA90" w14:textId="77777777" w:rsidR="001F3F42" w:rsidRDefault="001F3F42">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14E63" w14:textId="77777777" w:rsidR="001F3F42" w:rsidRDefault="001F3F42">
            <w:pPr>
              <w:jc w:val="right"/>
            </w:pPr>
            <w:r>
              <w:rPr>
                <w:rFonts w:ascii="宋体" w:hAnsi="宋体" w:hint="eastAsia"/>
              </w:rPr>
              <w:t>111,506,199.94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E91144" w14:textId="77777777" w:rsidR="001F3F42" w:rsidRDefault="001F3F42">
            <w:pPr>
              <w:jc w:val="right"/>
            </w:pPr>
            <w:r>
              <w:rPr>
                <w:rFonts w:ascii="宋体" w:hAnsi="宋体" w:hint="eastAsia"/>
              </w:rPr>
              <w:t>186,855,117.82</w:t>
            </w:r>
          </w:p>
        </w:tc>
      </w:tr>
    </w:tbl>
    <w:p w14:paraId="14DA7AE4" w14:textId="77777777" w:rsidR="001F3F42" w:rsidRDefault="001F3F42">
      <w:pPr>
        <w:spacing w:line="360" w:lineRule="auto"/>
        <w:jc w:val="left"/>
        <w:divId w:val="1278875614"/>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bookmarkEnd w:id="281"/>
      <w:r>
        <w:rPr>
          <w:rFonts w:ascii="宋体" w:hAnsi="宋体" w:hint="eastAsia"/>
        </w:rPr>
        <w:t xml:space="preserve"> </w:t>
      </w:r>
    </w:p>
    <w:p w14:paraId="1CA937CD" w14:textId="77777777" w:rsidR="001F3F42" w:rsidRDefault="001F3F42">
      <w:pPr>
        <w:pStyle w:val="XBRLTitle1"/>
        <w:spacing w:before="156"/>
        <w:ind w:left="425"/>
      </w:pPr>
      <w:bookmarkStart w:id="282" w:name="_Toc17881710"/>
      <w:bookmarkStart w:id="283" w:name="_Toc492299906"/>
      <w:bookmarkStart w:id="284" w:name="_Toc466644490"/>
      <w:bookmarkStart w:id="285" w:name="_Toc447872951"/>
      <w:bookmarkStart w:id="286" w:name="_Toc438646478"/>
      <w:bookmarkStart w:id="287" w:name="_Toc512627241"/>
      <w:bookmarkStart w:id="288" w:name="_Toc512694321"/>
      <w:bookmarkStart w:id="289" w:name="m7manage01"/>
      <w:bookmarkEnd w:id="279"/>
      <w:bookmarkEnd w:id="278"/>
      <w:proofErr w:type="spellStart"/>
      <w:r>
        <w:rPr>
          <w:rFonts w:hint="eastAsia"/>
        </w:rPr>
        <w:t>基金管理人运用固有资金投资本基金情况</w:t>
      </w:r>
      <w:bookmarkEnd w:id="282"/>
      <w:bookmarkEnd w:id="283"/>
      <w:bookmarkEnd w:id="284"/>
      <w:bookmarkEnd w:id="285"/>
      <w:bookmarkEnd w:id="286"/>
      <w:bookmarkEnd w:id="287"/>
      <w:bookmarkEnd w:id="288"/>
      <w:bookmarkEnd w:id="289"/>
      <w:proofErr w:type="spellEnd"/>
    </w:p>
    <w:p w14:paraId="22CE6514" w14:textId="77777777" w:rsidR="001F3F42" w:rsidRDefault="001F3F42">
      <w:pPr>
        <w:pStyle w:val="XBRLTitle2"/>
        <w:spacing w:before="156"/>
        <w:ind w:left="454"/>
      </w:pPr>
      <w:bookmarkStart w:id="290" w:name="_Toc17881711"/>
      <w:bookmarkStart w:id="291" w:name="_Toc492299907"/>
      <w:bookmarkStart w:id="292" w:name="_Toc466644491"/>
      <w:bookmarkStart w:id="293" w:name="_Toc458599606"/>
      <w:bookmarkStart w:id="294" w:name="_Toc462325491"/>
      <w:bookmarkStart w:id="295" w:name="_Toc512627242"/>
      <w:bookmarkStart w:id="296" w:name="_Toc512694322"/>
      <w:proofErr w:type="spellStart"/>
      <w:r>
        <w:rPr>
          <w:rFonts w:hint="eastAsia"/>
        </w:rPr>
        <w:t>基金管理人持有本基金份额变动情况</w:t>
      </w:r>
      <w:bookmarkEnd w:id="290"/>
      <w:bookmarkEnd w:id="291"/>
      <w:bookmarkEnd w:id="292"/>
      <w:bookmarkEnd w:id="293"/>
      <w:bookmarkEnd w:id="294"/>
      <w:bookmarkEnd w:id="295"/>
      <w:bookmarkEnd w:id="296"/>
      <w:proofErr w:type="spellEnd"/>
      <w:r>
        <w:rPr>
          <w:rFonts w:hint="eastAsia"/>
          <w:lang w:eastAsia="zh-CN"/>
        </w:rPr>
        <w:t xml:space="preserve"> </w:t>
      </w:r>
    </w:p>
    <w:p w14:paraId="63086D2E" w14:textId="77777777" w:rsidR="001F3F42" w:rsidRDefault="001F3F42">
      <w:pPr>
        <w:spacing w:line="360" w:lineRule="auto"/>
        <w:ind w:firstLineChars="200" w:firstLine="420"/>
        <w:jc w:val="left"/>
        <w:divId w:val="605693463"/>
      </w:pPr>
      <w:r>
        <w:rPr>
          <w:rFonts w:ascii="宋体" w:hAnsi="宋体" w:hint="eastAsia"/>
          <w:szCs w:val="21"/>
          <w:lang w:eastAsia="zh-Hans"/>
        </w:rPr>
        <w:t>无。</w:t>
      </w:r>
      <w:r>
        <w:rPr>
          <w:rFonts w:ascii="宋体" w:hAnsi="宋体" w:hint="eastAsia"/>
          <w:szCs w:val="21"/>
        </w:rPr>
        <w:t xml:space="preserve"> </w:t>
      </w:r>
    </w:p>
    <w:p w14:paraId="55517166" w14:textId="77777777" w:rsidR="001F3F42" w:rsidRDefault="001F3F42">
      <w:pPr>
        <w:pStyle w:val="XBRLTitle2"/>
        <w:spacing w:before="156"/>
        <w:ind w:left="454"/>
      </w:pPr>
      <w:bookmarkStart w:id="297" w:name="_Toc17881712"/>
      <w:bookmarkStart w:id="298" w:name="_Toc492299908"/>
      <w:bookmarkStart w:id="299" w:name="_Toc466644492"/>
      <w:bookmarkStart w:id="300" w:name="_Toc458599607"/>
      <w:bookmarkStart w:id="301" w:name="_Toc462325492"/>
      <w:bookmarkStart w:id="302" w:name="_Toc512627243"/>
      <w:bookmarkStart w:id="303" w:name="_Toc512694323"/>
      <w:proofErr w:type="spellStart"/>
      <w:r>
        <w:rPr>
          <w:rFonts w:hint="eastAsia"/>
        </w:rPr>
        <w:t>基金管理人运用固有资金投资本基金交易明细</w:t>
      </w:r>
      <w:bookmarkEnd w:id="297"/>
      <w:bookmarkEnd w:id="298"/>
      <w:bookmarkEnd w:id="299"/>
      <w:bookmarkEnd w:id="300"/>
      <w:bookmarkEnd w:id="301"/>
      <w:bookmarkEnd w:id="302"/>
      <w:bookmarkEnd w:id="303"/>
      <w:proofErr w:type="spellEnd"/>
      <w:r>
        <w:rPr>
          <w:rFonts w:hint="eastAsia"/>
          <w:lang w:eastAsia="zh-CN"/>
        </w:rPr>
        <w:t xml:space="preserve"> </w:t>
      </w:r>
    </w:p>
    <w:p w14:paraId="30784147" w14:textId="77777777" w:rsidR="001F3F42" w:rsidRDefault="001F3F42">
      <w:pPr>
        <w:spacing w:line="360" w:lineRule="auto"/>
        <w:ind w:firstLineChars="200" w:firstLine="420"/>
        <w:jc w:val="left"/>
        <w:divId w:val="1101872475"/>
      </w:pPr>
      <w:r>
        <w:rPr>
          <w:rFonts w:ascii="宋体" w:hAnsi="宋体" w:hint="eastAsia"/>
          <w:lang w:eastAsia="zh-Hans"/>
        </w:rPr>
        <w:t>无。</w:t>
      </w:r>
      <w:r>
        <w:rPr>
          <w:rFonts w:ascii="宋体" w:hAnsi="宋体" w:hint="eastAsia"/>
        </w:rPr>
        <w:t xml:space="preserve"> </w:t>
      </w:r>
    </w:p>
    <w:p w14:paraId="106D17DD" w14:textId="77777777" w:rsidR="001F3F42" w:rsidRDefault="001F3F42">
      <w:pPr>
        <w:pStyle w:val="XBRLTitle1"/>
        <w:spacing w:before="156"/>
        <w:ind w:left="425"/>
      </w:pPr>
      <w:bookmarkStart w:id="304" w:name="_Toc17881714"/>
      <w:bookmarkStart w:id="305" w:name="_Toc479856294"/>
      <w:bookmarkStart w:id="306" w:name="_Toc492299909"/>
      <w:bookmarkStart w:id="307" w:name="_Toc512627244"/>
      <w:bookmarkStart w:id="308" w:name="_Toc512694324"/>
      <w:bookmarkStart w:id="309" w:name="m701"/>
      <w:proofErr w:type="spellStart"/>
      <w:r>
        <w:rPr>
          <w:rFonts w:hint="eastAsia"/>
        </w:rPr>
        <w:t>影响投资者决策的其他重要信息</w:t>
      </w:r>
      <w:bookmarkEnd w:id="304"/>
      <w:bookmarkEnd w:id="305"/>
      <w:bookmarkEnd w:id="306"/>
      <w:bookmarkEnd w:id="307"/>
      <w:bookmarkEnd w:id="308"/>
      <w:proofErr w:type="spellEnd"/>
      <w:r>
        <w:rPr>
          <w:rFonts w:hint="eastAsia"/>
          <w:lang w:eastAsia="zh-CN"/>
        </w:rPr>
        <w:t xml:space="preserve"> </w:t>
      </w:r>
    </w:p>
    <w:p w14:paraId="44392F4F" w14:textId="77777777" w:rsidR="001F3F42" w:rsidRDefault="001F3F42">
      <w:pPr>
        <w:pStyle w:val="XBRLTitle2"/>
        <w:spacing w:before="156"/>
        <w:ind w:left="454"/>
      </w:pPr>
      <w:bookmarkStart w:id="310" w:name="_Toc17881715"/>
      <w:bookmarkStart w:id="311" w:name="_Toc492299910"/>
      <w:bookmarkStart w:id="312" w:name="_Toc512627245"/>
      <w:bookmarkStart w:id="313" w:name="_Toc512694325"/>
      <w:r>
        <w:rPr>
          <w:rFonts w:hint="eastAsia"/>
          <w:kern w:val="0"/>
        </w:rPr>
        <w:t>报告期内单一投资者持有基金份额比例达到或超过20%的情况</w:t>
      </w:r>
      <w:bookmarkEnd w:id="310"/>
      <w:bookmarkEnd w:id="311"/>
      <w:bookmarkEnd w:id="312"/>
      <w:bookmarkEnd w:id="313"/>
      <w:r>
        <w:rPr>
          <w:rFonts w:hint="eastAsia"/>
          <w:kern w:val="0"/>
          <w:lang w:eastAsia="zh-CN"/>
        </w:rPr>
        <w:t xml:space="preserve"> </w:t>
      </w:r>
    </w:p>
    <w:bookmarkEnd w:id="37"/>
    <w:bookmarkEnd w:id="38"/>
    <w:bookmarkEnd w:id="21"/>
    <w:p w14:paraId="60D8C21D" w14:textId="77777777" w:rsidR="001F3F42" w:rsidRDefault="001F3F42">
      <w:pPr>
        <w:spacing w:line="360" w:lineRule="auto"/>
        <w:ind w:firstLineChars="200" w:firstLine="420"/>
        <w:divId w:val="1741831332"/>
        <w:rPr>
          <w:rFonts w:ascii="宋体" w:hAnsi="宋体" w:hint="eastAsia"/>
          <w:szCs w:val="21"/>
          <w:lang w:eastAsia="zh-Hans"/>
        </w:rPr>
      </w:pPr>
      <w:r>
        <w:rPr>
          <w:rFonts w:ascii="宋体" w:hAnsi="宋体" w:hint="eastAsia"/>
          <w:szCs w:val="21"/>
          <w:lang w:eastAsia="zh-Hans"/>
        </w:rPr>
        <w:t>无。</w:t>
      </w:r>
    </w:p>
    <w:p w14:paraId="769BB942" w14:textId="77777777" w:rsidR="001F3F42" w:rsidRDefault="001F3F42">
      <w:pPr>
        <w:pStyle w:val="XBRLTitle1"/>
        <w:spacing w:before="156"/>
        <w:ind w:left="425"/>
      </w:pPr>
      <w:bookmarkStart w:id="314" w:name="_Toc17881717"/>
      <w:bookmarkStart w:id="315" w:name="_Toc466644495"/>
      <w:bookmarkStart w:id="316" w:name="_Toc447872955"/>
      <w:bookmarkStart w:id="317" w:name="_Toc438646481"/>
      <w:bookmarkStart w:id="318" w:name="_Toc492299912"/>
      <w:bookmarkStart w:id="319" w:name="_Toc512627247"/>
      <w:bookmarkStart w:id="320" w:name="_Toc512694327"/>
      <w:bookmarkEnd w:id="309"/>
      <w:proofErr w:type="spellStart"/>
      <w:r>
        <w:rPr>
          <w:rFonts w:hint="eastAsia"/>
        </w:rPr>
        <w:t>备查文件目录</w:t>
      </w:r>
      <w:bookmarkEnd w:id="314"/>
      <w:bookmarkEnd w:id="315"/>
      <w:bookmarkEnd w:id="316"/>
      <w:bookmarkEnd w:id="317"/>
      <w:bookmarkEnd w:id="318"/>
      <w:bookmarkEnd w:id="319"/>
      <w:bookmarkEnd w:id="320"/>
      <w:proofErr w:type="spellEnd"/>
    </w:p>
    <w:p w14:paraId="4F1F1A4D" w14:textId="77777777" w:rsidR="001F3F42" w:rsidRDefault="001F3F42">
      <w:pPr>
        <w:pStyle w:val="XBRLTitle2"/>
        <w:spacing w:before="156"/>
        <w:ind w:left="454"/>
      </w:pPr>
      <w:bookmarkStart w:id="321" w:name="_Toc438646482"/>
      <w:bookmarkStart w:id="322" w:name="_Toc17881718"/>
      <w:bookmarkStart w:id="323" w:name="_Toc492299913"/>
      <w:bookmarkStart w:id="324" w:name="_Toc466644496"/>
      <w:bookmarkStart w:id="325" w:name="_Toc447872956"/>
      <w:bookmarkStart w:id="326" w:name="_Toc512627248"/>
      <w:bookmarkStart w:id="327" w:name="_Toc512694328"/>
      <w:bookmarkStart w:id="328" w:name="m801_01_1733"/>
      <w:proofErr w:type="spellStart"/>
      <w:r>
        <w:rPr>
          <w:rFonts w:hAnsi="宋体" w:hint="eastAsia"/>
        </w:rPr>
        <w:t>备查文件目录</w:t>
      </w:r>
      <w:bookmarkEnd w:id="321"/>
      <w:bookmarkEnd w:id="322"/>
      <w:bookmarkEnd w:id="323"/>
      <w:bookmarkEnd w:id="324"/>
      <w:bookmarkEnd w:id="325"/>
      <w:bookmarkEnd w:id="326"/>
      <w:bookmarkEnd w:id="327"/>
      <w:proofErr w:type="spellEnd"/>
      <w:r>
        <w:rPr>
          <w:rFonts w:hAnsi="宋体" w:hint="eastAsia"/>
        </w:rPr>
        <w:t xml:space="preserve"> </w:t>
      </w:r>
    </w:p>
    <w:p w14:paraId="7740E997" w14:textId="77777777" w:rsidR="001F3F42" w:rsidRDefault="001F3F42">
      <w:pPr>
        <w:spacing w:line="360" w:lineRule="auto"/>
        <w:ind w:firstLineChars="200" w:firstLine="420"/>
        <w:jc w:val="left"/>
      </w:pPr>
      <w:r>
        <w:rPr>
          <w:rFonts w:ascii="宋体" w:hAnsi="宋体" w:cs="宋体" w:hint="eastAsia"/>
          <w:color w:val="000000"/>
          <w:kern w:val="0"/>
        </w:rPr>
        <w:t>（一）中国证监会准予</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型开放式指数证券投资基金联接基金募集注册的文件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型开放式指数证券投资基金联接</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104E3C18" w14:textId="77777777" w:rsidR="001F3F42" w:rsidRDefault="001F3F42">
      <w:pPr>
        <w:pStyle w:val="XBRLTitle2"/>
        <w:spacing w:before="156"/>
        <w:ind w:left="454"/>
      </w:pPr>
      <w:bookmarkStart w:id="329" w:name="_Toc438646483"/>
      <w:bookmarkStart w:id="330" w:name="_Toc17881719"/>
      <w:bookmarkStart w:id="331" w:name="_Toc492299914"/>
      <w:bookmarkStart w:id="332" w:name="_Toc466644497"/>
      <w:bookmarkStart w:id="333" w:name="_Toc447872957"/>
      <w:bookmarkStart w:id="334" w:name="_Toc512627249"/>
      <w:bookmarkStart w:id="335" w:name="_Toc512694329"/>
      <w:bookmarkStart w:id="336" w:name="m801_01_1734"/>
      <w:bookmarkEnd w:id="328"/>
      <w:proofErr w:type="spellStart"/>
      <w:r>
        <w:rPr>
          <w:rFonts w:hAnsi="宋体" w:hint="eastAsia"/>
        </w:rPr>
        <w:t>存放地点</w:t>
      </w:r>
      <w:bookmarkEnd w:id="329"/>
      <w:bookmarkEnd w:id="330"/>
      <w:bookmarkEnd w:id="331"/>
      <w:bookmarkEnd w:id="332"/>
      <w:bookmarkEnd w:id="333"/>
      <w:bookmarkEnd w:id="334"/>
      <w:bookmarkEnd w:id="335"/>
      <w:proofErr w:type="spellEnd"/>
      <w:r>
        <w:rPr>
          <w:rFonts w:hAnsi="宋体" w:hint="eastAsia"/>
        </w:rPr>
        <w:t xml:space="preserve"> </w:t>
      </w:r>
    </w:p>
    <w:p w14:paraId="24643079" w14:textId="77777777" w:rsidR="001F3F42" w:rsidRDefault="001F3F42">
      <w:pPr>
        <w:spacing w:line="360" w:lineRule="auto"/>
        <w:ind w:firstLineChars="200" w:firstLine="420"/>
        <w:jc w:val="left"/>
      </w:pPr>
      <w:r>
        <w:rPr>
          <w:rFonts w:ascii="宋体" w:hAnsi="宋体" w:cs="宋体" w:hint="eastAsia"/>
          <w:color w:val="000000"/>
          <w:kern w:val="0"/>
        </w:rPr>
        <w:t>基金管理人或基金托管人住所。</w:t>
      </w:r>
    </w:p>
    <w:p w14:paraId="32A45DEF" w14:textId="77777777" w:rsidR="001F3F42" w:rsidRDefault="001F3F42">
      <w:pPr>
        <w:pStyle w:val="XBRLTitle2"/>
        <w:spacing w:before="156"/>
        <w:ind w:left="454"/>
      </w:pPr>
      <w:bookmarkStart w:id="337" w:name="_Toc438646484"/>
      <w:bookmarkStart w:id="338" w:name="_Toc17881720"/>
      <w:bookmarkStart w:id="339" w:name="_Toc492299915"/>
      <w:bookmarkStart w:id="340" w:name="_Toc466644498"/>
      <w:bookmarkStart w:id="341" w:name="_Toc447872958"/>
      <w:bookmarkStart w:id="342" w:name="_Toc512627250"/>
      <w:bookmarkStart w:id="343" w:name="_Toc512694330"/>
      <w:bookmarkStart w:id="344" w:name="m801_01_1735"/>
      <w:bookmarkEnd w:id="336"/>
      <w:proofErr w:type="spellStart"/>
      <w:r>
        <w:rPr>
          <w:rFonts w:hAnsi="宋体" w:hint="eastAsia"/>
        </w:rPr>
        <w:t>查阅方式</w:t>
      </w:r>
      <w:bookmarkEnd w:id="337"/>
      <w:bookmarkEnd w:id="338"/>
      <w:bookmarkEnd w:id="339"/>
      <w:bookmarkEnd w:id="340"/>
      <w:bookmarkEnd w:id="341"/>
      <w:bookmarkEnd w:id="342"/>
      <w:bookmarkEnd w:id="343"/>
      <w:proofErr w:type="spellEnd"/>
      <w:r>
        <w:rPr>
          <w:rFonts w:hAnsi="宋体" w:hint="eastAsia"/>
        </w:rPr>
        <w:t xml:space="preserve"> </w:t>
      </w:r>
    </w:p>
    <w:p w14:paraId="66B47AB4" w14:textId="77777777" w:rsidR="001F3F42" w:rsidRDefault="001F3F42">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4"/>
    <w:p w14:paraId="34D44646" w14:textId="77777777" w:rsidR="001F3F42" w:rsidRDefault="001F3F42">
      <w:pPr>
        <w:jc w:val="right"/>
        <w:rPr>
          <w:rFonts w:ascii="宋体" w:hAnsi="宋体" w:hint="eastAsia"/>
          <w:sz w:val="24"/>
        </w:rPr>
      </w:pPr>
      <w:r>
        <w:rPr>
          <w:rFonts w:ascii="宋体" w:hAnsi="宋体" w:hint="eastAsia"/>
          <w:sz w:val="24"/>
        </w:rPr>
        <w:t xml:space="preserve">　 </w:t>
      </w:r>
    </w:p>
    <w:p w14:paraId="4E98C112" w14:textId="77777777" w:rsidR="001F3F42" w:rsidRDefault="001F3F42">
      <w:pPr>
        <w:ind w:firstLineChars="600" w:firstLine="1687"/>
        <w:jc w:val="left"/>
      </w:pPr>
      <w:r>
        <w:rPr>
          <w:rFonts w:ascii="宋体" w:hAnsi="宋体" w:hint="eastAsia"/>
          <w:b/>
          <w:bCs/>
          <w:sz w:val="28"/>
          <w:szCs w:val="30"/>
        </w:rPr>
        <w:t xml:space="preserve">　 </w:t>
      </w:r>
    </w:p>
    <w:p w14:paraId="5533C0FB" w14:textId="77777777" w:rsidR="001F3F42" w:rsidRDefault="001F3F42">
      <w:pPr>
        <w:ind w:firstLineChars="600" w:firstLine="1446"/>
        <w:jc w:val="right"/>
      </w:pPr>
      <w:r>
        <w:rPr>
          <w:rFonts w:ascii="宋体" w:hAnsi="宋体" w:hint="eastAsia"/>
          <w:b/>
          <w:bCs/>
          <w:sz w:val="24"/>
          <w:szCs w:val="24"/>
        </w:rPr>
        <w:t>摩根基金管理（中国）有限公司</w:t>
      </w:r>
    </w:p>
    <w:p w14:paraId="3D7F372C" w14:textId="77777777" w:rsidR="001F3F42" w:rsidRDefault="001F3F42">
      <w:pPr>
        <w:ind w:firstLineChars="600" w:firstLine="1446"/>
        <w:jc w:val="right"/>
      </w:pPr>
      <w:r>
        <w:rPr>
          <w:rFonts w:ascii="宋体" w:hAnsi="宋体" w:hint="eastAsia"/>
          <w:b/>
          <w:bCs/>
          <w:sz w:val="24"/>
          <w:szCs w:val="24"/>
        </w:rPr>
        <w:t>2025年10月28日</w:t>
      </w:r>
    </w:p>
    <w:sectPr w:rsidR="001F3F4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FBED" w14:textId="77777777" w:rsidR="001F3F42" w:rsidRDefault="001F3F42">
      <w:pPr>
        <w:rPr>
          <w:szCs w:val="21"/>
        </w:rPr>
      </w:pPr>
      <w:r>
        <w:rPr>
          <w:szCs w:val="21"/>
        </w:rPr>
        <w:separator/>
      </w:r>
      <w:r>
        <w:rPr>
          <w:szCs w:val="21"/>
        </w:rPr>
        <w:t xml:space="preserve"> </w:t>
      </w:r>
    </w:p>
  </w:endnote>
  <w:endnote w:type="continuationSeparator" w:id="0">
    <w:p w14:paraId="425D2A9B" w14:textId="77777777" w:rsidR="001F3F42" w:rsidRDefault="001F3F4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BD34" w14:textId="77777777" w:rsidR="001F3F42" w:rsidRDefault="001F3F4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E4BF" w14:textId="77777777" w:rsidR="001F3F42" w:rsidRDefault="001F3F42">
      <w:pPr>
        <w:rPr>
          <w:szCs w:val="21"/>
        </w:rPr>
      </w:pPr>
      <w:r>
        <w:rPr>
          <w:szCs w:val="21"/>
        </w:rPr>
        <w:separator/>
      </w:r>
      <w:r>
        <w:rPr>
          <w:szCs w:val="21"/>
        </w:rPr>
        <w:t xml:space="preserve"> </w:t>
      </w:r>
    </w:p>
  </w:footnote>
  <w:footnote w:type="continuationSeparator" w:id="0">
    <w:p w14:paraId="7D615B8E" w14:textId="77777777" w:rsidR="001F3F42" w:rsidRDefault="001F3F4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1574" w14:textId="77777777" w:rsidR="001F3F42" w:rsidRDefault="001F3F42">
    <w:pPr>
      <w:pStyle w:val="aa"/>
      <w:jc w:val="right"/>
    </w:pPr>
    <w:proofErr w:type="gramStart"/>
    <w:r>
      <w:rPr>
        <w:rFonts w:ascii="宋体" w:hAnsi="宋体" w:hint="eastAsia"/>
      </w:rPr>
      <w:t>摩根沪</w:t>
    </w:r>
    <w:proofErr w:type="gramEnd"/>
    <w:r>
      <w:rPr>
        <w:rFonts w:ascii="宋体" w:hAnsi="宋体" w:hint="eastAsia"/>
      </w:rPr>
      <w:t>深300自由现金</w:t>
    </w:r>
    <w:proofErr w:type="gramStart"/>
    <w:r>
      <w:rPr>
        <w:rFonts w:ascii="宋体" w:hAnsi="宋体" w:hint="eastAsia"/>
      </w:rPr>
      <w:t>流交易</w:t>
    </w:r>
    <w:proofErr w:type="gramEnd"/>
    <w:r>
      <w:rPr>
        <w:rFonts w:ascii="宋体" w:hAnsi="宋体" w:hint="eastAsia"/>
      </w:rPr>
      <w:t>型开放式指数证券投资基金联接基金2025年第3季度报告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71571608">
    <w:abstractNumId w:val="0"/>
  </w:num>
  <w:num w:numId="2" w16cid:durableId="768937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85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42"/>
    <w:rsid w:val="00014B71"/>
    <w:rsid w:val="001F3F42"/>
    <w:rsid w:val="00877CA7"/>
    <w:rsid w:val="008D2332"/>
    <w:rsid w:val="00915EA5"/>
    <w:rsid w:val="009A0238"/>
    <w:rsid w:val="00A6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8C23D71"/>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 w:type="paragraph" w:styleId="afb">
    <w:name w:val="Revision"/>
    <w:hidden/>
    <w:uiPriority w:val="99"/>
    <w:unhideWhenUsed/>
    <w:rsid w:val="00915E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058">
      <w:marLeft w:val="0"/>
      <w:marRight w:val="0"/>
      <w:marTop w:val="0"/>
      <w:marBottom w:val="0"/>
      <w:divBdr>
        <w:top w:val="none" w:sz="0" w:space="0" w:color="auto"/>
        <w:left w:val="none" w:sz="0" w:space="0" w:color="auto"/>
        <w:bottom w:val="none" w:sz="0" w:space="0" w:color="auto"/>
        <w:right w:val="none" w:sz="0" w:space="0" w:color="auto"/>
      </w:divBdr>
      <w:divsChild>
        <w:div w:id="591939245">
          <w:marLeft w:val="0"/>
          <w:marRight w:val="0"/>
          <w:marTop w:val="0"/>
          <w:marBottom w:val="0"/>
          <w:divBdr>
            <w:top w:val="none" w:sz="0" w:space="0" w:color="auto"/>
            <w:left w:val="none" w:sz="0" w:space="0" w:color="auto"/>
            <w:bottom w:val="none" w:sz="0" w:space="0" w:color="auto"/>
            <w:right w:val="none" w:sz="0" w:space="0" w:color="auto"/>
          </w:divBdr>
        </w:div>
      </w:divsChild>
    </w:div>
    <w:div w:id="303003886">
      <w:marLeft w:val="0"/>
      <w:marRight w:val="0"/>
      <w:marTop w:val="0"/>
      <w:marBottom w:val="0"/>
      <w:divBdr>
        <w:top w:val="none" w:sz="0" w:space="0" w:color="auto"/>
        <w:left w:val="none" w:sz="0" w:space="0" w:color="auto"/>
        <w:bottom w:val="none" w:sz="0" w:space="0" w:color="auto"/>
        <w:right w:val="none" w:sz="0" w:space="0" w:color="auto"/>
      </w:divBdr>
    </w:div>
    <w:div w:id="375742220">
      <w:marLeft w:val="0"/>
      <w:marRight w:val="0"/>
      <w:marTop w:val="0"/>
      <w:marBottom w:val="0"/>
      <w:divBdr>
        <w:top w:val="none" w:sz="0" w:space="0" w:color="auto"/>
        <w:left w:val="none" w:sz="0" w:space="0" w:color="auto"/>
        <w:bottom w:val="none" w:sz="0" w:space="0" w:color="auto"/>
        <w:right w:val="none" w:sz="0" w:space="0" w:color="auto"/>
      </w:divBdr>
    </w:div>
    <w:div w:id="408117319">
      <w:marLeft w:val="0"/>
      <w:marRight w:val="0"/>
      <w:marTop w:val="0"/>
      <w:marBottom w:val="0"/>
      <w:divBdr>
        <w:top w:val="none" w:sz="0" w:space="0" w:color="auto"/>
        <w:left w:val="none" w:sz="0" w:space="0" w:color="auto"/>
        <w:bottom w:val="none" w:sz="0" w:space="0" w:color="auto"/>
        <w:right w:val="none" w:sz="0" w:space="0" w:color="auto"/>
      </w:divBdr>
    </w:div>
    <w:div w:id="578055155">
      <w:marLeft w:val="0"/>
      <w:marRight w:val="0"/>
      <w:marTop w:val="0"/>
      <w:marBottom w:val="0"/>
      <w:divBdr>
        <w:top w:val="none" w:sz="0" w:space="0" w:color="auto"/>
        <w:left w:val="none" w:sz="0" w:space="0" w:color="auto"/>
        <w:bottom w:val="none" w:sz="0" w:space="0" w:color="auto"/>
        <w:right w:val="none" w:sz="0" w:space="0" w:color="auto"/>
      </w:divBdr>
    </w:div>
    <w:div w:id="579947323">
      <w:marLeft w:val="0"/>
      <w:marRight w:val="0"/>
      <w:marTop w:val="0"/>
      <w:marBottom w:val="0"/>
      <w:divBdr>
        <w:top w:val="none" w:sz="0" w:space="0" w:color="auto"/>
        <w:left w:val="none" w:sz="0" w:space="0" w:color="auto"/>
        <w:bottom w:val="none" w:sz="0" w:space="0" w:color="auto"/>
        <w:right w:val="none" w:sz="0" w:space="0" w:color="auto"/>
      </w:divBdr>
      <w:divsChild>
        <w:div w:id="450173117">
          <w:marLeft w:val="0"/>
          <w:marRight w:val="0"/>
          <w:marTop w:val="0"/>
          <w:marBottom w:val="0"/>
          <w:divBdr>
            <w:top w:val="none" w:sz="0" w:space="0" w:color="auto"/>
            <w:left w:val="none" w:sz="0" w:space="0" w:color="auto"/>
            <w:bottom w:val="none" w:sz="0" w:space="0" w:color="auto"/>
            <w:right w:val="none" w:sz="0" w:space="0" w:color="auto"/>
          </w:divBdr>
        </w:div>
      </w:divsChild>
    </w:div>
    <w:div w:id="605693463">
      <w:marLeft w:val="0"/>
      <w:marRight w:val="0"/>
      <w:marTop w:val="0"/>
      <w:marBottom w:val="0"/>
      <w:divBdr>
        <w:top w:val="none" w:sz="0" w:space="0" w:color="auto"/>
        <w:left w:val="none" w:sz="0" w:space="0" w:color="auto"/>
        <w:bottom w:val="none" w:sz="0" w:space="0" w:color="auto"/>
        <w:right w:val="none" w:sz="0" w:space="0" w:color="auto"/>
      </w:divBdr>
    </w:div>
    <w:div w:id="656685010">
      <w:marLeft w:val="0"/>
      <w:marRight w:val="0"/>
      <w:marTop w:val="0"/>
      <w:marBottom w:val="0"/>
      <w:divBdr>
        <w:top w:val="none" w:sz="0" w:space="0" w:color="auto"/>
        <w:left w:val="none" w:sz="0" w:space="0" w:color="auto"/>
        <w:bottom w:val="none" w:sz="0" w:space="0" w:color="auto"/>
        <w:right w:val="none" w:sz="0" w:space="0" w:color="auto"/>
      </w:divBdr>
      <w:divsChild>
        <w:div w:id="633948893">
          <w:marLeft w:val="0"/>
          <w:marRight w:val="0"/>
          <w:marTop w:val="0"/>
          <w:marBottom w:val="0"/>
          <w:divBdr>
            <w:top w:val="none" w:sz="0" w:space="0" w:color="auto"/>
            <w:left w:val="none" w:sz="0" w:space="0" w:color="auto"/>
            <w:bottom w:val="none" w:sz="0" w:space="0" w:color="auto"/>
            <w:right w:val="none" w:sz="0" w:space="0" w:color="auto"/>
          </w:divBdr>
        </w:div>
      </w:divsChild>
    </w:div>
    <w:div w:id="736896547">
      <w:marLeft w:val="0"/>
      <w:marRight w:val="0"/>
      <w:marTop w:val="0"/>
      <w:marBottom w:val="0"/>
      <w:divBdr>
        <w:top w:val="none" w:sz="0" w:space="0" w:color="auto"/>
        <w:left w:val="none" w:sz="0" w:space="0" w:color="auto"/>
        <w:bottom w:val="none" w:sz="0" w:space="0" w:color="auto"/>
        <w:right w:val="none" w:sz="0" w:space="0" w:color="auto"/>
      </w:divBdr>
    </w:div>
    <w:div w:id="742795686">
      <w:marLeft w:val="0"/>
      <w:marRight w:val="0"/>
      <w:marTop w:val="0"/>
      <w:marBottom w:val="0"/>
      <w:divBdr>
        <w:top w:val="none" w:sz="0" w:space="0" w:color="auto"/>
        <w:left w:val="none" w:sz="0" w:space="0" w:color="auto"/>
        <w:bottom w:val="none" w:sz="0" w:space="0" w:color="auto"/>
        <w:right w:val="none" w:sz="0" w:space="0" w:color="auto"/>
      </w:divBdr>
    </w:div>
    <w:div w:id="898906013">
      <w:marLeft w:val="0"/>
      <w:marRight w:val="0"/>
      <w:marTop w:val="0"/>
      <w:marBottom w:val="0"/>
      <w:divBdr>
        <w:top w:val="none" w:sz="0" w:space="0" w:color="auto"/>
        <w:left w:val="none" w:sz="0" w:space="0" w:color="auto"/>
        <w:bottom w:val="none" w:sz="0" w:space="0" w:color="auto"/>
        <w:right w:val="none" w:sz="0" w:space="0" w:color="auto"/>
      </w:divBdr>
      <w:divsChild>
        <w:div w:id="2032105278">
          <w:marLeft w:val="0"/>
          <w:marRight w:val="0"/>
          <w:marTop w:val="0"/>
          <w:marBottom w:val="0"/>
          <w:divBdr>
            <w:top w:val="none" w:sz="0" w:space="0" w:color="auto"/>
            <w:left w:val="none" w:sz="0" w:space="0" w:color="auto"/>
            <w:bottom w:val="none" w:sz="0" w:space="0" w:color="auto"/>
            <w:right w:val="none" w:sz="0" w:space="0" w:color="auto"/>
          </w:divBdr>
        </w:div>
      </w:divsChild>
    </w:div>
    <w:div w:id="1042750933">
      <w:marLeft w:val="0"/>
      <w:marRight w:val="0"/>
      <w:marTop w:val="0"/>
      <w:marBottom w:val="0"/>
      <w:divBdr>
        <w:top w:val="none" w:sz="0" w:space="0" w:color="auto"/>
        <w:left w:val="none" w:sz="0" w:space="0" w:color="auto"/>
        <w:bottom w:val="none" w:sz="0" w:space="0" w:color="auto"/>
        <w:right w:val="none" w:sz="0" w:space="0" w:color="auto"/>
      </w:divBdr>
    </w:div>
    <w:div w:id="1046904216">
      <w:marLeft w:val="0"/>
      <w:marRight w:val="0"/>
      <w:marTop w:val="0"/>
      <w:marBottom w:val="0"/>
      <w:divBdr>
        <w:top w:val="none" w:sz="0" w:space="0" w:color="auto"/>
        <w:left w:val="none" w:sz="0" w:space="0" w:color="auto"/>
        <w:bottom w:val="none" w:sz="0" w:space="0" w:color="auto"/>
        <w:right w:val="none" w:sz="0" w:space="0" w:color="auto"/>
      </w:divBdr>
      <w:divsChild>
        <w:div w:id="965965153">
          <w:marLeft w:val="0"/>
          <w:marRight w:val="0"/>
          <w:marTop w:val="0"/>
          <w:marBottom w:val="0"/>
          <w:divBdr>
            <w:top w:val="none" w:sz="0" w:space="0" w:color="auto"/>
            <w:left w:val="none" w:sz="0" w:space="0" w:color="auto"/>
            <w:bottom w:val="none" w:sz="0" w:space="0" w:color="auto"/>
            <w:right w:val="none" w:sz="0" w:space="0" w:color="auto"/>
          </w:divBdr>
        </w:div>
      </w:divsChild>
    </w:div>
    <w:div w:id="1094133074">
      <w:marLeft w:val="0"/>
      <w:marRight w:val="0"/>
      <w:marTop w:val="0"/>
      <w:marBottom w:val="0"/>
      <w:divBdr>
        <w:top w:val="none" w:sz="0" w:space="0" w:color="auto"/>
        <w:left w:val="none" w:sz="0" w:space="0" w:color="auto"/>
        <w:bottom w:val="none" w:sz="0" w:space="0" w:color="auto"/>
        <w:right w:val="none" w:sz="0" w:space="0" w:color="auto"/>
      </w:divBdr>
    </w:div>
    <w:div w:id="1101872475">
      <w:marLeft w:val="0"/>
      <w:marRight w:val="0"/>
      <w:marTop w:val="0"/>
      <w:marBottom w:val="0"/>
      <w:divBdr>
        <w:top w:val="none" w:sz="0" w:space="0" w:color="auto"/>
        <w:left w:val="none" w:sz="0" w:space="0" w:color="auto"/>
        <w:bottom w:val="none" w:sz="0" w:space="0" w:color="auto"/>
        <w:right w:val="none" w:sz="0" w:space="0" w:color="auto"/>
      </w:divBdr>
    </w:div>
    <w:div w:id="1226337863">
      <w:marLeft w:val="0"/>
      <w:marRight w:val="0"/>
      <w:marTop w:val="0"/>
      <w:marBottom w:val="0"/>
      <w:divBdr>
        <w:top w:val="none" w:sz="0" w:space="0" w:color="auto"/>
        <w:left w:val="none" w:sz="0" w:space="0" w:color="auto"/>
        <w:bottom w:val="none" w:sz="0" w:space="0" w:color="auto"/>
        <w:right w:val="none" w:sz="0" w:space="0" w:color="auto"/>
      </w:divBdr>
    </w:div>
    <w:div w:id="1263151904">
      <w:marLeft w:val="0"/>
      <w:marRight w:val="0"/>
      <w:marTop w:val="0"/>
      <w:marBottom w:val="0"/>
      <w:divBdr>
        <w:top w:val="none" w:sz="0" w:space="0" w:color="auto"/>
        <w:left w:val="none" w:sz="0" w:space="0" w:color="auto"/>
        <w:bottom w:val="none" w:sz="0" w:space="0" w:color="auto"/>
        <w:right w:val="none" w:sz="0" w:space="0" w:color="auto"/>
      </w:divBdr>
    </w:div>
    <w:div w:id="1278875614">
      <w:marLeft w:val="0"/>
      <w:marRight w:val="0"/>
      <w:marTop w:val="0"/>
      <w:marBottom w:val="0"/>
      <w:divBdr>
        <w:top w:val="none" w:sz="0" w:space="0" w:color="auto"/>
        <w:left w:val="none" w:sz="0" w:space="0" w:color="auto"/>
        <w:bottom w:val="none" w:sz="0" w:space="0" w:color="auto"/>
        <w:right w:val="none" w:sz="0" w:space="0" w:color="auto"/>
      </w:divBdr>
    </w:div>
    <w:div w:id="1287542932">
      <w:marLeft w:val="0"/>
      <w:marRight w:val="0"/>
      <w:marTop w:val="0"/>
      <w:marBottom w:val="0"/>
      <w:divBdr>
        <w:top w:val="none" w:sz="0" w:space="0" w:color="auto"/>
        <w:left w:val="none" w:sz="0" w:space="0" w:color="auto"/>
        <w:bottom w:val="none" w:sz="0" w:space="0" w:color="auto"/>
        <w:right w:val="none" w:sz="0" w:space="0" w:color="auto"/>
      </w:divBdr>
    </w:div>
    <w:div w:id="1324502376">
      <w:marLeft w:val="0"/>
      <w:marRight w:val="0"/>
      <w:marTop w:val="0"/>
      <w:marBottom w:val="0"/>
      <w:divBdr>
        <w:top w:val="none" w:sz="0" w:space="0" w:color="auto"/>
        <w:left w:val="none" w:sz="0" w:space="0" w:color="auto"/>
        <w:bottom w:val="none" w:sz="0" w:space="0" w:color="auto"/>
        <w:right w:val="none" w:sz="0" w:space="0" w:color="auto"/>
      </w:divBdr>
      <w:divsChild>
        <w:div w:id="785268325">
          <w:marLeft w:val="0"/>
          <w:marRight w:val="0"/>
          <w:marTop w:val="0"/>
          <w:marBottom w:val="0"/>
          <w:divBdr>
            <w:top w:val="none" w:sz="0" w:space="0" w:color="auto"/>
            <w:left w:val="none" w:sz="0" w:space="0" w:color="auto"/>
            <w:bottom w:val="none" w:sz="0" w:space="0" w:color="auto"/>
            <w:right w:val="none" w:sz="0" w:space="0" w:color="auto"/>
          </w:divBdr>
        </w:div>
      </w:divsChild>
    </w:div>
    <w:div w:id="1411199898">
      <w:marLeft w:val="0"/>
      <w:marRight w:val="0"/>
      <w:marTop w:val="0"/>
      <w:marBottom w:val="0"/>
      <w:divBdr>
        <w:top w:val="none" w:sz="0" w:space="0" w:color="auto"/>
        <w:left w:val="none" w:sz="0" w:space="0" w:color="auto"/>
        <w:bottom w:val="none" w:sz="0" w:space="0" w:color="auto"/>
        <w:right w:val="none" w:sz="0" w:space="0" w:color="auto"/>
      </w:divBdr>
      <w:divsChild>
        <w:div w:id="391853105">
          <w:marLeft w:val="0"/>
          <w:marRight w:val="0"/>
          <w:marTop w:val="0"/>
          <w:marBottom w:val="0"/>
          <w:divBdr>
            <w:top w:val="none" w:sz="0" w:space="0" w:color="auto"/>
            <w:left w:val="none" w:sz="0" w:space="0" w:color="auto"/>
            <w:bottom w:val="none" w:sz="0" w:space="0" w:color="auto"/>
            <w:right w:val="none" w:sz="0" w:space="0" w:color="auto"/>
          </w:divBdr>
        </w:div>
        <w:div w:id="663359211">
          <w:marLeft w:val="0"/>
          <w:marRight w:val="0"/>
          <w:marTop w:val="0"/>
          <w:marBottom w:val="0"/>
          <w:divBdr>
            <w:top w:val="none" w:sz="0" w:space="0" w:color="auto"/>
            <w:left w:val="none" w:sz="0" w:space="0" w:color="auto"/>
            <w:bottom w:val="none" w:sz="0" w:space="0" w:color="auto"/>
            <w:right w:val="none" w:sz="0" w:space="0" w:color="auto"/>
          </w:divBdr>
        </w:div>
      </w:divsChild>
    </w:div>
    <w:div w:id="1493447296">
      <w:marLeft w:val="0"/>
      <w:marRight w:val="0"/>
      <w:marTop w:val="0"/>
      <w:marBottom w:val="0"/>
      <w:divBdr>
        <w:top w:val="none" w:sz="0" w:space="0" w:color="auto"/>
        <w:left w:val="none" w:sz="0" w:space="0" w:color="auto"/>
        <w:bottom w:val="none" w:sz="0" w:space="0" w:color="auto"/>
        <w:right w:val="none" w:sz="0" w:space="0" w:color="auto"/>
      </w:divBdr>
      <w:divsChild>
        <w:div w:id="1772510497">
          <w:marLeft w:val="0"/>
          <w:marRight w:val="0"/>
          <w:marTop w:val="0"/>
          <w:marBottom w:val="0"/>
          <w:divBdr>
            <w:top w:val="none" w:sz="0" w:space="0" w:color="auto"/>
            <w:left w:val="none" w:sz="0" w:space="0" w:color="auto"/>
            <w:bottom w:val="none" w:sz="0" w:space="0" w:color="auto"/>
            <w:right w:val="none" w:sz="0" w:space="0" w:color="auto"/>
          </w:divBdr>
        </w:div>
      </w:divsChild>
    </w:div>
    <w:div w:id="1687172788">
      <w:marLeft w:val="0"/>
      <w:marRight w:val="0"/>
      <w:marTop w:val="0"/>
      <w:marBottom w:val="0"/>
      <w:divBdr>
        <w:top w:val="none" w:sz="0" w:space="0" w:color="auto"/>
        <w:left w:val="none" w:sz="0" w:space="0" w:color="auto"/>
        <w:bottom w:val="none" w:sz="0" w:space="0" w:color="auto"/>
        <w:right w:val="none" w:sz="0" w:space="0" w:color="auto"/>
      </w:divBdr>
    </w:div>
    <w:div w:id="17418313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6428</Words>
  <Characters>1630</Characters>
  <Application>Microsoft Office Word</Application>
  <DocSecurity>0</DocSecurity>
  <Lines>13</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2025-10-21T02:26:00Z</dcterms:created>
  <dcterms:modified xsi:type="dcterms:W3CDTF">2025-10-27T07:59:00Z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