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ADC6DE" w14:textId="77777777" w:rsidR="00BB7FB6" w:rsidRDefault="00BB7FB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AB31BD9" w14:textId="77777777" w:rsidR="00BB7FB6" w:rsidRDefault="00BB7FB6">
      <w:pPr>
        <w:spacing w:line="360" w:lineRule="auto"/>
        <w:rPr>
          <w:rFonts w:ascii="宋体" w:hAnsi="宋体" w:hint="eastAsia"/>
          <w:sz w:val="48"/>
        </w:rPr>
      </w:pPr>
      <w:r>
        <w:rPr>
          <w:rFonts w:ascii="宋体" w:hAnsi="宋体" w:hint="eastAsia"/>
          <w:sz w:val="48"/>
        </w:rPr>
        <w:t xml:space="preserve">　 </w:t>
      </w:r>
    </w:p>
    <w:p w14:paraId="34402E92" w14:textId="77777777" w:rsidR="00BB7FB6" w:rsidRDefault="00BB7FB6">
      <w:pPr>
        <w:spacing w:line="360" w:lineRule="auto"/>
        <w:jc w:val="center"/>
      </w:pPr>
      <w:r>
        <w:rPr>
          <w:rFonts w:ascii="宋体" w:hAnsi="宋体" w:hint="eastAsia"/>
          <w:b/>
          <w:bCs/>
          <w:color w:val="000000" w:themeColor="text1"/>
          <w:sz w:val="48"/>
          <w:szCs w:val="30"/>
        </w:rPr>
        <w:t>摩根60天持有期债券型证券投资基金</w:t>
      </w:r>
      <w:r>
        <w:rPr>
          <w:rFonts w:ascii="宋体" w:hAnsi="宋体" w:hint="eastAsia"/>
          <w:b/>
          <w:bCs/>
          <w:color w:val="000000" w:themeColor="text1"/>
          <w:sz w:val="48"/>
          <w:szCs w:val="30"/>
        </w:rPr>
        <w:br/>
        <w:t>2025年第3季度报告</w:t>
      </w:r>
    </w:p>
    <w:p w14:paraId="1D476F9B"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58915B9C" w14:textId="77777777" w:rsidR="00BB7FB6" w:rsidRDefault="00BB7FB6">
      <w:pPr>
        <w:spacing w:line="360" w:lineRule="auto"/>
        <w:jc w:val="center"/>
      </w:pPr>
      <w:r>
        <w:rPr>
          <w:rFonts w:ascii="宋体" w:hAnsi="宋体" w:hint="eastAsia"/>
          <w:b/>
          <w:bCs/>
          <w:sz w:val="28"/>
          <w:szCs w:val="30"/>
        </w:rPr>
        <w:t>2025年9月30日</w:t>
      </w:r>
    </w:p>
    <w:p w14:paraId="5B744264"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1623E48D"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7A03B01D"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7A883FE5" w14:textId="77777777" w:rsidR="00BB7FB6" w:rsidRDefault="00BB7FB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8081BAB"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4A1A431E"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6C8DA120"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106B308E"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7B3268A9"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57E61A9F"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31983016" w14:textId="77777777" w:rsidR="00BB7FB6" w:rsidRDefault="00BB7FB6">
      <w:pPr>
        <w:spacing w:line="360" w:lineRule="auto"/>
        <w:jc w:val="center"/>
        <w:rPr>
          <w:rFonts w:ascii="宋体" w:hAnsi="宋体" w:hint="eastAsia"/>
          <w:sz w:val="28"/>
          <w:szCs w:val="30"/>
        </w:rPr>
      </w:pPr>
      <w:r>
        <w:rPr>
          <w:rFonts w:ascii="宋体" w:hAnsi="宋体" w:hint="eastAsia"/>
          <w:sz w:val="28"/>
          <w:szCs w:val="30"/>
        </w:rPr>
        <w:t xml:space="preserve">　 </w:t>
      </w:r>
    </w:p>
    <w:p w14:paraId="36798C2B" w14:textId="77777777" w:rsidR="00BB7FB6" w:rsidRDefault="00BB7FB6">
      <w:pPr>
        <w:spacing w:line="360" w:lineRule="auto"/>
        <w:ind w:firstLineChars="800" w:firstLine="2249"/>
        <w:jc w:val="left"/>
      </w:pPr>
      <w:r>
        <w:rPr>
          <w:rFonts w:ascii="宋体" w:hAnsi="宋体" w:hint="eastAsia"/>
          <w:b/>
          <w:bCs/>
          <w:sz w:val="28"/>
          <w:szCs w:val="30"/>
        </w:rPr>
        <w:t>基金管理人：摩根基金管理（中国）有限公司</w:t>
      </w:r>
    </w:p>
    <w:p w14:paraId="70030EBB" w14:textId="77777777" w:rsidR="00BB7FB6" w:rsidRDefault="00BB7FB6">
      <w:pPr>
        <w:spacing w:line="360" w:lineRule="auto"/>
        <w:ind w:firstLineChars="800" w:firstLine="2249"/>
        <w:jc w:val="left"/>
      </w:pPr>
      <w:r>
        <w:rPr>
          <w:rFonts w:ascii="宋体" w:hAnsi="宋体" w:hint="eastAsia"/>
          <w:b/>
          <w:bCs/>
          <w:sz w:val="28"/>
          <w:szCs w:val="30"/>
        </w:rPr>
        <w:t>基金托管人：兴业证券股份有限公司</w:t>
      </w:r>
    </w:p>
    <w:p w14:paraId="40591638" w14:textId="77777777" w:rsidR="00BB7FB6" w:rsidRDefault="00BB7FB6">
      <w:pPr>
        <w:spacing w:line="360" w:lineRule="auto"/>
        <w:ind w:firstLineChars="800" w:firstLine="2249"/>
        <w:jc w:val="left"/>
      </w:pPr>
      <w:r>
        <w:rPr>
          <w:rFonts w:ascii="宋体" w:hAnsi="宋体" w:hint="eastAsia"/>
          <w:b/>
          <w:bCs/>
          <w:sz w:val="28"/>
          <w:szCs w:val="30"/>
        </w:rPr>
        <w:t>报告送出日期：2025年10月28日</w:t>
      </w:r>
    </w:p>
    <w:p w14:paraId="34B6269B" w14:textId="77777777" w:rsidR="00BB7FB6" w:rsidRDefault="00BB7FB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AF3CDFE" w14:textId="77777777" w:rsidR="00BB7FB6" w:rsidRDefault="00BB7FB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基金托管人兴业证券股份有限公司根据本基金合同规定，于2025年10月27日复核了本报告中的财务指标、净值表现和投资组合报告等内容，保证复核内容不存在虚假记载、误导性陈述或者重大遗漏。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6326045" w14:textId="77777777" w:rsidR="00BB7FB6" w:rsidRDefault="00BB7FB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619F7" w14:paraId="622AEB76" w14:textId="77777777">
        <w:trPr>
          <w:divId w:val="203688167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5A3E61F" w14:textId="77777777" w:rsidR="00BB7FB6" w:rsidRDefault="00BB7FB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C00FCD" w14:textId="77777777" w:rsidR="00BB7FB6" w:rsidRDefault="00BB7FB6">
            <w:pPr>
              <w:jc w:val="left"/>
            </w:pPr>
            <w:r>
              <w:rPr>
                <w:rFonts w:ascii="宋体" w:hAnsi="宋体" w:hint="eastAsia"/>
                <w:szCs w:val="24"/>
                <w:lang w:eastAsia="zh-Hans"/>
              </w:rPr>
              <w:t>摩根60天持有期债券</w:t>
            </w:r>
            <w:r>
              <w:rPr>
                <w:rFonts w:ascii="宋体" w:hAnsi="宋体" w:hint="eastAsia"/>
                <w:lang w:eastAsia="zh-Hans"/>
              </w:rPr>
              <w:t xml:space="preserve"> </w:t>
            </w:r>
          </w:p>
        </w:tc>
      </w:tr>
      <w:tr w:rsidR="003619F7" w14:paraId="0C42C036"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97EC5B" w14:textId="77777777" w:rsidR="00BB7FB6" w:rsidRDefault="00BB7FB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531469" w14:textId="77777777" w:rsidR="00BB7FB6" w:rsidRDefault="00BB7FB6">
            <w:pPr>
              <w:jc w:val="left"/>
            </w:pPr>
            <w:r>
              <w:rPr>
                <w:rFonts w:ascii="宋体" w:hAnsi="宋体" w:hint="eastAsia"/>
                <w:lang w:eastAsia="zh-Hans"/>
              </w:rPr>
              <w:t>023528</w:t>
            </w:r>
          </w:p>
        </w:tc>
      </w:tr>
      <w:tr w:rsidR="003619F7" w14:paraId="59F097D8"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D496B4" w14:textId="77777777" w:rsidR="00BB7FB6" w:rsidRDefault="00BB7FB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A67559" w14:textId="77777777" w:rsidR="00BB7FB6" w:rsidRDefault="00BB7FB6">
            <w:pPr>
              <w:jc w:val="left"/>
            </w:pPr>
            <w:r>
              <w:rPr>
                <w:rFonts w:ascii="宋体" w:hAnsi="宋体" w:hint="eastAsia"/>
                <w:lang w:eastAsia="zh-Hans"/>
              </w:rPr>
              <w:t>契约型开放式</w:t>
            </w:r>
          </w:p>
        </w:tc>
      </w:tr>
      <w:tr w:rsidR="003619F7" w14:paraId="5ECD2CFF"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FE225D" w14:textId="77777777" w:rsidR="00BB7FB6" w:rsidRDefault="00BB7FB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795561" w14:textId="77777777" w:rsidR="00BB7FB6" w:rsidRDefault="00BB7FB6">
            <w:pPr>
              <w:jc w:val="left"/>
            </w:pPr>
            <w:r>
              <w:rPr>
                <w:rFonts w:ascii="宋体" w:hAnsi="宋体" w:hint="eastAsia"/>
                <w:lang w:eastAsia="zh-Hans"/>
              </w:rPr>
              <w:t>2025年3月28日</w:t>
            </w:r>
          </w:p>
        </w:tc>
      </w:tr>
      <w:tr w:rsidR="003619F7" w14:paraId="220AB18B"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442CC6" w14:textId="77777777" w:rsidR="00BB7FB6" w:rsidRDefault="00BB7FB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765E40" w14:textId="77777777" w:rsidR="00BB7FB6" w:rsidRDefault="00BB7FB6">
            <w:pPr>
              <w:jc w:val="left"/>
            </w:pPr>
            <w:r>
              <w:rPr>
                <w:rFonts w:ascii="宋体" w:hAnsi="宋体" w:hint="eastAsia"/>
                <w:lang w:eastAsia="zh-Hans"/>
              </w:rPr>
              <w:t>48,181,586.58</w:t>
            </w:r>
            <w:r>
              <w:rPr>
                <w:rFonts w:hint="eastAsia"/>
              </w:rPr>
              <w:t>份</w:t>
            </w:r>
            <w:r>
              <w:rPr>
                <w:rFonts w:ascii="宋体" w:hAnsi="宋体" w:hint="eastAsia"/>
                <w:lang w:eastAsia="zh-Hans"/>
              </w:rPr>
              <w:t xml:space="preserve"> </w:t>
            </w:r>
          </w:p>
        </w:tc>
      </w:tr>
      <w:tr w:rsidR="003619F7" w14:paraId="236B29A3"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49DFC4" w14:textId="77777777" w:rsidR="00BB7FB6" w:rsidRDefault="00BB7FB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1A1382" w14:textId="77777777" w:rsidR="00BB7FB6" w:rsidRDefault="00BB7FB6">
            <w:pPr>
              <w:jc w:val="left"/>
            </w:pPr>
            <w:r>
              <w:rPr>
                <w:rFonts w:ascii="宋体" w:hAnsi="宋体" w:hint="eastAsia"/>
                <w:lang w:eastAsia="zh-Hans"/>
              </w:rPr>
              <w:t>本基金在控制风险和保持较高流动性的前提下，追求基金资产的稳健增值。</w:t>
            </w:r>
          </w:p>
        </w:tc>
      </w:tr>
      <w:tr w:rsidR="003619F7" w14:paraId="70E09E0D"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2909A9" w14:textId="77777777" w:rsidR="00BB7FB6" w:rsidRDefault="00BB7FB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64821D" w14:textId="77777777" w:rsidR="00BB7FB6" w:rsidRDefault="00BB7FB6">
            <w:pPr>
              <w:jc w:val="left"/>
            </w:pPr>
            <w:r>
              <w:rPr>
                <w:rFonts w:ascii="宋体" w:hAnsi="宋体" w:hint="eastAsia"/>
                <w:lang w:eastAsia="zh-Hans"/>
              </w:rPr>
              <w:t>本基金将在分析和判断国内外宏观经济形势、市场利率走势、信用利差状况和债券市场供求关系等因素的基础上，动态调整组合久期和债券的结构，并通过自下而上精选债券，获取稳定的投资收益。</w:t>
            </w:r>
            <w:r>
              <w:rPr>
                <w:rFonts w:ascii="宋体" w:hAnsi="宋体" w:hint="eastAsia"/>
                <w:lang w:eastAsia="zh-Hans"/>
              </w:rPr>
              <w:b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w:t>
            </w:r>
            <w:r>
              <w:rPr>
                <w:rFonts w:ascii="宋体" w:hAnsi="宋体" w:hint="eastAsia"/>
                <w:lang w:eastAsia="zh-Hans"/>
              </w:rPr>
              <w:lastRenderedPageBreak/>
              <w:t>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4、信用债（含资产支持证券）投资策略</w:t>
            </w:r>
            <w:r>
              <w:rPr>
                <w:rFonts w:ascii="宋体" w:hAnsi="宋体" w:hint="eastAsia"/>
                <w:lang w:eastAsia="zh-Hans"/>
              </w:rPr>
              <w:br/>
              <w:t>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r>
              <w:rPr>
                <w:rFonts w:ascii="宋体" w:hAnsi="宋体" w:hint="eastAsia"/>
                <w:lang w:eastAsia="zh-Hans"/>
              </w:rPr>
              <w:br/>
              <w:t>5、信用衍生品投资策略</w:t>
            </w:r>
            <w:r>
              <w:rPr>
                <w:rFonts w:ascii="宋体" w:hAnsi="宋体" w:hint="eastAsia"/>
                <w:lang w:eastAsia="zh-Hans"/>
              </w:rPr>
              <w:br/>
              <w:t>本基金按照风险管理原则，以风险对冲为目的，参与信用衍生品交易。本基金将根据所持标的债券等固定收益品种的投资策略，审慎开展信用衍生品投资，合理确定信用衍生品的投资金额、期限以及信用风险敞口等。</w:t>
            </w:r>
            <w:r>
              <w:rPr>
                <w:rFonts w:ascii="宋体" w:hAnsi="宋体" w:hint="eastAsia"/>
                <w:lang w:eastAsia="zh-Hans"/>
              </w:rPr>
              <w:br/>
              <w:t>6、其他投资策略</w:t>
            </w:r>
            <w:r>
              <w:rPr>
                <w:rFonts w:ascii="宋体" w:hAnsi="宋体" w:hint="eastAsia"/>
                <w:lang w:eastAsia="zh-Hans"/>
              </w:rPr>
              <w:br/>
              <w:t>包括：回购策略、国债期货投资策略</w:t>
            </w:r>
          </w:p>
        </w:tc>
      </w:tr>
      <w:tr w:rsidR="003619F7" w14:paraId="198DC3A4"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1C3AF3" w14:textId="77777777" w:rsidR="00BB7FB6" w:rsidRDefault="00BB7FB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0E8192" w14:textId="77777777" w:rsidR="00BB7FB6" w:rsidRDefault="00BB7FB6">
            <w:pPr>
              <w:jc w:val="left"/>
            </w:pPr>
            <w:r>
              <w:rPr>
                <w:rFonts w:ascii="宋体" w:hAnsi="宋体" w:hint="eastAsia"/>
                <w:lang w:eastAsia="zh-Hans"/>
              </w:rPr>
              <w:t>中债综合全价（总值）指数收益率*90%+一年期定期存款基准利率（税后）*10%</w:t>
            </w:r>
          </w:p>
        </w:tc>
      </w:tr>
      <w:tr w:rsidR="003619F7" w14:paraId="23695B74"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9718F5" w14:textId="77777777" w:rsidR="00BB7FB6" w:rsidRDefault="00BB7FB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A5598E" w14:textId="77777777" w:rsidR="00BB7FB6" w:rsidRDefault="00BB7FB6">
            <w:pPr>
              <w:jc w:val="left"/>
            </w:pPr>
            <w:r>
              <w:rPr>
                <w:rFonts w:ascii="宋体" w:hAnsi="宋体" w:hint="eastAsia"/>
                <w:lang w:eastAsia="zh-Hans"/>
              </w:rPr>
              <w:t>本基金为债券型基金，一般而言，其长期平均风险和预期收益率低于股票型基金、混合型基金，高于货币市场基金。</w:t>
            </w:r>
          </w:p>
        </w:tc>
      </w:tr>
      <w:tr w:rsidR="003619F7" w14:paraId="0047EABD"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E633D4" w14:textId="77777777" w:rsidR="00BB7FB6" w:rsidRDefault="00BB7FB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5F18D1" w14:textId="77777777" w:rsidR="00BB7FB6" w:rsidRDefault="00BB7FB6">
            <w:pPr>
              <w:jc w:val="left"/>
            </w:pPr>
            <w:r>
              <w:rPr>
                <w:rFonts w:ascii="宋体" w:hAnsi="宋体" w:hint="eastAsia"/>
                <w:lang w:eastAsia="zh-Hans"/>
              </w:rPr>
              <w:t>摩根基金管理（中国）有限公司</w:t>
            </w:r>
          </w:p>
        </w:tc>
      </w:tr>
      <w:tr w:rsidR="003619F7" w14:paraId="1ECAFFAD" w14:textId="77777777">
        <w:trPr>
          <w:divId w:val="203688167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04FBD9" w14:textId="77777777" w:rsidR="00BB7FB6" w:rsidRDefault="00BB7FB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3E8D98" w14:textId="77777777" w:rsidR="00BB7FB6" w:rsidRDefault="00BB7FB6">
            <w:pPr>
              <w:jc w:val="left"/>
            </w:pPr>
            <w:r>
              <w:rPr>
                <w:rFonts w:ascii="宋体" w:hAnsi="宋体" w:hint="eastAsia"/>
                <w:lang w:eastAsia="zh-Hans"/>
              </w:rPr>
              <w:t>兴业证券股份有限公司</w:t>
            </w:r>
          </w:p>
        </w:tc>
      </w:tr>
      <w:tr w:rsidR="003619F7" w14:paraId="15BF0163" w14:textId="77777777">
        <w:trPr>
          <w:divId w:val="203688167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BF4246" w14:textId="77777777" w:rsidR="00BB7FB6" w:rsidRDefault="00BB7FB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5E5AA4" w14:textId="77777777" w:rsidR="00BB7FB6" w:rsidRDefault="00BB7FB6">
            <w:pPr>
              <w:jc w:val="center"/>
            </w:pPr>
            <w:r>
              <w:rPr>
                <w:rFonts w:ascii="宋体" w:hAnsi="宋体" w:hint="eastAsia"/>
                <w:lang w:eastAsia="zh-Hans"/>
              </w:rPr>
              <w:t>摩根60天持有期债券A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EC7E593" w14:textId="77777777" w:rsidR="00BB7FB6" w:rsidRDefault="00BB7FB6">
            <w:pPr>
              <w:jc w:val="center"/>
            </w:pPr>
            <w:r>
              <w:rPr>
                <w:rFonts w:ascii="宋体" w:hAnsi="宋体" w:hint="eastAsia"/>
                <w:lang w:eastAsia="zh-Hans"/>
              </w:rPr>
              <w:t>摩根60天持有期债券C</w:t>
            </w:r>
            <w:r>
              <w:rPr>
                <w:rFonts w:ascii="宋体" w:hAnsi="宋体" w:hint="eastAsia"/>
                <w:kern w:val="0"/>
                <w:sz w:val="20"/>
                <w:lang w:eastAsia="zh-Hans"/>
              </w:rPr>
              <w:t xml:space="preserve"> </w:t>
            </w:r>
          </w:p>
        </w:tc>
      </w:tr>
      <w:tr w:rsidR="003619F7" w14:paraId="1E480239" w14:textId="77777777">
        <w:trPr>
          <w:divId w:val="203688167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A4F1AE" w14:textId="77777777" w:rsidR="00BB7FB6" w:rsidRDefault="00BB7FB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D87B52" w14:textId="77777777" w:rsidR="00BB7FB6" w:rsidRDefault="00BB7FB6">
            <w:pPr>
              <w:jc w:val="center"/>
            </w:pPr>
            <w:r>
              <w:rPr>
                <w:rFonts w:ascii="宋体" w:hAnsi="宋体" w:hint="eastAsia"/>
                <w:lang w:eastAsia="zh-Hans"/>
              </w:rPr>
              <w:t>023528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FF432" w14:textId="77777777" w:rsidR="00BB7FB6" w:rsidRDefault="00BB7FB6">
            <w:pPr>
              <w:jc w:val="center"/>
            </w:pPr>
            <w:r>
              <w:rPr>
                <w:rFonts w:ascii="宋体" w:hAnsi="宋体" w:hint="eastAsia"/>
                <w:lang w:eastAsia="zh-Hans"/>
              </w:rPr>
              <w:t>023529</w:t>
            </w:r>
            <w:r>
              <w:rPr>
                <w:rFonts w:ascii="宋体" w:hAnsi="宋体" w:hint="eastAsia"/>
                <w:kern w:val="0"/>
                <w:sz w:val="20"/>
                <w:lang w:eastAsia="zh-Hans"/>
              </w:rPr>
              <w:t xml:space="preserve"> </w:t>
            </w:r>
          </w:p>
        </w:tc>
      </w:tr>
      <w:bookmarkEnd w:id="33"/>
      <w:bookmarkEnd w:id="32"/>
      <w:tr w:rsidR="003619F7" w14:paraId="0E434625" w14:textId="77777777">
        <w:trPr>
          <w:divId w:val="203688167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8A194D" w14:textId="77777777" w:rsidR="00BB7FB6" w:rsidRDefault="00BB7FB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97B96" w14:textId="77777777" w:rsidR="00BB7FB6" w:rsidRDefault="00BB7FB6">
            <w:pPr>
              <w:jc w:val="center"/>
            </w:pPr>
            <w:r>
              <w:rPr>
                <w:rFonts w:ascii="宋体" w:hAnsi="宋体" w:hint="eastAsia"/>
                <w:lang w:eastAsia="zh-Hans"/>
              </w:rPr>
              <w:t>8,846,834.09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6F072" w14:textId="77777777" w:rsidR="00BB7FB6" w:rsidRDefault="00BB7FB6">
            <w:pPr>
              <w:jc w:val="center"/>
            </w:pPr>
            <w:r>
              <w:rPr>
                <w:rFonts w:ascii="宋体" w:hAnsi="宋体" w:hint="eastAsia"/>
                <w:lang w:eastAsia="zh-Hans"/>
              </w:rPr>
              <w:t>39,334,752.49</w:t>
            </w:r>
            <w:r>
              <w:rPr>
                <w:rFonts w:hint="eastAsia"/>
              </w:rPr>
              <w:t>份</w:t>
            </w:r>
            <w:r>
              <w:rPr>
                <w:rFonts w:ascii="宋体" w:hAnsi="宋体" w:hint="eastAsia"/>
                <w:lang w:eastAsia="zh-Hans"/>
              </w:rPr>
              <w:t xml:space="preserve"> </w:t>
            </w:r>
          </w:p>
        </w:tc>
      </w:tr>
    </w:tbl>
    <w:p w14:paraId="45E6AF51" w14:textId="77777777" w:rsidR="00BB7FB6" w:rsidRDefault="00BB7FB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DE080E8" w14:textId="77777777" w:rsidR="00BB7FB6" w:rsidRDefault="00BB7FB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lastRenderedPageBreak/>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8BE0CE2" w14:textId="77777777" w:rsidR="00BB7FB6" w:rsidRDefault="00BB7FB6">
      <w:pPr>
        <w:jc w:val="right"/>
        <w:divId w:val="208275233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3619F7" w14:paraId="3A68FB92" w14:textId="77777777">
        <w:trPr>
          <w:divId w:val="208275233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E013AAD" w14:textId="77777777" w:rsidR="00BB7FB6" w:rsidRDefault="00BB7FB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034F35C" w14:textId="77777777" w:rsidR="00BB7FB6" w:rsidRDefault="00BB7FB6">
            <w:pPr>
              <w:pStyle w:val="a5"/>
              <w:jc w:val="center"/>
              <w:rPr>
                <w:rFonts w:hint="eastAsia"/>
              </w:rPr>
            </w:pPr>
            <w:r>
              <w:rPr>
                <w:rFonts w:hint="eastAsia"/>
                <w:kern w:val="2"/>
                <w:sz w:val="21"/>
                <w:szCs w:val="24"/>
                <w:lang w:eastAsia="zh-Hans"/>
              </w:rPr>
              <w:t xml:space="preserve">报告期（2025年7月1日 - 2025年9月30日） </w:t>
            </w:r>
          </w:p>
        </w:tc>
      </w:tr>
      <w:tr w:rsidR="003619F7" w14:paraId="39D77B0B" w14:textId="77777777">
        <w:trPr>
          <w:divId w:val="208275233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7E049" w14:textId="77777777" w:rsidR="00BB7FB6" w:rsidRDefault="00BB7FB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FB43EF7" w14:textId="77777777" w:rsidR="00BB7FB6" w:rsidRDefault="00BB7FB6">
            <w:pPr>
              <w:jc w:val="center"/>
            </w:pPr>
            <w:r>
              <w:rPr>
                <w:rFonts w:ascii="宋体" w:hAnsi="宋体" w:hint="eastAsia"/>
                <w:szCs w:val="24"/>
                <w:lang w:eastAsia="zh-Hans"/>
              </w:rPr>
              <w:t>摩根60天持有期债券A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0E05989" w14:textId="77777777" w:rsidR="00BB7FB6" w:rsidRDefault="00BB7FB6">
            <w:pPr>
              <w:jc w:val="center"/>
            </w:pPr>
            <w:r>
              <w:rPr>
                <w:rFonts w:ascii="宋体" w:hAnsi="宋体" w:hint="eastAsia"/>
                <w:szCs w:val="24"/>
                <w:lang w:eastAsia="zh-Hans"/>
              </w:rPr>
              <w:t>摩根60天持有期债券C</w:t>
            </w:r>
          </w:p>
        </w:tc>
      </w:tr>
      <w:tr w:rsidR="003619F7" w14:paraId="38019EFA" w14:textId="77777777">
        <w:trPr>
          <w:divId w:val="20827523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981729" w14:textId="77777777" w:rsidR="00BB7FB6" w:rsidRDefault="00BB7FB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BD4DBE" w14:textId="77777777" w:rsidR="00BB7FB6" w:rsidRDefault="00BB7FB6">
            <w:pPr>
              <w:jc w:val="right"/>
            </w:pPr>
            <w:r>
              <w:rPr>
                <w:rFonts w:ascii="宋体" w:hAnsi="宋体" w:hint="eastAsia"/>
                <w:szCs w:val="24"/>
                <w:lang w:eastAsia="zh-Hans"/>
              </w:rPr>
              <w:t>79,909.29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5C67AA" w14:textId="77777777" w:rsidR="00BB7FB6" w:rsidRDefault="00BB7FB6">
            <w:pPr>
              <w:jc w:val="right"/>
            </w:pPr>
            <w:r>
              <w:rPr>
                <w:rFonts w:ascii="宋体" w:hAnsi="宋体" w:hint="eastAsia"/>
                <w:szCs w:val="24"/>
                <w:lang w:eastAsia="zh-Hans"/>
              </w:rPr>
              <w:t>354,016.66</w:t>
            </w:r>
          </w:p>
        </w:tc>
      </w:tr>
      <w:tr w:rsidR="003619F7" w14:paraId="17ED72E6" w14:textId="77777777">
        <w:trPr>
          <w:divId w:val="20827523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3CBBD5" w14:textId="77777777" w:rsidR="00BB7FB6" w:rsidRDefault="00BB7FB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FE9A26" w14:textId="77777777" w:rsidR="00BB7FB6" w:rsidRDefault="00BB7FB6">
            <w:pPr>
              <w:jc w:val="right"/>
            </w:pPr>
            <w:r>
              <w:rPr>
                <w:rFonts w:ascii="宋体" w:hAnsi="宋体" w:hint="eastAsia"/>
                <w:szCs w:val="24"/>
                <w:lang w:eastAsia="zh-Hans"/>
              </w:rPr>
              <w:t>82,233.03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6C4706" w14:textId="77777777" w:rsidR="00BB7FB6" w:rsidRDefault="00BB7FB6">
            <w:pPr>
              <w:jc w:val="right"/>
            </w:pPr>
            <w:r>
              <w:rPr>
                <w:rFonts w:ascii="宋体" w:hAnsi="宋体" w:hint="eastAsia"/>
                <w:szCs w:val="24"/>
                <w:lang w:eastAsia="zh-Hans"/>
              </w:rPr>
              <w:t>342,716.42</w:t>
            </w:r>
          </w:p>
        </w:tc>
      </w:tr>
      <w:tr w:rsidR="003619F7" w14:paraId="35871A37" w14:textId="77777777">
        <w:trPr>
          <w:divId w:val="20827523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5D9123" w14:textId="77777777" w:rsidR="00BB7FB6" w:rsidRDefault="00BB7FB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95AC4E" w14:textId="77777777" w:rsidR="00BB7FB6" w:rsidRDefault="00BB7FB6">
            <w:pPr>
              <w:jc w:val="right"/>
            </w:pPr>
            <w:r>
              <w:rPr>
                <w:rFonts w:ascii="宋体" w:hAnsi="宋体" w:hint="eastAsia"/>
                <w:szCs w:val="24"/>
                <w:lang w:eastAsia="zh-Hans"/>
              </w:rPr>
              <w:t>0.0051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FFF5D7" w14:textId="77777777" w:rsidR="00BB7FB6" w:rsidRDefault="00BB7FB6">
            <w:pPr>
              <w:jc w:val="right"/>
            </w:pPr>
            <w:r>
              <w:rPr>
                <w:rFonts w:ascii="宋体" w:hAnsi="宋体" w:hint="eastAsia"/>
                <w:szCs w:val="24"/>
                <w:lang w:eastAsia="zh-Hans"/>
              </w:rPr>
              <w:t>0.0043</w:t>
            </w:r>
          </w:p>
        </w:tc>
      </w:tr>
      <w:tr w:rsidR="003619F7" w14:paraId="366BBF10" w14:textId="77777777">
        <w:trPr>
          <w:divId w:val="20827523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05730B" w14:textId="77777777" w:rsidR="00BB7FB6" w:rsidRDefault="00BB7FB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1B3647" w14:textId="77777777" w:rsidR="00BB7FB6" w:rsidRDefault="00BB7FB6">
            <w:pPr>
              <w:jc w:val="right"/>
            </w:pPr>
            <w:r>
              <w:rPr>
                <w:rFonts w:ascii="宋体" w:hAnsi="宋体" w:hint="eastAsia"/>
                <w:szCs w:val="24"/>
                <w:lang w:eastAsia="zh-Hans"/>
              </w:rPr>
              <w:t>8,940,213.31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FE0DFF" w14:textId="77777777" w:rsidR="00BB7FB6" w:rsidRDefault="00BB7FB6">
            <w:pPr>
              <w:jc w:val="right"/>
            </w:pPr>
            <w:r>
              <w:rPr>
                <w:rFonts w:ascii="宋体" w:hAnsi="宋体" w:hint="eastAsia"/>
                <w:szCs w:val="24"/>
                <w:lang w:eastAsia="zh-Hans"/>
              </w:rPr>
              <w:t>39,707,135.18</w:t>
            </w:r>
          </w:p>
        </w:tc>
      </w:tr>
      <w:tr w:rsidR="003619F7" w14:paraId="2F4EF116" w14:textId="77777777">
        <w:trPr>
          <w:divId w:val="20827523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8D90F8" w14:textId="77777777" w:rsidR="00BB7FB6" w:rsidRDefault="00BB7FB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FF50DC" w14:textId="77777777" w:rsidR="00BB7FB6" w:rsidRDefault="00BB7FB6">
            <w:pPr>
              <w:jc w:val="right"/>
            </w:pPr>
            <w:r>
              <w:rPr>
                <w:rFonts w:ascii="宋体" w:hAnsi="宋体" w:hint="eastAsia"/>
                <w:szCs w:val="24"/>
                <w:lang w:eastAsia="zh-Hans"/>
              </w:rPr>
              <w:t>1.0106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CDEECD" w14:textId="77777777" w:rsidR="00BB7FB6" w:rsidRDefault="00BB7FB6">
            <w:pPr>
              <w:jc w:val="right"/>
            </w:pPr>
            <w:r>
              <w:rPr>
                <w:rFonts w:ascii="宋体" w:hAnsi="宋体" w:hint="eastAsia"/>
                <w:szCs w:val="24"/>
                <w:lang w:eastAsia="zh-Hans"/>
              </w:rPr>
              <w:t>1.0095</w:t>
            </w:r>
          </w:p>
        </w:tc>
      </w:tr>
    </w:tbl>
    <w:p w14:paraId="02839ED4" w14:textId="77777777" w:rsidR="00BB7FB6" w:rsidRDefault="00BB7FB6">
      <w:pPr>
        <w:wordWrap w:val="0"/>
        <w:spacing w:line="360" w:lineRule="auto"/>
        <w:jc w:val="left"/>
        <w:divId w:val="144526843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E70E996" w14:textId="77777777" w:rsidR="00BB7FB6" w:rsidRDefault="00BB7FB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CBDC64F" w14:textId="77777777" w:rsidR="00BB7FB6" w:rsidRDefault="00BB7FB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76D92A0" w14:textId="77777777" w:rsidR="00BB7FB6" w:rsidRDefault="00BB7FB6">
      <w:pPr>
        <w:spacing w:line="360" w:lineRule="auto"/>
        <w:jc w:val="center"/>
        <w:divId w:val="1124688921"/>
      </w:pPr>
      <w:r>
        <w:rPr>
          <w:rFonts w:ascii="宋体" w:hAnsi="宋体" w:hint="eastAsia"/>
        </w:rPr>
        <w:t>摩根60天持有期债券A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619F7" w14:paraId="7027E6F6" w14:textId="77777777">
        <w:trPr>
          <w:divId w:val="112468892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9EDA5F" w14:textId="77777777" w:rsidR="00BB7FB6" w:rsidRDefault="00BB7FB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2C249C" w14:textId="77777777" w:rsidR="00BB7FB6" w:rsidRDefault="00BB7FB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85540F" w14:textId="77777777" w:rsidR="00BB7FB6" w:rsidRDefault="00BB7FB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F68B27" w14:textId="77777777" w:rsidR="00BB7FB6" w:rsidRDefault="00BB7FB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4550DB" w14:textId="77777777" w:rsidR="00BB7FB6" w:rsidRDefault="00BB7FB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B946F" w14:textId="77777777" w:rsidR="00BB7FB6" w:rsidRDefault="00BB7FB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BA4CF9" w14:textId="77777777" w:rsidR="00BB7FB6" w:rsidRDefault="00BB7FB6">
            <w:pPr>
              <w:spacing w:line="360" w:lineRule="auto"/>
              <w:jc w:val="center"/>
            </w:pPr>
            <w:r>
              <w:rPr>
                <w:rFonts w:ascii="宋体" w:hAnsi="宋体" w:hint="eastAsia"/>
              </w:rPr>
              <w:t xml:space="preserve">②－④ </w:t>
            </w:r>
          </w:p>
        </w:tc>
      </w:tr>
      <w:tr w:rsidR="003619F7" w14:paraId="608BB35F" w14:textId="77777777">
        <w:trPr>
          <w:divId w:val="11246889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46AF8" w14:textId="77777777" w:rsidR="00BB7FB6" w:rsidRDefault="00BB7FB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892D3" w14:textId="77777777" w:rsidR="00BB7FB6" w:rsidRDefault="00BB7FB6">
            <w:pPr>
              <w:spacing w:line="360" w:lineRule="auto"/>
              <w:jc w:val="right"/>
            </w:pPr>
            <w:r>
              <w:rPr>
                <w:rFonts w:ascii="宋体" w:hAnsi="宋体" w:hint="eastAsia"/>
              </w:rPr>
              <w:t xml:space="preserve">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55D41" w14:textId="77777777" w:rsidR="00BB7FB6" w:rsidRDefault="00BB7FB6">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74DB8" w14:textId="77777777" w:rsidR="00BB7FB6" w:rsidRDefault="00BB7FB6">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D7FA5" w14:textId="77777777" w:rsidR="00BB7FB6" w:rsidRDefault="00BB7FB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66BF78" w14:textId="77777777" w:rsidR="00BB7FB6" w:rsidRDefault="00BB7FB6">
            <w:pPr>
              <w:spacing w:line="360" w:lineRule="auto"/>
              <w:jc w:val="right"/>
            </w:pPr>
            <w:r>
              <w:rPr>
                <w:rFonts w:ascii="宋体" w:hAnsi="宋体" w:hint="eastAsia"/>
              </w:rPr>
              <w:t xml:space="preserve">1.89%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C5953" w14:textId="77777777" w:rsidR="00BB7FB6" w:rsidRDefault="00BB7FB6">
            <w:pPr>
              <w:spacing w:line="360" w:lineRule="auto"/>
              <w:jc w:val="right"/>
            </w:pPr>
            <w:r>
              <w:rPr>
                <w:rFonts w:ascii="宋体" w:hAnsi="宋体" w:hint="eastAsia"/>
              </w:rPr>
              <w:t xml:space="preserve">-0.04% </w:t>
            </w:r>
          </w:p>
        </w:tc>
      </w:tr>
      <w:tr w:rsidR="003619F7" w14:paraId="5F023B2D" w14:textId="77777777">
        <w:trPr>
          <w:divId w:val="11246889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D24C4" w14:textId="77777777" w:rsidR="00BB7FB6" w:rsidRDefault="00BB7FB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86A90" w14:textId="77777777" w:rsidR="00BB7FB6" w:rsidRDefault="00BB7FB6">
            <w:pPr>
              <w:spacing w:line="360" w:lineRule="auto"/>
              <w:jc w:val="right"/>
            </w:pPr>
            <w:r>
              <w:rPr>
                <w:rFonts w:ascii="宋体" w:hAnsi="宋体" w:hint="eastAsia"/>
              </w:rPr>
              <w:t xml:space="preserve">1.04%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CFDB7" w14:textId="77777777" w:rsidR="00BB7FB6" w:rsidRDefault="00BB7FB6">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E226E" w14:textId="77777777" w:rsidR="00BB7FB6" w:rsidRDefault="00BB7FB6">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BC4B5" w14:textId="77777777" w:rsidR="00BB7FB6" w:rsidRDefault="00BB7FB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A61910" w14:textId="77777777" w:rsidR="00BB7FB6" w:rsidRDefault="00BB7FB6">
            <w:pPr>
              <w:spacing w:line="360" w:lineRule="auto"/>
              <w:jc w:val="right"/>
            </w:pPr>
            <w:r>
              <w:rPr>
                <w:rFonts w:ascii="宋体" w:hAnsi="宋体" w:hint="eastAsia"/>
              </w:rPr>
              <w:t xml:space="preserve">1.37%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C5553" w14:textId="77777777" w:rsidR="00BB7FB6" w:rsidRDefault="00BB7FB6">
            <w:pPr>
              <w:spacing w:line="360" w:lineRule="auto"/>
              <w:jc w:val="right"/>
            </w:pPr>
            <w:r>
              <w:rPr>
                <w:rFonts w:ascii="宋体" w:hAnsi="宋体" w:hint="eastAsia"/>
              </w:rPr>
              <w:t xml:space="preserve">-0.06% </w:t>
            </w:r>
          </w:p>
        </w:tc>
      </w:tr>
      <w:tr w:rsidR="003619F7" w14:paraId="4C3541D6" w14:textId="77777777">
        <w:trPr>
          <w:divId w:val="11246889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50802" w14:textId="77777777" w:rsidR="00BB7FB6" w:rsidRDefault="00BB7FB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12CB0" w14:textId="77777777" w:rsidR="00BB7FB6" w:rsidRDefault="00BB7FB6">
            <w:pPr>
              <w:spacing w:line="360" w:lineRule="auto"/>
              <w:jc w:val="right"/>
            </w:pPr>
            <w:r>
              <w:rPr>
                <w:rFonts w:ascii="宋体" w:hAnsi="宋体" w:hint="eastAsia"/>
              </w:rPr>
              <w:t xml:space="preserve">1.06%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C2E70" w14:textId="77777777" w:rsidR="00BB7FB6" w:rsidRDefault="00BB7FB6">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E31A3" w14:textId="77777777" w:rsidR="00BB7FB6" w:rsidRDefault="00BB7FB6">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327D7" w14:textId="77777777" w:rsidR="00BB7FB6" w:rsidRDefault="00BB7FB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BC239E" w14:textId="77777777" w:rsidR="00BB7FB6" w:rsidRDefault="00BB7FB6">
            <w:pPr>
              <w:spacing w:line="360" w:lineRule="auto"/>
              <w:jc w:val="right"/>
            </w:pPr>
            <w:r>
              <w:rPr>
                <w:rFonts w:ascii="宋体" w:hAnsi="宋体" w:hint="eastAsia"/>
              </w:rPr>
              <w:t xml:space="preserve">1.37%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F4D4C" w14:textId="77777777" w:rsidR="00BB7FB6" w:rsidRDefault="00BB7FB6">
            <w:pPr>
              <w:spacing w:line="360" w:lineRule="auto"/>
              <w:jc w:val="right"/>
            </w:pPr>
            <w:r>
              <w:rPr>
                <w:rFonts w:ascii="宋体" w:hAnsi="宋体" w:hint="eastAsia"/>
              </w:rPr>
              <w:t xml:space="preserve">-0.06% </w:t>
            </w:r>
          </w:p>
        </w:tc>
      </w:tr>
    </w:tbl>
    <w:p w14:paraId="322B97CB" w14:textId="77777777" w:rsidR="00BB7FB6" w:rsidRDefault="00BB7FB6">
      <w:pPr>
        <w:spacing w:line="360" w:lineRule="auto"/>
        <w:jc w:val="center"/>
        <w:divId w:val="1700549843"/>
      </w:pPr>
      <w:r>
        <w:rPr>
          <w:rFonts w:ascii="宋体" w:hAnsi="宋体" w:hint="eastAsia"/>
        </w:rPr>
        <w:t>摩根60天持有期债券C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619F7" w14:paraId="752FE330" w14:textId="77777777">
        <w:trPr>
          <w:divId w:val="170054984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6B138C" w14:textId="77777777" w:rsidR="00BB7FB6" w:rsidRDefault="00BB7FB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D9C2AB" w14:textId="77777777" w:rsidR="00BB7FB6" w:rsidRDefault="00BB7FB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0DE7AD" w14:textId="77777777" w:rsidR="00BB7FB6" w:rsidRDefault="00BB7FB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7D8B40" w14:textId="77777777" w:rsidR="00BB7FB6" w:rsidRDefault="00BB7FB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53E0F4" w14:textId="77777777" w:rsidR="00BB7FB6" w:rsidRDefault="00BB7FB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E9DBCA" w14:textId="77777777" w:rsidR="00BB7FB6" w:rsidRDefault="00BB7FB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A1A47C" w14:textId="77777777" w:rsidR="00BB7FB6" w:rsidRDefault="00BB7FB6">
            <w:pPr>
              <w:spacing w:line="360" w:lineRule="auto"/>
              <w:jc w:val="center"/>
            </w:pPr>
            <w:r>
              <w:rPr>
                <w:rFonts w:ascii="宋体" w:hAnsi="宋体" w:hint="eastAsia"/>
              </w:rPr>
              <w:t xml:space="preserve">②－④ </w:t>
            </w:r>
          </w:p>
        </w:tc>
      </w:tr>
      <w:tr w:rsidR="003619F7" w14:paraId="5B2C28DC" w14:textId="77777777">
        <w:trPr>
          <w:divId w:val="17005498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BA6D7" w14:textId="77777777" w:rsidR="00BB7FB6" w:rsidRDefault="00BB7FB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C706E" w14:textId="77777777" w:rsidR="00BB7FB6" w:rsidRDefault="00BB7FB6">
            <w:pPr>
              <w:spacing w:line="360" w:lineRule="auto"/>
              <w:jc w:val="right"/>
            </w:pPr>
            <w:r>
              <w:rPr>
                <w:rFonts w:ascii="宋体" w:hAnsi="宋体" w:hint="eastAsia"/>
              </w:rPr>
              <w:t xml:space="preserve">0.53%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1FC23" w14:textId="77777777" w:rsidR="00BB7FB6" w:rsidRDefault="00BB7FB6">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28BD4" w14:textId="77777777" w:rsidR="00BB7FB6" w:rsidRDefault="00BB7FB6">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B17F0" w14:textId="77777777" w:rsidR="00BB7FB6" w:rsidRDefault="00BB7FB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221673" w14:textId="77777777" w:rsidR="00BB7FB6" w:rsidRDefault="00BB7FB6">
            <w:pPr>
              <w:spacing w:line="360" w:lineRule="auto"/>
              <w:jc w:val="right"/>
            </w:pPr>
            <w:r>
              <w:rPr>
                <w:rFonts w:ascii="宋体" w:hAnsi="宋体" w:hint="eastAsia"/>
              </w:rPr>
              <w:t xml:space="preserve">1.84%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3FF76" w14:textId="77777777" w:rsidR="00BB7FB6" w:rsidRDefault="00BB7FB6">
            <w:pPr>
              <w:spacing w:line="360" w:lineRule="auto"/>
              <w:jc w:val="right"/>
            </w:pPr>
            <w:r>
              <w:rPr>
                <w:rFonts w:ascii="宋体" w:hAnsi="宋体" w:hint="eastAsia"/>
              </w:rPr>
              <w:t xml:space="preserve">-0.04% </w:t>
            </w:r>
          </w:p>
        </w:tc>
      </w:tr>
      <w:tr w:rsidR="003619F7" w14:paraId="08D5DCF1" w14:textId="77777777">
        <w:trPr>
          <w:divId w:val="17005498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85557" w14:textId="77777777" w:rsidR="00BB7FB6" w:rsidRDefault="00BB7FB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EC724" w14:textId="77777777" w:rsidR="00BB7FB6" w:rsidRDefault="00BB7FB6">
            <w:pPr>
              <w:spacing w:line="360" w:lineRule="auto"/>
              <w:jc w:val="right"/>
            </w:pPr>
            <w:r>
              <w:rPr>
                <w:rFonts w:ascii="宋体" w:hAnsi="宋体" w:hint="eastAsia"/>
              </w:rPr>
              <w:t xml:space="preserve">0.93%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A966F" w14:textId="77777777" w:rsidR="00BB7FB6" w:rsidRDefault="00BB7FB6">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9D873" w14:textId="77777777" w:rsidR="00BB7FB6" w:rsidRDefault="00BB7FB6">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16921" w14:textId="77777777" w:rsidR="00BB7FB6" w:rsidRDefault="00BB7FB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9AD70E" w14:textId="77777777" w:rsidR="00BB7FB6" w:rsidRDefault="00BB7FB6">
            <w:pPr>
              <w:spacing w:line="360" w:lineRule="auto"/>
              <w:jc w:val="right"/>
            </w:pPr>
            <w:r>
              <w:rPr>
                <w:rFonts w:ascii="宋体" w:hAnsi="宋体" w:hint="eastAsia"/>
              </w:rPr>
              <w:t xml:space="preserve">1.26%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8F32D" w14:textId="77777777" w:rsidR="00BB7FB6" w:rsidRDefault="00BB7FB6">
            <w:pPr>
              <w:spacing w:line="360" w:lineRule="auto"/>
              <w:jc w:val="right"/>
            </w:pPr>
            <w:r>
              <w:rPr>
                <w:rFonts w:ascii="宋体" w:hAnsi="宋体" w:hint="eastAsia"/>
              </w:rPr>
              <w:t xml:space="preserve">-0.06% </w:t>
            </w:r>
          </w:p>
        </w:tc>
      </w:tr>
      <w:tr w:rsidR="003619F7" w14:paraId="7DA9CAAD" w14:textId="77777777">
        <w:trPr>
          <w:divId w:val="17005498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9C9FE" w14:textId="77777777" w:rsidR="00BB7FB6" w:rsidRDefault="00BB7FB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6D0D8" w14:textId="77777777" w:rsidR="00BB7FB6" w:rsidRDefault="00BB7FB6">
            <w:pPr>
              <w:spacing w:line="360" w:lineRule="auto"/>
              <w:jc w:val="right"/>
            </w:pPr>
            <w:r>
              <w:rPr>
                <w:rFonts w:ascii="宋体" w:hAnsi="宋体" w:hint="eastAsia"/>
              </w:rPr>
              <w:t xml:space="preserve">0.95%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6B174" w14:textId="77777777" w:rsidR="00BB7FB6" w:rsidRDefault="00BB7FB6">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297D1" w14:textId="77777777" w:rsidR="00BB7FB6" w:rsidRDefault="00BB7FB6">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6FD41" w14:textId="77777777" w:rsidR="00BB7FB6" w:rsidRDefault="00BB7FB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8E4F4D" w14:textId="77777777" w:rsidR="00BB7FB6" w:rsidRDefault="00BB7FB6">
            <w:pPr>
              <w:spacing w:line="360" w:lineRule="auto"/>
              <w:jc w:val="right"/>
            </w:pPr>
            <w:r>
              <w:rPr>
                <w:rFonts w:ascii="宋体" w:hAnsi="宋体" w:hint="eastAsia"/>
              </w:rPr>
              <w:t xml:space="preserve">1.26%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508A8" w14:textId="77777777" w:rsidR="00BB7FB6" w:rsidRDefault="00BB7FB6">
            <w:pPr>
              <w:spacing w:line="360" w:lineRule="auto"/>
              <w:jc w:val="right"/>
            </w:pPr>
            <w:r>
              <w:rPr>
                <w:rFonts w:ascii="宋体" w:hAnsi="宋体" w:hint="eastAsia"/>
              </w:rPr>
              <w:t xml:space="preserve">-0.06% </w:t>
            </w:r>
          </w:p>
        </w:tc>
      </w:tr>
    </w:tbl>
    <w:p w14:paraId="75D15125" w14:textId="77777777" w:rsidR="00BB7FB6" w:rsidRDefault="00BB7FB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roofErr w:type="spellEnd"/>
    </w:p>
    <w:p w14:paraId="7A22F3D8" w14:textId="77777777" w:rsidR="00BB7FB6" w:rsidRDefault="00BB7FB6">
      <w:pPr>
        <w:spacing w:line="360" w:lineRule="auto"/>
        <w:jc w:val="left"/>
        <w:divId w:val="463545006"/>
      </w:pPr>
      <w:bookmarkStart w:id="70" w:name="m07_04_07_09"/>
      <w:bookmarkStart w:id="71" w:name="m07_04_07_09_tab"/>
      <w:r>
        <w:rPr>
          <w:rFonts w:ascii="宋体" w:hAnsi="宋体" w:hint="eastAsia"/>
          <w:noProof/>
        </w:rPr>
        <w:drawing>
          <wp:inline distT="0" distB="0" distL="0" distR="0" wp14:anchorId="390F9464" wp14:editId="25BC81D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9F1ABF7" w14:textId="77777777" w:rsidR="00BB7FB6" w:rsidRDefault="00BB7FB6">
      <w:pPr>
        <w:spacing w:line="360" w:lineRule="auto"/>
        <w:jc w:val="left"/>
        <w:divId w:val="1858690909"/>
      </w:pPr>
      <w:r>
        <w:rPr>
          <w:rFonts w:ascii="宋体" w:hAnsi="宋体" w:hint="eastAsia"/>
          <w:noProof/>
        </w:rPr>
        <w:drawing>
          <wp:inline distT="0" distB="0" distL="0" distR="0" wp14:anchorId="4BCCFF53" wp14:editId="126BE92C">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75EFE5E" w14:textId="459CC7DC" w:rsidR="00BB7FB6" w:rsidRDefault="00BB7FB6">
      <w:pPr>
        <w:spacing w:line="360" w:lineRule="auto"/>
      </w:pPr>
      <w:r>
        <w:rPr>
          <w:rFonts w:ascii="宋体" w:hAnsi="宋体" w:hint="eastAsia"/>
        </w:rPr>
        <w:t>注：</w:t>
      </w:r>
      <w:r>
        <w:rPr>
          <w:rFonts w:ascii="宋体" w:hAnsi="宋体" w:hint="eastAsia"/>
          <w:lang w:eastAsia="zh-Hans"/>
        </w:rPr>
        <w:t>本基金合同生效日为2025年3月28日，截至本报告期末本基金合同生效未满一年。</w:t>
      </w:r>
      <w:r>
        <w:rPr>
          <w:rFonts w:ascii="宋体" w:hAnsi="宋体" w:hint="eastAsia"/>
          <w:lang w:eastAsia="zh-Hans"/>
        </w:rPr>
        <w:br/>
        <w:t xml:space="preserve">　　本基金建仓期为本基金合同生效日起 6 个月，</w:t>
      </w:r>
      <w:r w:rsidR="00B1737A">
        <w:rPr>
          <w:rFonts w:ascii="宋体" w:hAnsi="宋体" w:hint="eastAsia"/>
          <w:lang w:eastAsia="zh-Hans"/>
        </w:rPr>
        <w:t>建仓期结束时资产配置比例符合本基金基金合同规定。</w:t>
      </w:r>
      <w:r>
        <w:rPr>
          <w:rFonts w:ascii="宋体" w:hAnsi="宋体" w:hint="eastAsia"/>
          <w:lang w:eastAsia="zh-Hans"/>
        </w:rPr>
        <w:t>。</w:t>
      </w:r>
      <w:r>
        <w:rPr>
          <w:rFonts w:ascii="宋体" w:hAnsi="宋体" w:hint="eastAsia"/>
          <w:kern w:val="0"/>
          <w:lang w:eastAsia="zh-Hans"/>
        </w:rPr>
        <w:t xml:space="preserve"> </w:t>
      </w:r>
    </w:p>
    <w:p w14:paraId="52513B9B" w14:textId="77777777" w:rsidR="00BB7FB6" w:rsidRDefault="00BB7FB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16892E3" w14:textId="77777777" w:rsidR="00BB7FB6" w:rsidRDefault="00BB7FB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619F7" w14:paraId="2EA6A799" w14:textId="77777777">
        <w:trPr>
          <w:divId w:val="116057907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7BF51" w14:textId="77777777" w:rsidR="00BB7FB6" w:rsidRDefault="00BB7FB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370C0" w14:textId="77777777" w:rsidR="00BB7FB6" w:rsidRDefault="00BB7FB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945FF" w14:textId="77777777" w:rsidR="00BB7FB6" w:rsidRDefault="00BB7FB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F3614" w14:textId="77777777" w:rsidR="00BB7FB6" w:rsidRDefault="00BB7FB6">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A936D" w14:textId="77777777" w:rsidR="00BB7FB6" w:rsidRDefault="00BB7FB6">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3619F7" w14:paraId="630CC3FB" w14:textId="77777777">
        <w:trPr>
          <w:divId w:val="116057907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85ABE" w14:textId="77777777" w:rsidR="00BB7FB6" w:rsidRDefault="00BB7FB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E13C7" w14:textId="77777777" w:rsidR="00BB7FB6" w:rsidRDefault="00BB7FB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96A39" w14:textId="77777777" w:rsidR="00BB7FB6" w:rsidRDefault="00BB7FB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CD7A3" w14:textId="77777777" w:rsidR="00BB7FB6" w:rsidRDefault="00BB7FB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95444" w14:textId="77777777" w:rsidR="00BB7FB6" w:rsidRDefault="00BB7FB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29C8E" w14:textId="77777777" w:rsidR="00BB7FB6" w:rsidRDefault="00BB7FB6">
            <w:pPr>
              <w:widowControl/>
              <w:jc w:val="left"/>
            </w:pPr>
          </w:p>
        </w:tc>
      </w:tr>
      <w:tr w:rsidR="003619F7" w14:paraId="2DCE4547" w14:textId="77777777">
        <w:trPr>
          <w:divId w:val="11605790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77090" w14:textId="77777777" w:rsidR="00BB7FB6" w:rsidRDefault="00BB7FB6">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6323C" w14:textId="77777777" w:rsidR="00BB7FB6" w:rsidRDefault="00BB7FB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1ED42" w14:textId="77777777" w:rsidR="00BB7FB6" w:rsidRDefault="00BB7FB6">
            <w:pPr>
              <w:jc w:val="center"/>
            </w:pPr>
            <w:r>
              <w:rPr>
                <w:rFonts w:ascii="宋体" w:hAnsi="宋体" w:hint="eastAsia"/>
                <w:szCs w:val="24"/>
                <w:lang w:eastAsia="zh-Hans"/>
              </w:rPr>
              <w:t>2025年3月28日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7BF0F" w14:textId="77777777" w:rsidR="00BB7FB6" w:rsidRDefault="00BB7FB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9AA99" w14:textId="77777777" w:rsidR="00BB7FB6" w:rsidRDefault="00BB7FB6">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264B5" w14:textId="77777777" w:rsidR="00BB7FB6" w:rsidRDefault="00BB7FB6">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5D44803F" w14:textId="77777777" w:rsidR="00BB7FB6" w:rsidRDefault="00BB7FB6">
      <w:pPr>
        <w:wordWrap w:val="0"/>
        <w:spacing w:line="360" w:lineRule="auto"/>
        <w:jc w:val="left"/>
        <w:divId w:val="83430065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7F8C75B" w14:textId="77777777" w:rsidR="00BB7FB6" w:rsidRDefault="00BB7FB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E04B911" w14:textId="77777777" w:rsidR="00BB7FB6" w:rsidRDefault="00BB7FB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63C6DD5" w14:textId="77777777" w:rsidR="00BB7FB6" w:rsidRDefault="00BB7FB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74E681C" w14:textId="77777777" w:rsidR="00BB7FB6" w:rsidRDefault="00BB7FB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5FCCAF2" w14:textId="77777777" w:rsidR="00BB7FB6" w:rsidRDefault="00BB7FB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E027869" w14:textId="77777777" w:rsidR="00BB7FB6" w:rsidRDefault="00BB7FB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1FD22D76" w14:textId="77777777" w:rsidR="00BB7FB6" w:rsidRDefault="00BB7FB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D26CF1F" w14:textId="77777777" w:rsidR="00BB7FB6" w:rsidRDefault="00BB7FB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4E4CE80" w14:textId="77777777" w:rsidR="00BB7FB6" w:rsidRDefault="00BB7FB6">
      <w:pPr>
        <w:spacing w:line="360" w:lineRule="auto"/>
        <w:ind w:firstLineChars="200" w:firstLine="420"/>
        <w:jc w:val="left"/>
      </w:pPr>
      <w:r>
        <w:rPr>
          <w:rFonts w:ascii="宋体" w:hAnsi="宋体" w:cs="宋体" w:hint="eastAsia"/>
          <w:color w:val="000000"/>
          <w:kern w:val="0"/>
        </w:rPr>
        <w:t>跨过半年末后，资金面趋于宽松，债市有所修复，但随后权益市场持续强势的表现对债券情绪形成压制，在</w:t>
      </w:r>
      <w:proofErr w:type="gramStart"/>
      <w:r>
        <w:rPr>
          <w:rFonts w:ascii="宋体" w:hAnsi="宋体" w:cs="宋体" w:hint="eastAsia"/>
          <w:color w:val="000000"/>
          <w:kern w:val="0"/>
        </w:rPr>
        <w:t>“</w:t>
      </w:r>
      <w:proofErr w:type="gramEnd"/>
      <w:r>
        <w:rPr>
          <w:rFonts w:ascii="宋体" w:hAnsi="宋体" w:cs="宋体" w:hint="eastAsia"/>
          <w:color w:val="000000"/>
          <w:kern w:val="0"/>
        </w:rPr>
        <w:t>反内卷</w:t>
      </w:r>
      <w:proofErr w:type="gramStart"/>
      <w:r>
        <w:rPr>
          <w:rFonts w:ascii="宋体" w:hAnsi="宋体" w:cs="宋体" w:hint="eastAsia"/>
          <w:color w:val="000000"/>
          <w:kern w:val="0"/>
        </w:rPr>
        <w:t>“</w:t>
      </w:r>
      <w:proofErr w:type="gramEnd"/>
      <w:r>
        <w:rPr>
          <w:rFonts w:ascii="宋体" w:hAnsi="宋体" w:cs="宋体" w:hint="eastAsia"/>
          <w:color w:val="000000"/>
          <w:kern w:val="0"/>
        </w:rPr>
        <w:t>、“雅鲁藏布江水电工程”等政策的助推下，债券收益率明显上行，十年</w:t>
      </w:r>
      <w:proofErr w:type="gramStart"/>
      <w:r>
        <w:rPr>
          <w:rFonts w:ascii="宋体" w:hAnsi="宋体" w:cs="宋体" w:hint="eastAsia"/>
          <w:color w:val="000000"/>
          <w:kern w:val="0"/>
        </w:rPr>
        <w:t>国债月</w:t>
      </w:r>
      <w:proofErr w:type="gramEnd"/>
      <w:r>
        <w:rPr>
          <w:rFonts w:ascii="宋体" w:hAnsi="宋体" w:cs="宋体" w:hint="eastAsia"/>
          <w:color w:val="000000"/>
          <w:kern w:val="0"/>
        </w:rPr>
        <w:t>内上行近10BP。7月末，中美经贸会谈在瑞典举行，就会谈结果看，并无特别超预期事件，短期内的宏观不确定性落地，债市得以喘息，并迎来一波超跌反弹行情。进入8月，虽然经济、金融数据仍难言乐观，资金面方面央行亦较为呵护，整体而言基本面和资金面对债券而言都偏向利好，然而在权益市场的亮眼表现下，债券缺乏做多热情，特别是8月中下旬，权益市场呈现加速向上的迹象，债券市场惯性下跌。9月份，《公开募集证券投资基金销售费用管理规定（征求意见稿）》成为债券市场不确定性的主要因素，市场担忧新</w:t>
      </w:r>
      <w:proofErr w:type="gramStart"/>
      <w:r>
        <w:rPr>
          <w:rFonts w:ascii="宋体" w:hAnsi="宋体" w:cs="宋体" w:hint="eastAsia"/>
          <w:color w:val="000000"/>
          <w:kern w:val="0"/>
        </w:rPr>
        <w:t>规</w:t>
      </w:r>
      <w:proofErr w:type="gramEnd"/>
      <w:r>
        <w:rPr>
          <w:rFonts w:ascii="宋体" w:hAnsi="宋体" w:cs="宋体" w:hint="eastAsia"/>
          <w:color w:val="000000"/>
          <w:kern w:val="0"/>
        </w:rPr>
        <w:t>或通过投资者行为影响债券市场，收益率震荡上行。</w:t>
      </w:r>
      <w:r>
        <w:rPr>
          <w:rFonts w:ascii="宋体" w:hAnsi="宋体" w:cs="宋体" w:hint="eastAsia"/>
          <w:color w:val="000000"/>
          <w:kern w:val="0"/>
        </w:rPr>
        <w:br/>
        <w:t xml:space="preserve">　　本基金在三季度适度降低组合久期，较好抵御了市场调整，同时利用调整机会增加了高票息品种的配置，获得了较为稳健的回报。</w:t>
      </w:r>
      <w:r>
        <w:rPr>
          <w:rFonts w:ascii="宋体" w:hAnsi="宋体" w:cs="宋体" w:hint="eastAsia"/>
          <w:color w:val="000000"/>
          <w:kern w:val="0"/>
        </w:rPr>
        <w:br/>
        <w:t xml:space="preserve">　　三季度以来，股债跷跷板效应明显，但其本质是两类资产的投资者各自对前期的预期进行了修正，故而形成了基本面与市场表现看似脱钩的现象。长期来看，市场定价终将回归基本面，目前的经济及政策环境下，债券趋势性大幅走弱的概率较低。当然对于市场来说，亦有不少潜在的扰动因素，例如中美经贸问题、前述公</w:t>
      </w:r>
      <w:proofErr w:type="gramStart"/>
      <w:r>
        <w:rPr>
          <w:rFonts w:ascii="宋体" w:hAnsi="宋体" w:cs="宋体" w:hint="eastAsia"/>
          <w:color w:val="000000"/>
          <w:kern w:val="0"/>
        </w:rPr>
        <w:t>募基金新规</w:t>
      </w:r>
      <w:proofErr w:type="gramEnd"/>
      <w:r>
        <w:rPr>
          <w:rFonts w:ascii="宋体" w:hAnsi="宋体" w:cs="宋体" w:hint="eastAsia"/>
          <w:color w:val="000000"/>
          <w:kern w:val="0"/>
        </w:rPr>
        <w:t>的最终落地情况等。我们将在把握基本面定价的基础上，结合短期技术面因素及政策和焦点事件演变，灵活调整基金久期，把握债券交易机会。</w:t>
      </w:r>
    </w:p>
    <w:p w14:paraId="48D2D01A" w14:textId="77777777" w:rsidR="00BB7FB6" w:rsidRDefault="00BB7FB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A8659D9" w14:textId="77777777" w:rsidR="00BB7FB6" w:rsidRDefault="00BB7FB6">
      <w:pPr>
        <w:spacing w:line="360" w:lineRule="auto"/>
        <w:ind w:firstLineChars="200" w:firstLine="420"/>
      </w:pPr>
      <w:r>
        <w:rPr>
          <w:rFonts w:ascii="宋体" w:hAnsi="宋体" w:hint="eastAsia"/>
        </w:rPr>
        <w:t>本报告期摩根60天持有期债券A份额净值增长率为：0.58%，同期业绩比较基准收益率为：-1.31%；</w:t>
      </w:r>
      <w:r>
        <w:rPr>
          <w:rFonts w:ascii="宋体" w:hAnsi="宋体" w:hint="eastAsia"/>
        </w:rPr>
        <w:br/>
        <w:t xml:space="preserve">　　摩根60天持有期债券C份额净值增长率为：0.53%，同期业绩比较基准收益率为：-1.31%。</w:t>
      </w:r>
    </w:p>
    <w:p w14:paraId="6F31C2F4" w14:textId="77777777" w:rsidR="00BB7FB6" w:rsidRDefault="00BB7FB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31104C6" w14:textId="77777777" w:rsidR="00BB7FB6" w:rsidRDefault="00BB7FB6">
      <w:pPr>
        <w:spacing w:line="360" w:lineRule="auto"/>
        <w:ind w:firstLineChars="200" w:firstLine="420"/>
        <w:jc w:val="left"/>
      </w:pPr>
      <w:r>
        <w:rPr>
          <w:rFonts w:ascii="宋体" w:hAnsi="宋体" w:hint="eastAsia"/>
        </w:rPr>
        <w:t>无。</w:t>
      </w:r>
    </w:p>
    <w:p w14:paraId="1EF0FCC5" w14:textId="77777777" w:rsidR="00BB7FB6" w:rsidRDefault="00BB7FB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lastRenderedPageBreak/>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E1DC711" w14:textId="77777777" w:rsidR="00BB7FB6" w:rsidRDefault="00BB7FB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619F7" w14:paraId="76E282CF"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AA52C" w14:textId="77777777" w:rsidR="00BB7FB6" w:rsidRDefault="00BB7FB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14F8C8F" w14:textId="77777777" w:rsidR="00BB7FB6" w:rsidRDefault="00BB7FB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3D02249" w14:textId="77777777" w:rsidR="00BB7FB6" w:rsidRDefault="00BB7FB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2C050A5" w14:textId="77777777" w:rsidR="00BB7FB6" w:rsidRDefault="00BB7FB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619F7" w14:paraId="0E3A16D0"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C13A3B" w14:textId="77777777" w:rsidR="00BB7FB6" w:rsidRDefault="00BB7FB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1E3CD2B" w14:textId="77777777" w:rsidR="00BB7FB6" w:rsidRDefault="00BB7FB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429507" w14:textId="77777777" w:rsidR="00BB7FB6" w:rsidRDefault="00BB7F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5C2666" w14:textId="77777777" w:rsidR="00BB7FB6" w:rsidRDefault="00BB7FB6">
            <w:pPr>
              <w:jc w:val="right"/>
            </w:pPr>
            <w:r>
              <w:rPr>
                <w:rFonts w:ascii="宋体" w:hAnsi="宋体" w:hint="eastAsia"/>
                <w:szCs w:val="24"/>
                <w:lang w:eastAsia="zh-Hans"/>
              </w:rPr>
              <w:t>-</w:t>
            </w:r>
          </w:p>
        </w:tc>
      </w:tr>
      <w:tr w:rsidR="003619F7" w14:paraId="17521AE9"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89D17F" w14:textId="77777777" w:rsidR="00BB7FB6" w:rsidRDefault="00BB7FB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36EE38" w14:textId="77777777" w:rsidR="00BB7FB6" w:rsidRDefault="00BB7FB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5DC891" w14:textId="77777777" w:rsidR="00BB7FB6" w:rsidRDefault="00BB7F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E41DA5" w14:textId="77777777" w:rsidR="00BB7FB6" w:rsidRDefault="00BB7FB6">
            <w:pPr>
              <w:jc w:val="right"/>
            </w:pPr>
            <w:r>
              <w:rPr>
                <w:rFonts w:ascii="宋体" w:hAnsi="宋体" w:hint="eastAsia"/>
                <w:szCs w:val="24"/>
                <w:lang w:eastAsia="zh-Hans"/>
              </w:rPr>
              <w:t>-</w:t>
            </w:r>
          </w:p>
        </w:tc>
      </w:tr>
      <w:tr w:rsidR="003619F7" w14:paraId="0776F181"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DF1990" w14:textId="77777777" w:rsidR="00BB7FB6" w:rsidRDefault="00BB7FB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0E476A3" w14:textId="77777777" w:rsidR="00BB7FB6" w:rsidRDefault="00BB7FB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A83670" w14:textId="77777777" w:rsidR="00BB7FB6" w:rsidRDefault="00BB7F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3D3DC1" w14:textId="77777777" w:rsidR="00BB7FB6" w:rsidRDefault="00BB7FB6">
            <w:pPr>
              <w:jc w:val="right"/>
            </w:pPr>
            <w:r>
              <w:rPr>
                <w:rFonts w:ascii="宋体" w:hAnsi="宋体" w:hint="eastAsia"/>
                <w:szCs w:val="24"/>
                <w:lang w:eastAsia="zh-Hans"/>
              </w:rPr>
              <w:t>-</w:t>
            </w:r>
          </w:p>
        </w:tc>
      </w:tr>
      <w:tr w:rsidR="003619F7" w14:paraId="07A5A99C"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1B93EA" w14:textId="77777777" w:rsidR="00BB7FB6" w:rsidRDefault="00BB7FB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065EBC" w14:textId="77777777" w:rsidR="00BB7FB6" w:rsidRDefault="00BB7FB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6D2D56" w14:textId="77777777" w:rsidR="00BB7FB6" w:rsidRDefault="00BB7FB6">
            <w:pPr>
              <w:jc w:val="right"/>
            </w:pPr>
            <w:r>
              <w:rPr>
                <w:rFonts w:ascii="宋体" w:hAnsi="宋体" w:hint="eastAsia"/>
                <w:szCs w:val="24"/>
                <w:lang w:eastAsia="zh-Hans"/>
              </w:rPr>
              <w:t>40,264,768.78</w:t>
            </w:r>
          </w:p>
        </w:tc>
        <w:tc>
          <w:tcPr>
            <w:tcW w:w="1333" w:type="pct"/>
            <w:tcBorders>
              <w:top w:val="single" w:sz="4" w:space="0" w:color="auto"/>
              <w:left w:val="nil"/>
              <w:bottom w:val="single" w:sz="4" w:space="0" w:color="auto"/>
              <w:right w:val="single" w:sz="4" w:space="0" w:color="auto"/>
            </w:tcBorders>
            <w:vAlign w:val="center"/>
            <w:hideMark/>
          </w:tcPr>
          <w:p w14:paraId="2C710A52" w14:textId="77777777" w:rsidR="00BB7FB6" w:rsidRDefault="00BB7FB6">
            <w:pPr>
              <w:jc w:val="right"/>
            </w:pPr>
            <w:r>
              <w:rPr>
                <w:rFonts w:ascii="宋体" w:hAnsi="宋体" w:hint="eastAsia"/>
                <w:szCs w:val="24"/>
                <w:lang w:eastAsia="zh-Hans"/>
              </w:rPr>
              <w:t>58.26</w:t>
            </w:r>
          </w:p>
        </w:tc>
      </w:tr>
      <w:tr w:rsidR="003619F7" w14:paraId="0C44D1F1"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687386" w14:textId="77777777" w:rsidR="00BB7FB6" w:rsidRDefault="00BB7FB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24E22D" w14:textId="77777777" w:rsidR="00BB7FB6" w:rsidRDefault="00BB7FB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05B3FD" w14:textId="77777777" w:rsidR="00BB7FB6" w:rsidRDefault="00BB7FB6">
            <w:pPr>
              <w:jc w:val="right"/>
            </w:pPr>
            <w:r>
              <w:rPr>
                <w:rFonts w:ascii="宋体" w:hAnsi="宋体" w:hint="eastAsia"/>
                <w:szCs w:val="24"/>
                <w:lang w:eastAsia="zh-Hans"/>
              </w:rPr>
              <w:t>40,264,768.78</w:t>
            </w:r>
          </w:p>
        </w:tc>
        <w:tc>
          <w:tcPr>
            <w:tcW w:w="1333" w:type="pct"/>
            <w:tcBorders>
              <w:top w:val="single" w:sz="4" w:space="0" w:color="auto"/>
              <w:left w:val="nil"/>
              <w:bottom w:val="single" w:sz="4" w:space="0" w:color="auto"/>
              <w:right w:val="single" w:sz="4" w:space="0" w:color="auto"/>
            </w:tcBorders>
            <w:vAlign w:val="center"/>
            <w:hideMark/>
          </w:tcPr>
          <w:p w14:paraId="7ED6AA01" w14:textId="77777777" w:rsidR="00BB7FB6" w:rsidRDefault="00BB7FB6">
            <w:pPr>
              <w:jc w:val="right"/>
            </w:pPr>
            <w:r>
              <w:rPr>
                <w:rFonts w:ascii="宋体" w:hAnsi="宋体" w:hint="eastAsia"/>
                <w:szCs w:val="24"/>
                <w:lang w:eastAsia="zh-Hans"/>
              </w:rPr>
              <w:t>58.26</w:t>
            </w:r>
          </w:p>
        </w:tc>
      </w:tr>
      <w:tr w:rsidR="003619F7" w14:paraId="557DA904"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36BB7B" w14:textId="77777777" w:rsidR="00BB7FB6" w:rsidRDefault="00BB7FB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C3289D" w14:textId="77777777" w:rsidR="00BB7FB6" w:rsidRDefault="00BB7FB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F9DB16" w14:textId="77777777" w:rsidR="00BB7FB6" w:rsidRDefault="00BB7F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56C2D9" w14:textId="77777777" w:rsidR="00BB7FB6" w:rsidRDefault="00BB7FB6">
            <w:pPr>
              <w:jc w:val="right"/>
            </w:pPr>
            <w:r>
              <w:rPr>
                <w:rFonts w:ascii="宋体" w:hAnsi="宋体" w:hint="eastAsia"/>
                <w:szCs w:val="24"/>
                <w:lang w:eastAsia="zh-Hans"/>
              </w:rPr>
              <w:t>-</w:t>
            </w:r>
          </w:p>
        </w:tc>
      </w:tr>
      <w:tr w:rsidR="003619F7" w14:paraId="755CB1DC"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C9E269" w14:textId="77777777" w:rsidR="00BB7FB6" w:rsidRDefault="00BB7FB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BFFAC76" w14:textId="77777777" w:rsidR="00BB7FB6" w:rsidRDefault="00BB7FB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880E4C" w14:textId="77777777" w:rsidR="00BB7FB6" w:rsidRDefault="00BB7F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9954F2" w14:textId="77777777" w:rsidR="00BB7FB6" w:rsidRDefault="00BB7FB6">
            <w:pPr>
              <w:jc w:val="right"/>
            </w:pPr>
            <w:r>
              <w:rPr>
                <w:rFonts w:ascii="宋体" w:hAnsi="宋体" w:hint="eastAsia"/>
                <w:szCs w:val="24"/>
                <w:lang w:eastAsia="zh-Hans"/>
              </w:rPr>
              <w:t>-</w:t>
            </w:r>
          </w:p>
        </w:tc>
      </w:tr>
      <w:tr w:rsidR="003619F7" w14:paraId="506BD8F0"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203EFC" w14:textId="77777777" w:rsidR="00BB7FB6" w:rsidRDefault="00BB7FB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01CF8F9" w14:textId="77777777" w:rsidR="00BB7FB6" w:rsidRDefault="00BB7FB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8867D7" w14:textId="77777777" w:rsidR="00BB7FB6" w:rsidRDefault="00BB7F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045CE0" w14:textId="77777777" w:rsidR="00BB7FB6" w:rsidRDefault="00BB7FB6">
            <w:pPr>
              <w:jc w:val="right"/>
            </w:pPr>
            <w:r>
              <w:rPr>
                <w:rFonts w:ascii="宋体" w:hAnsi="宋体" w:hint="eastAsia"/>
                <w:szCs w:val="24"/>
                <w:lang w:eastAsia="zh-Hans"/>
              </w:rPr>
              <w:t>-</w:t>
            </w:r>
          </w:p>
        </w:tc>
      </w:tr>
      <w:tr w:rsidR="003619F7" w14:paraId="42D099C5"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6E47AD" w14:textId="77777777" w:rsidR="00BB7FB6" w:rsidRDefault="00BB7FB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5C0A58B" w14:textId="77777777" w:rsidR="00BB7FB6" w:rsidRDefault="00BB7FB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9B9C56" w14:textId="77777777" w:rsidR="00BB7FB6" w:rsidRDefault="00BB7F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C97D16" w14:textId="77777777" w:rsidR="00BB7FB6" w:rsidRDefault="00BB7FB6">
            <w:pPr>
              <w:jc w:val="right"/>
            </w:pPr>
            <w:r>
              <w:rPr>
                <w:rFonts w:ascii="宋体" w:hAnsi="宋体" w:hint="eastAsia"/>
                <w:szCs w:val="24"/>
                <w:lang w:eastAsia="zh-Hans"/>
              </w:rPr>
              <w:t>-</w:t>
            </w:r>
          </w:p>
        </w:tc>
      </w:tr>
      <w:tr w:rsidR="003619F7" w14:paraId="5C0D9BE7"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A8003E" w14:textId="77777777" w:rsidR="00BB7FB6" w:rsidRDefault="00BB7FB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1E3705" w14:textId="77777777" w:rsidR="00BB7FB6" w:rsidRDefault="00BB7FB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319542" w14:textId="77777777" w:rsidR="00BB7FB6" w:rsidRDefault="00BB7F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37C1AC" w14:textId="77777777" w:rsidR="00BB7FB6" w:rsidRDefault="00BB7FB6">
            <w:pPr>
              <w:jc w:val="right"/>
            </w:pPr>
            <w:r>
              <w:rPr>
                <w:rFonts w:ascii="宋体" w:hAnsi="宋体" w:hint="eastAsia"/>
                <w:szCs w:val="24"/>
                <w:lang w:eastAsia="zh-Hans"/>
              </w:rPr>
              <w:t>-</w:t>
            </w:r>
          </w:p>
        </w:tc>
      </w:tr>
      <w:tr w:rsidR="003619F7" w14:paraId="4C5EB593"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22E482" w14:textId="77777777" w:rsidR="00BB7FB6" w:rsidRDefault="00BB7FB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2A4FECF" w14:textId="77777777" w:rsidR="00BB7FB6" w:rsidRDefault="00BB7FB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D00BCA" w14:textId="77777777" w:rsidR="00BB7FB6" w:rsidRDefault="00BB7FB6">
            <w:pPr>
              <w:jc w:val="right"/>
            </w:pPr>
            <w:r>
              <w:rPr>
                <w:rFonts w:ascii="宋体" w:hAnsi="宋体" w:hint="eastAsia"/>
                <w:szCs w:val="24"/>
                <w:lang w:eastAsia="zh-Hans"/>
              </w:rPr>
              <w:t>28,637,555.25</w:t>
            </w:r>
          </w:p>
        </w:tc>
        <w:tc>
          <w:tcPr>
            <w:tcW w:w="1333" w:type="pct"/>
            <w:tcBorders>
              <w:top w:val="single" w:sz="4" w:space="0" w:color="auto"/>
              <w:left w:val="nil"/>
              <w:bottom w:val="single" w:sz="4" w:space="0" w:color="auto"/>
              <w:right w:val="single" w:sz="4" w:space="0" w:color="auto"/>
            </w:tcBorders>
            <w:vAlign w:val="center"/>
            <w:hideMark/>
          </w:tcPr>
          <w:p w14:paraId="5E610DE3" w14:textId="77777777" w:rsidR="00BB7FB6" w:rsidRDefault="00BB7FB6">
            <w:pPr>
              <w:jc w:val="right"/>
            </w:pPr>
            <w:r>
              <w:rPr>
                <w:rFonts w:ascii="宋体" w:hAnsi="宋体" w:hint="eastAsia"/>
                <w:szCs w:val="24"/>
                <w:lang w:eastAsia="zh-Hans"/>
              </w:rPr>
              <w:t>41.44</w:t>
            </w:r>
          </w:p>
        </w:tc>
      </w:tr>
      <w:tr w:rsidR="003619F7" w14:paraId="6E70E66A"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68A8C2" w14:textId="77777777" w:rsidR="00BB7FB6" w:rsidRDefault="00BB7FB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21F0AF2" w14:textId="77777777" w:rsidR="00BB7FB6" w:rsidRDefault="00BB7FB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F3B20A" w14:textId="77777777" w:rsidR="00BB7FB6" w:rsidRDefault="00BB7FB6">
            <w:pPr>
              <w:jc w:val="right"/>
            </w:pPr>
            <w:r>
              <w:rPr>
                <w:rFonts w:ascii="宋体" w:hAnsi="宋体" w:hint="eastAsia"/>
                <w:szCs w:val="24"/>
                <w:lang w:eastAsia="zh-Hans"/>
              </w:rPr>
              <w:t>207,865.09</w:t>
            </w:r>
          </w:p>
        </w:tc>
        <w:tc>
          <w:tcPr>
            <w:tcW w:w="1333" w:type="pct"/>
            <w:tcBorders>
              <w:top w:val="single" w:sz="4" w:space="0" w:color="auto"/>
              <w:left w:val="nil"/>
              <w:bottom w:val="single" w:sz="4" w:space="0" w:color="auto"/>
              <w:right w:val="single" w:sz="4" w:space="0" w:color="auto"/>
            </w:tcBorders>
            <w:vAlign w:val="center"/>
            <w:hideMark/>
          </w:tcPr>
          <w:p w14:paraId="5F021873" w14:textId="77777777" w:rsidR="00BB7FB6" w:rsidRDefault="00BB7FB6">
            <w:pPr>
              <w:jc w:val="right"/>
            </w:pPr>
            <w:r>
              <w:rPr>
                <w:rFonts w:ascii="宋体" w:hAnsi="宋体" w:hint="eastAsia"/>
                <w:szCs w:val="24"/>
                <w:lang w:eastAsia="zh-Hans"/>
              </w:rPr>
              <w:t>0.30</w:t>
            </w:r>
          </w:p>
        </w:tc>
      </w:tr>
      <w:tr w:rsidR="003619F7" w14:paraId="5FF99467" w14:textId="77777777">
        <w:trPr>
          <w:divId w:val="21110485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446D43" w14:textId="77777777" w:rsidR="00BB7FB6" w:rsidRDefault="00BB7FB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8208DD0" w14:textId="77777777" w:rsidR="00BB7FB6" w:rsidRDefault="00BB7FB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ED42BF" w14:textId="77777777" w:rsidR="00BB7FB6" w:rsidRDefault="00BB7FB6">
            <w:pPr>
              <w:jc w:val="right"/>
            </w:pPr>
            <w:r>
              <w:rPr>
                <w:rFonts w:ascii="宋体" w:hAnsi="宋体" w:hint="eastAsia"/>
                <w:szCs w:val="24"/>
                <w:lang w:eastAsia="zh-Hans"/>
              </w:rPr>
              <w:t>69,110,189.12</w:t>
            </w:r>
          </w:p>
        </w:tc>
        <w:tc>
          <w:tcPr>
            <w:tcW w:w="1333" w:type="pct"/>
            <w:tcBorders>
              <w:top w:val="single" w:sz="4" w:space="0" w:color="auto"/>
              <w:left w:val="nil"/>
              <w:bottom w:val="single" w:sz="4" w:space="0" w:color="auto"/>
              <w:right w:val="single" w:sz="4" w:space="0" w:color="auto"/>
            </w:tcBorders>
            <w:vAlign w:val="center"/>
            <w:hideMark/>
          </w:tcPr>
          <w:p w14:paraId="00267F98" w14:textId="77777777" w:rsidR="00BB7FB6" w:rsidRDefault="00BB7FB6">
            <w:pPr>
              <w:jc w:val="right"/>
            </w:pPr>
            <w:r>
              <w:rPr>
                <w:rFonts w:ascii="宋体" w:hAnsi="宋体" w:hint="eastAsia"/>
                <w:szCs w:val="24"/>
                <w:lang w:eastAsia="zh-Hans"/>
              </w:rPr>
              <w:t>100.00</w:t>
            </w:r>
          </w:p>
        </w:tc>
      </w:tr>
    </w:tbl>
    <w:p w14:paraId="04BF1761" w14:textId="77777777" w:rsidR="00BB7FB6" w:rsidRDefault="00BB7FB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1F08B94" w14:textId="77777777" w:rsidR="00BB7FB6" w:rsidRDefault="00BB7FB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74276E1A" w14:textId="77777777" w:rsidR="00BB7FB6" w:rsidRDefault="00BB7FB6">
      <w:pPr>
        <w:spacing w:line="360" w:lineRule="auto"/>
        <w:ind w:firstLineChars="200" w:firstLine="420"/>
        <w:divId w:val="1008142957"/>
      </w:pPr>
      <w:r>
        <w:rPr>
          <w:rFonts w:ascii="宋体" w:hAnsi="宋体" w:hint="eastAsia"/>
          <w:szCs w:val="21"/>
          <w:lang w:eastAsia="zh-Hans"/>
        </w:rPr>
        <w:t>本基金本报告期末未持有境内股票。</w:t>
      </w:r>
    </w:p>
    <w:p w14:paraId="27B7C446" w14:textId="77777777" w:rsidR="00BB7FB6" w:rsidRDefault="00BB7FB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FF16967" w14:textId="77777777" w:rsidR="00BB7FB6" w:rsidRDefault="00BB7FB6">
      <w:pPr>
        <w:spacing w:line="360" w:lineRule="auto"/>
        <w:ind w:firstLineChars="200" w:firstLine="420"/>
        <w:divId w:val="34042787"/>
      </w:pPr>
      <w:r>
        <w:rPr>
          <w:rFonts w:ascii="宋体" w:hAnsi="宋体" w:hint="eastAsia"/>
          <w:szCs w:val="21"/>
          <w:lang w:eastAsia="zh-Hans"/>
        </w:rPr>
        <w:t>本基金本报告期末未持有港股通股票　。</w:t>
      </w:r>
    </w:p>
    <w:p w14:paraId="7B656231" w14:textId="77777777" w:rsidR="00BB7FB6" w:rsidRDefault="00BB7FB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B74E077" w14:textId="77777777" w:rsidR="00BB7FB6" w:rsidRDefault="00BB7FB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4DD4405F" w14:textId="77777777" w:rsidR="00BB7FB6" w:rsidRDefault="00BB7FB6">
      <w:pPr>
        <w:spacing w:line="360" w:lineRule="auto"/>
        <w:ind w:firstLineChars="200" w:firstLine="420"/>
        <w:jc w:val="left"/>
      </w:pPr>
      <w:r>
        <w:rPr>
          <w:rFonts w:ascii="宋体" w:hAnsi="宋体" w:hint="eastAsia"/>
          <w:color w:val="000000"/>
          <w:szCs w:val="21"/>
          <w:lang w:eastAsia="zh-Hans"/>
        </w:rPr>
        <w:t>本基金本报告期末未持有股票。</w:t>
      </w:r>
    </w:p>
    <w:p w14:paraId="62B66230" w14:textId="77777777" w:rsidR="00BB7FB6" w:rsidRDefault="00BB7FB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619F7" w14:paraId="61DD498A"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1B7F0" w14:textId="77777777" w:rsidR="00BB7FB6" w:rsidRDefault="00BB7FB6">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5A2644" w14:textId="77777777" w:rsidR="00BB7FB6" w:rsidRDefault="00BB7FB6">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7ABB66" w14:textId="77777777" w:rsidR="00BB7FB6" w:rsidRDefault="00BB7FB6">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73F07B" w14:textId="77777777" w:rsidR="00BB7FB6" w:rsidRDefault="00BB7FB6">
            <w:pPr>
              <w:jc w:val="center"/>
            </w:pPr>
            <w:r>
              <w:rPr>
                <w:rFonts w:ascii="宋体" w:hAnsi="宋体" w:hint="eastAsia"/>
                <w:color w:val="000000"/>
              </w:rPr>
              <w:t xml:space="preserve">占基金资产净值比例（%） </w:t>
            </w:r>
          </w:p>
        </w:tc>
      </w:tr>
      <w:tr w:rsidR="003619F7" w14:paraId="3C3E4ED5"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5B2F71" w14:textId="77777777" w:rsidR="00BB7FB6" w:rsidRDefault="00BB7FB6">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237C2A4" w14:textId="77777777" w:rsidR="00BB7FB6" w:rsidRDefault="00BB7FB6">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32D715" w14:textId="77777777" w:rsidR="00BB7FB6" w:rsidRDefault="00BB7FB6">
            <w:pPr>
              <w:jc w:val="right"/>
            </w:pPr>
            <w:r>
              <w:rPr>
                <w:rFonts w:ascii="宋体" w:hAnsi="宋体" w:hint="eastAsia"/>
                <w:szCs w:val="24"/>
                <w:lang w:eastAsia="zh-Hans"/>
              </w:rPr>
              <w:t>14,112,996.72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722D3D" w14:textId="77777777" w:rsidR="00BB7FB6" w:rsidRDefault="00BB7FB6">
            <w:pPr>
              <w:jc w:val="right"/>
            </w:pPr>
            <w:r>
              <w:rPr>
                <w:rFonts w:ascii="宋体" w:hAnsi="宋体" w:hint="eastAsia"/>
                <w:szCs w:val="24"/>
                <w:lang w:eastAsia="zh-Hans"/>
              </w:rPr>
              <w:t>29.01</w:t>
            </w:r>
          </w:p>
        </w:tc>
      </w:tr>
      <w:tr w:rsidR="003619F7" w14:paraId="396C0334"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631AC5" w14:textId="77777777" w:rsidR="00BB7FB6" w:rsidRDefault="00BB7FB6">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06C5CB" w14:textId="77777777" w:rsidR="00BB7FB6" w:rsidRDefault="00BB7FB6">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DEC881" w14:textId="77777777" w:rsidR="00BB7FB6" w:rsidRDefault="00BB7FB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BEA279" w14:textId="77777777" w:rsidR="00BB7FB6" w:rsidRDefault="00BB7FB6">
            <w:pPr>
              <w:jc w:val="right"/>
            </w:pPr>
            <w:r>
              <w:rPr>
                <w:rFonts w:ascii="宋体" w:hAnsi="宋体" w:hint="eastAsia"/>
                <w:szCs w:val="24"/>
                <w:lang w:eastAsia="zh-Hans"/>
              </w:rPr>
              <w:t>-</w:t>
            </w:r>
          </w:p>
        </w:tc>
      </w:tr>
      <w:tr w:rsidR="003619F7" w14:paraId="3C8DEB89"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C3B67B" w14:textId="77777777" w:rsidR="00BB7FB6" w:rsidRDefault="00BB7FB6">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3C8FA9" w14:textId="77777777" w:rsidR="00BB7FB6" w:rsidRDefault="00BB7FB6">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8600D5A" w14:textId="77777777" w:rsidR="00BB7FB6" w:rsidRDefault="00BB7FB6">
            <w:pPr>
              <w:jc w:val="right"/>
            </w:pPr>
            <w:r>
              <w:rPr>
                <w:rFonts w:ascii="宋体" w:hAnsi="宋体" w:hint="eastAsia"/>
                <w:szCs w:val="24"/>
                <w:lang w:eastAsia="zh-Hans"/>
              </w:rPr>
              <w:t>12,315,402.47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ED100F" w14:textId="77777777" w:rsidR="00BB7FB6" w:rsidRDefault="00BB7FB6">
            <w:pPr>
              <w:jc w:val="right"/>
            </w:pPr>
            <w:r>
              <w:rPr>
                <w:rFonts w:ascii="宋体" w:hAnsi="宋体" w:hint="eastAsia"/>
                <w:szCs w:val="24"/>
                <w:lang w:eastAsia="zh-Hans"/>
              </w:rPr>
              <w:t>25.32</w:t>
            </w:r>
          </w:p>
        </w:tc>
      </w:tr>
      <w:tr w:rsidR="003619F7" w14:paraId="7A571DB4"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91C9AD" w14:textId="77777777" w:rsidR="00BB7FB6" w:rsidRDefault="00BB7FB6">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F2C2B3" w14:textId="77777777" w:rsidR="00BB7FB6" w:rsidRDefault="00BB7FB6">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240022" w14:textId="7568F56B" w:rsidR="00BB7FB6" w:rsidRDefault="004C56F0">
            <w:pPr>
              <w:jc w:val="right"/>
            </w:pPr>
            <w:r w:rsidRPr="004C56F0">
              <w:rPr>
                <w:rFonts w:ascii="宋体" w:hAnsi="宋体"/>
                <w:szCs w:val="24"/>
                <w:lang w:eastAsia="zh-Hans"/>
              </w:rPr>
              <w:t>4,080,714.52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E25C72F" w14:textId="569BF89E" w:rsidR="00BB7FB6" w:rsidRDefault="004C56F0">
            <w:pPr>
              <w:jc w:val="right"/>
            </w:pPr>
            <w:r w:rsidRPr="004C56F0">
              <w:rPr>
                <w:rFonts w:ascii="宋体" w:hAnsi="宋体"/>
                <w:szCs w:val="24"/>
                <w:lang w:eastAsia="zh-Hans"/>
              </w:rPr>
              <w:t>8.39</w:t>
            </w:r>
          </w:p>
        </w:tc>
      </w:tr>
      <w:tr w:rsidR="003619F7" w14:paraId="5AD06077"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1B751A" w14:textId="77777777" w:rsidR="00BB7FB6" w:rsidRDefault="00BB7FB6">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686A3E" w14:textId="77777777" w:rsidR="00BB7FB6" w:rsidRDefault="00BB7FB6">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BC0B9D8" w14:textId="77777777" w:rsidR="00BB7FB6" w:rsidRDefault="00BB7FB6">
            <w:pPr>
              <w:jc w:val="right"/>
            </w:pPr>
            <w:r>
              <w:rPr>
                <w:rFonts w:ascii="宋体" w:hAnsi="宋体" w:hint="eastAsia"/>
                <w:szCs w:val="24"/>
                <w:lang w:eastAsia="zh-Hans"/>
              </w:rPr>
              <w:t>7,701,894.25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A66DD6" w14:textId="77777777" w:rsidR="00BB7FB6" w:rsidRDefault="00BB7FB6">
            <w:pPr>
              <w:jc w:val="right"/>
            </w:pPr>
            <w:r>
              <w:rPr>
                <w:rFonts w:ascii="宋体" w:hAnsi="宋体" w:hint="eastAsia"/>
                <w:szCs w:val="24"/>
                <w:lang w:eastAsia="zh-Hans"/>
              </w:rPr>
              <w:t>15.83</w:t>
            </w:r>
          </w:p>
        </w:tc>
      </w:tr>
      <w:tr w:rsidR="003619F7" w14:paraId="3380260B"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7119824" w14:textId="77777777" w:rsidR="00BB7FB6" w:rsidRDefault="00BB7FB6">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9064790" w14:textId="77777777" w:rsidR="00BB7FB6" w:rsidRDefault="00BB7FB6">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F438C8" w14:textId="77777777" w:rsidR="00BB7FB6" w:rsidRDefault="00BB7FB6">
            <w:pPr>
              <w:jc w:val="right"/>
            </w:pPr>
            <w:r>
              <w:rPr>
                <w:rFonts w:ascii="宋体" w:hAnsi="宋体" w:hint="eastAsia"/>
                <w:szCs w:val="24"/>
                <w:lang w:eastAsia="zh-Hans"/>
              </w:rPr>
              <w:t>3,092,416.99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32FF7E" w14:textId="77777777" w:rsidR="00BB7FB6" w:rsidRDefault="00BB7FB6">
            <w:pPr>
              <w:jc w:val="right"/>
            </w:pPr>
            <w:r>
              <w:rPr>
                <w:rFonts w:ascii="宋体" w:hAnsi="宋体" w:hint="eastAsia"/>
                <w:szCs w:val="24"/>
                <w:lang w:eastAsia="zh-Hans"/>
              </w:rPr>
              <w:t>6.36</w:t>
            </w:r>
          </w:p>
        </w:tc>
      </w:tr>
      <w:tr w:rsidR="003619F7" w14:paraId="76D065DB"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404059" w14:textId="77777777" w:rsidR="00BB7FB6" w:rsidRDefault="00BB7FB6">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F173B1" w14:textId="77777777" w:rsidR="00BB7FB6" w:rsidRDefault="00BB7FB6">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F03394" w14:textId="77777777" w:rsidR="00BB7FB6" w:rsidRDefault="00BB7FB6">
            <w:pPr>
              <w:jc w:val="right"/>
            </w:pPr>
            <w:r>
              <w:rPr>
                <w:rFonts w:ascii="宋体" w:hAnsi="宋体" w:hint="eastAsia"/>
                <w:szCs w:val="24"/>
                <w:lang w:eastAsia="zh-Hans"/>
              </w:rPr>
              <w:t>3,042,058.35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F78C5C" w14:textId="77777777" w:rsidR="00BB7FB6" w:rsidRDefault="00BB7FB6">
            <w:pPr>
              <w:jc w:val="right"/>
            </w:pPr>
            <w:r>
              <w:rPr>
                <w:rFonts w:ascii="宋体" w:hAnsi="宋体" w:hint="eastAsia"/>
                <w:szCs w:val="24"/>
                <w:lang w:eastAsia="zh-Hans"/>
              </w:rPr>
              <w:t>6.25</w:t>
            </w:r>
          </w:p>
        </w:tc>
      </w:tr>
      <w:tr w:rsidR="003619F7" w14:paraId="2042B0F4"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E08ADB" w14:textId="77777777" w:rsidR="00BB7FB6" w:rsidRDefault="00BB7FB6">
            <w:pPr>
              <w:jc w:val="center"/>
            </w:pPr>
            <w:r>
              <w:rPr>
                <w:rFonts w:ascii="宋体" w:hAnsi="宋体" w:hint="eastAsia"/>
                <w:color w:val="000000"/>
              </w:rPr>
              <w:lastRenderedPageBreak/>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3BB69F" w14:textId="77777777" w:rsidR="00BB7FB6" w:rsidRDefault="00BB7FB6">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D9BB0B" w14:textId="77777777" w:rsidR="00BB7FB6" w:rsidRDefault="00BB7FB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E96132" w14:textId="77777777" w:rsidR="00BB7FB6" w:rsidRDefault="00BB7FB6">
            <w:pPr>
              <w:jc w:val="right"/>
            </w:pPr>
            <w:r>
              <w:rPr>
                <w:rFonts w:ascii="宋体" w:hAnsi="宋体" w:hint="eastAsia"/>
                <w:szCs w:val="24"/>
                <w:lang w:eastAsia="zh-Hans"/>
              </w:rPr>
              <w:t>-</w:t>
            </w:r>
          </w:p>
        </w:tc>
      </w:tr>
      <w:tr w:rsidR="003619F7" w14:paraId="251A1F09"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98B48CC" w14:textId="77777777" w:rsidR="00BB7FB6" w:rsidRDefault="00BB7FB6">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7490E1" w14:textId="77777777" w:rsidR="00BB7FB6" w:rsidRDefault="00BB7FB6">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E6C841" w14:textId="77777777" w:rsidR="00BB7FB6" w:rsidRDefault="00BB7FB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19D2827" w14:textId="77777777" w:rsidR="00BB7FB6" w:rsidRDefault="00BB7FB6">
            <w:pPr>
              <w:jc w:val="right"/>
            </w:pPr>
            <w:r>
              <w:rPr>
                <w:rFonts w:ascii="宋体" w:hAnsi="宋体" w:hint="eastAsia"/>
                <w:szCs w:val="24"/>
                <w:lang w:eastAsia="zh-Hans"/>
              </w:rPr>
              <w:t>-</w:t>
            </w:r>
          </w:p>
        </w:tc>
      </w:tr>
      <w:tr w:rsidR="003619F7" w14:paraId="0711746F"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6255EF4" w14:textId="77777777" w:rsidR="00BB7FB6" w:rsidRDefault="00BB7FB6">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B8A9CF" w14:textId="77777777" w:rsidR="00BB7FB6" w:rsidRDefault="00BB7FB6">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5724B8" w14:textId="77777777" w:rsidR="00BB7FB6" w:rsidRDefault="00BB7FB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287B5E" w14:textId="77777777" w:rsidR="00BB7FB6" w:rsidRDefault="00BB7FB6">
            <w:pPr>
              <w:jc w:val="right"/>
            </w:pPr>
            <w:r>
              <w:rPr>
                <w:rFonts w:ascii="宋体" w:hAnsi="宋体" w:hint="eastAsia"/>
                <w:szCs w:val="24"/>
                <w:lang w:eastAsia="zh-Hans"/>
              </w:rPr>
              <w:t>-</w:t>
            </w:r>
          </w:p>
        </w:tc>
      </w:tr>
      <w:tr w:rsidR="003619F7" w14:paraId="037F7E5F" w14:textId="77777777">
        <w:trPr>
          <w:divId w:val="5594810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AC6B0A" w14:textId="77777777" w:rsidR="00BB7FB6" w:rsidRDefault="00BB7FB6">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93389F" w14:textId="77777777" w:rsidR="00BB7FB6" w:rsidRDefault="00BB7FB6">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F00B5F" w14:textId="77777777" w:rsidR="00BB7FB6" w:rsidRDefault="00BB7FB6">
            <w:pPr>
              <w:jc w:val="right"/>
            </w:pPr>
            <w:r>
              <w:rPr>
                <w:rFonts w:ascii="宋体" w:hAnsi="宋体" w:hint="eastAsia"/>
                <w:szCs w:val="24"/>
                <w:lang w:eastAsia="zh-Hans"/>
              </w:rPr>
              <w:t>40,264,768.78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F10CA8" w14:textId="77777777" w:rsidR="00BB7FB6" w:rsidRDefault="00BB7FB6">
            <w:pPr>
              <w:jc w:val="right"/>
            </w:pPr>
            <w:r>
              <w:rPr>
                <w:rFonts w:ascii="宋体" w:hAnsi="宋体" w:hint="eastAsia"/>
                <w:szCs w:val="24"/>
                <w:lang w:eastAsia="zh-Hans"/>
              </w:rPr>
              <w:t>82.77</w:t>
            </w:r>
          </w:p>
        </w:tc>
      </w:tr>
    </w:tbl>
    <w:p w14:paraId="4D1FC738" w14:textId="77777777" w:rsidR="00BB7FB6" w:rsidRDefault="00BB7FB6">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619F7" w14:paraId="588EF45D" w14:textId="77777777">
        <w:trPr>
          <w:divId w:val="12486064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2A9ED6" w14:textId="77777777" w:rsidR="00BB7FB6" w:rsidRDefault="00BB7FB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1C5C60" w14:textId="77777777" w:rsidR="00BB7FB6" w:rsidRDefault="00BB7FB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10802D" w14:textId="77777777" w:rsidR="00BB7FB6" w:rsidRDefault="00BB7FB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122C1E" w14:textId="77777777" w:rsidR="00BB7FB6" w:rsidRDefault="00BB7FB6">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3358CA" w14:textId="77777777" w:rsidR="00BB7FB6" w:rsidRDefault="00BB7FB6">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E1E159" w14:textId="77777777" w:rsidR="00BB7FB6" w:rsidRDefault="00BB7FB6">
            <w:pPr>
              <w:jc w:val="center"/>
            </w:pPr>
            <w:r>
              <w:rPr>
                <w:rFonts w:ascii="宋体" w:hAnsi="宋体" w:hint="eastAsia"/>
                <w:color w:val="000000"/>
              </w:rPr>
              <w:t xml:space="preserve">占基金资产净值比例（%） </w:t>
            </w:r>
          </w:p>
        </w:tc>
      </w:tr>
      <w:tr w:rsidR="003619F7" w14:paraId="0ACE5E4D" w14:textId="77777777">
        <w:trPr>
          <w:divId w:val="1248606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1763D" w14:textId="77777777" w:rsidR="00BB7FB6" w:rsidRDefault="00BB7FB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1F5EE" w14:textId="77777777" w:rsidR="00BB7FB6" w:rsidRDefault="00BB7FB6">
            <w:pPr>
              <w:jc w:val="center"/>
            </w:pPr>
            <w:r>
              <w:rPr>
                <w:rFonts w:ascii="宋体" w:hAnsi="宋体" w:hint="eastAsia"/>
                <w:szCs w:val="24"/>
                <w:lang w:eastAsia="zh-Hans"/>
              </w:rPr>
              <w:t>019758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45101" w14:textId="77777777" w:rsidR="00BB7FB6" w:rsidRDefault="00BB7FB6">
            <w:pPr>
              <w:jc w:val="center"/>
            </w:pPr>
            <w:r>
              <w:rPr>
                <w:rFonts w:ascii="宋体" w:hAnsi="宋体" w:hint="eastAsia"/>
                <w:szCs w:val="24"/>
                <w:lang w:eastAsia="zh-Hans"/>
              </w:rPr>
              <w:t>24国债21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446EA" w14:textId="77777777" w:rsidR="00BB7FB6" w:rsidRDefault="00BB7FB6">
            <w:pPr>
              <w:jc w:val="right"/>
            </w:pPr>
            <w:r>
              <w:rPr>
                <w:rFonts w:ascii="宋体" w:hAnsi="宋体" w:hint="eastAsia"/>
                <w:szCs w:val="24"/>
                <w:lang w:eastAsia="zh-Hans"/>
              </w:rPr>
              <w:t>45,000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157A6" w14:textId="77777777" w:rsidR="00BB7FB6" w:rsidRDefault="00BB7FB6">
            <w:pPr>
              <w:jc w:val="right"/>
            </w:pPr>
            <w:r>
              <w:rPr>
                <w:rFonts w:ascii="宋体" w:hAnsi="宋体" w:hint="eastAsia"/>
                <w:szCs w:val="24"/>
                <w:lang w:eastAsia="zh-Hans"/>
              </w:rPr>
              <w:t>4,555,914.66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C6793" w14:textId="77777777" w:rsidR="00BB7FB6" w:rsidRDefault="00BB7FB6">
            <w:pPr>
              <w:jc w:val="right"/>
            </w:pPr>
            <w:r>
              <w:rPr>
                <w:rFonts w:ascii="宋体" w:hAnsi="宋体" w:hint="eastAsia"/>
                <w:szCs w:val="24"/>
                <w:lang w:eastAsia="zh-Hans"/>
              </w:rPr>
              <w:t>9.37</w:t>
            </w:r>
          </w:p>
        </w:tc>
      </w:tr>
      <w:tr w:rsidR="003619F7" w14:paraId="1D255AF6" w14:textId="77777777">
        <w:trPr>
          <w:divId w:val="1248606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47908" w14:textId="77777777" w:rsidR="00BB7FB6" w:rsidRDefault="00BB7FB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3DF35" w14:textId="77777777" w:rsidR="00BB7FB6" w:rsidRDefault="00BB7FB6">
            <w:pPr>
              <w:jc w:val="center"/>
            </w:pPr>
            <w:r>
              <w:rPr>
                <w:rFonts w:ascii="宋体" w:hAnsi="宋体" w:hint="eastAsia"/>
                <w:szCs w:val="24"/>
                <w:lang w:eastAsia="zh-Hans"/>
              </w:rPr>
              <w:t>1523008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6A9AE" w14:textId="77777777" w:rsidR="00BB7FB6" w:rsidRDefault="00BB7FB6">
            <w:pPr>
              <w:jc w:val="center"/>
            </w:pPr>
            <w:r>
              <w:rPr>
                <w:rFonts w:ascii="宋体" w:hAnsi="宋体" w:hint="eastAsia"/>
                <w:szCs w:val="24"/>
                <w:lang w:eastAsia="zh-Hans"/>
              </w:rPr>
              <w:t>15幸福人寿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83F3F" w14:textId="77777777" w:rsidR="00BB7FB6" w:rsidRDefault="00BB7FB6">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F0EDC" w14:textId="77777777" w:rsidR="00BB7FB6" w:rsidRDefault="00BB7FB6">
            <w:pPr>
              <w:jc w:val="right"/>
            </w:pPr>
            <w:r>
              <w:rPr>
                <w:rFonts w:ascii="宋体" w:hAnsi="宋体" w:hint="eastAsia"/>
                <w:szCs w:val="24"/>
                <w:lang w:eastAsia="zh-Hans"/>
              </w:rPr>
              <w:t>4,167,786.30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9BF86" w14:textId="77777777" w:rsidR="00BB7FB6" w:rsidRDefault="00BB7FB6">
            <w:pPr>
              <w:jc w:val="right"/>
            </w:pPr>
            <w:r>
              <w:rPr>
                <w:rFonts w:ascii="宋体" w:hAnsi="宋体" w:hint="eastAsia"/>
                <w:szCs w:val="24"/>
                <w:lang w:eastAsia="zh-Hans"/>
              </w:rPr>
              <w:t>8.57</w:t>
            </w:r>
          </w:p>
        </w:tc>
      </w:tr>
      <w:tr w:rsidR="003619F7" w14:paraId="49F7A508" w14:textId="77777777">
        <w:trPr>
          <w:divId w:val="1248606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F5CB2" w14:textId="77777777" w:rsidR="00BB7FB6" w:rsidRDefault="00BB7FB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3DD85" w14:textId="77777777" w:rsidR="00BB7FB6" w:rsidRDefault="00BB7FB6">
            <w:pPr>
              <w:jc w:val="center"/>
            </w:pPr>
            <w:r>
              <w:rPr>
                <w:rFonts w:ascii="宋体" w:hAnsi="宋体" w:hint="eastAsia"/>
                <w:szCs w:val="24"/>
                <w:lang w:eastAsia="zh-Hans"/>
              </w:rPr>
              <w:t>092403004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634C0" w14:textId="77777777" w:rsidR="00BB7FB6" w:rsidRDefault="00BB7FB6">
            <w:pPr>
              <w:jc w:val="center"/>
            </w:pPr>
            <w:r>
              <w:rPr>
                <w:rFonts w:ascii="宋体" w:hAnsi="宋体" w:hint="eastAsia"/>
                <w:szCs w:val="24"/>
                <w:lang w:eastAsia="zh-Hans"/>
              </w:rPr>
              <w:t>24进出口行二级资本债01A</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25FED" w14:textId="77777777" w:rsidR="00BB7FB6" w:rsidRDefault="00BB7FB6">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6C717" w14:textId="77777777" w:rsidR="00BB7FB6" w:rsidRDefault="00BB7FB6">
            <w:pPr>
              <w:jc w:val="right"/>
            </w:pPr>
            <w:r>
              <w:rPr>
                <w:rFonts w:ascii="宋体" w:hAnsi="宋体" w:hint="eastAsia"/>
                <w:szCs w:val="24"/>
                <w:lang w:eastAsia="zh-Hans"/>
              </w:rPr>
              <w:t>4,080,714.52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0757B" w14:textId="77777777" w:rsidR="00BB7FB6" w:rsidRDefault="00BB7FB6">
            <w:pPr>
              <w:jc w:val="right"/>
            </w:pPr>
            <w:r>
              <w:rPr>
                <w:rFonts w:ascii="宋体" w:hAnsi="宋体" w:hint="eastAsia"/>
                <w:szCs w:val="24"/>
                <w:lang w:eastAsia="zh-Hans"/>
              </w:rPr>
              <w:t>8.39</w:t>
            </w:r>
          </w:p>
        </w:tc>
      </w:tr>
      <w:tr w:rsidR="003619F7" w14:paraId="50A219D9" w14:textId="77777777">
        <w:trPr>
          <w:divId w:val="1248606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30A55" w14:textId="77777777" w:rsidR="00BB7FB6" w:rsidRDefault="00BB7FB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04456" w14:textId="77777777" w:rsidR="00BB7FB6" w:rsidRDefault="00BB7FB6">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A4878" w14:textId="77777777" w:rsidR="00BB7FB6" w:rsidRDefault="00BB7FB6">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B0A66" w14:textId="77777777" w:rsidR="00BB7FB6" w:rsidRDefault="00BB7FB6">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AA6A0" w14:textId="77777777" w:rsidR="00BB7FB6" w:rsidRDefault="00BB7FB6">
            <w:pPr>
              <w:jc w:val="right"/>
            </w:pPr>
            <w:r>
              <w:rPr>
                <w:rFonts w:ascii="宋体" w:hAnsi="宋体" w:hint="eastAsia"/>
                <w:szCs w:val="24"/>
                <w:lang w:eastAsia="zh-Hans"/>
              </w:rPr>
              <w:t>4,030,924.93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70B1D" w14:textId="77777777" w:rsidR="00BB7FB6" w:rsidRDefault="00BB7FB6">
            <w:pPr>
              <w:jc w:val="right"/>
            </w:pPr>
            <w:r>
              <w:rPr>
                <w:rFonts w:ascii="宋体" w:hAnsi="宋体" w:hint="eastAsia"/>
                <w:szCs w:val="24"/>
                <w:lang w:eastAsia="zh-Hans"/>
              </w:rPr>
              <w:t>8.29</w:t>
            </w:r>
          </w:p>
        </w:tc>
      </w:tr>
      <w:tr w:rsidR="003619F7" w14:paraId="09E477AB" w14:textId="77777777">
        <w:trPr>
          <w:divId w:val="1248606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66A27" w14:textId="77777777" w:rsidR="00BB7FB6" w:rsidRDefault="00BB7FB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34F94" w14:textId="77777777" w:rsidR="00BB7FB6" w:rsidRDefault="00BB7FB6">
            <w:pPr>
              <w:jc w:val="center"/>
            </w:pPr>
            <w:r>
              <w:rPr>
                <w:rFonts w:ascii="宋体" w:hAnsi="宋体" w:hint="eastAsia"/>
                <w:szCs w:val="24"/>
                <w:lang w:eastAsia="zh-Hans"/>
              </w:rPr>
              <w:t>232580006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0D2E2" w14:textId="77777777" w:rsidR="00BB7FB6" w:rsidRDefault="00BB7FB6">
            <w:pPr>
              <w:jc w:val="center"/>
            </w:pPr>
            <w:r>
              <w:rPr>
                <w:rFonts w:ascii="宋体" w:hAnsi="宋体" w:hint="eastAsia"/>
                <w:szCs w:val="24"/>
                <w:lang w:eastAsia="zh-Hans"/>
              </w:rPr>
              <w:t>25民生银行二级资本债01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6F413" w14:textId="77777777" w:rsidR="00BB7FB6" w:rsidRDefault="00BB7FB6">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E8426" w14:textId="77777777" w:rsidR="00BB7FB6" w:rsidRDefault="00BB7FB6">
            <w:pPr>
              <w:jc w:val="right"/>
            </w:pPr>
            <w:r>
              <w:rPr>
                <w:rFonts w:ascii="宋体" w:hAnsi="宋体" w:hint="eastAsia"/>
                <w:szCs w:val="24"/>
                <w:lang w:eastAsia="zh-Hans"/>
              </w:rPr>
              <w:t>3,007,468.77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07A67" w14:textId="77777777" w:rsidR="00BB7FB6" w:rsidRDefault="00BB7FB6">
            <w:pPr>
              <w:jc w:val="right"/>
            </w:pPr>
            <w:r>
              <w:rPr>
                <w:rFonts w:ascii="宋体" w:hAnsi="宋体" w:hint="eastAsia"/>
                <w:szCs w:val="24"/>
                <w:lang w:eastAsia="zh-Hans"/>
              </w:rPr>
              <w:t>6.18</w:t>
            </w:r>
          </w:p>
        </w:tc>
      </w:tr>
    </w:tbl>
    <w:p w14:paraId="1CCFA215" w14:textId="77777777" w:rsidR="00BB7FB6" w:rsidRDefault="00BB7FB6">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489B3A1" w14:textId="77777777" w:rsidR="00BB7FB6" w:rsidRDefault="00BB7FB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1BD0394" w14:textId="77777777" w:rsidR="00BB7FB6" w:rsidRDefault="00BB7FB6">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1B3F014F" w14:textId="77777777" w:rsidR="00BB7FB6" w:rsidRDefault="00BB7FB6">
      <w:pPr>
        <w:spacing w:line="360" w:lineRule="auto"/>
        <w:ind w:firstLineChars="200" w:firstLine="420"/>
        <w:divId w:val="454297637"/>
      </w:pPr>
      <w:r>
        <w:rPr>
          <w:rFonts w:ascii="宋体" w:hAnsi="宋体" w:hint="eastAsia"/>
          <w:szCs w:val="21"/>
          <w:lang w:eastAsia="zh-Hans"/>
        </w:rPr>
        <w:t>本基金本报告期末未持有贵金属。</w:t>
      </w:r>
    </w:p>
    <w:p w14:paraId="5B22048C" w14:textId="77777777" w:rsidR="00BB7FB6" w:rsidRDefault="00BB7FB6">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43154853" w14:textId="77777777" w:rsidR="00BB7FB6" w:rsidRDefault="00BB7FB6">
      <w:pPr>
        <w:spacing w:line="360" w:lineRule="auto"/>
        <w:ind w:firstLineChars="200" w:firstLine="420"/>
        <w:divId w:val="1862277180"/>
      </w:pPr>
      <w:r>
        <w:rPr>
          <w:rFonts w:ascii="宋体" w:hAnsi="宋体" w:hint="eastAsia"/>
          <w:szCs w:val="21"/>
          <w:lang w:eastAsia="zh-Hans"/>
        </w:rPr>
        <w:t>本基金本报告期末未持有权证。</w:t>
      </w:r>
    </w:p>
    <w:p w14:paraId="22846D59" w14:textId="77777777" w:rsidR="00BB7FB6" w:rsidRDefault="00BB7FB6">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4D63B6F7" w14:textId="77777777" w:rsidR="00BB7FB6" w:rsidRDefault="00BB7FB6">
      <w:pPr>
        <w:spacing w:line="360" w:lineRule="auto"/>
        <w:ind w:firstLineChars="200" w:firstLine="420"/>
        <w:divId w:val="995496206"/>
      </w:pPr>
      <w:r>
        <w:rPr>
          <w:rFonts w:ascii="宋体" w:hAnsi="宋体" w:hint="eastAsia"/>
          <w:szCs w:val="21"/>
          <w:lang w:eastAsia="zh-Hans"/>
        </w:rPr>
        <w:t>本基金本报告期末未持有股指期货。</w:t>
      </w:r>
    </w:p>
    <w:p w14:paraId="056EEE16" w14:textId="77777777" w:rsidR="00BB7FB6" w:rsidRDefault="00BB7FB6">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p>
    <w:p w14:paraId="0BB078FE" w14:textId="77777777" w:rsidR="00BB7FB6" w:rsidRDefault="00BB7FB6">
      <w:pPr>
        <w:pStyle w:val="XBRLTitle3"/>
        <w:spacing w:before="156"/>
        <w:ind w:left="0"/>
      </w:pPr>
      <w:bookmarkStart w:id="250" w:name="_Toc17898210"/>
      <w:bookmarkStart w:id="251" w:name="_Toc512519511"/>
      <w:bookmarkStart w:id="252" w:name="_Toc481075079"/>
      <w:bookmarkStart w:id="253" w:name="_Toc490050032"/>
      <w:bookmarkStart w:id="254" w:name="_Toc513295923"/>
      <w:bookmarkStart w:id="255" w:name="m510_01_1597"/>
      <w:proofErr w:type="spellStart"/>
      <w:r>
        <w:rPr>
          <w:rFonts w:hint="eastAsia"/>
        </w:rPr>
        <w:t>本期国债期货投资政策</w:t>
      </w:r>
      <w:bookmarkEnd w:id="250"/>
      <w:bookmarkEnd w:id="251"/>
      <w:bookmarkEnd w:id="252"/>
      <w:bookmarkEnd w:id="253"/>
      <w:bookmarkEnd w:id="254"/>
      <w:proofErr w:type="spellEnd"/>
    </w:p>
    <w:p w14:paraId="0C1E6831" w14:textId="77777777" w:rsidR="00BB7FB6" w:rsidRDefault="00BB7FB6">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49"/>
      <w:r>
        <w:rPr>
          <w:rFonts w:ascii="宋体" w:hAnsi="宋体" w:hint="eastAsia"/>
        </w:rPr>
        <w:t xml:space="preserve"> </w:t>
      </w:r>
    </w:p>
    <w:p w14:paraId="058FD0F5" w14:textId="77777777" w:rsidR="00BB7FB6" w:rsidRDefault="00BB7FB6">
      <w:pPr>
        <w:pStyle w:val="XBRLTitle3"/>
        <w:spacing w:before="156"/>
        <w:ind w:left="0"/>
      </w:pPr>
      <w:bookmarkStart w:id="256" w:name="_Toc17898211"/>
      <w:bookmarkStart w:id="257" w:name="_Toc481075080"/>
      <w:bookmarkStart w:id="258" w:name="_Toc490050033"/>
      <w:bookmarkStart w:id="259" w:name="_Toc512519512"/>
      <w:bookmarkStart w:id="260" w:name="_Toc513295924"/>
      <w:bookmarkStart w:id="261" w:name="m510_01_1598"/>
      <w:bookmarkEnd w:id="255"/>
      <w:proofErr w:type="spellStart"/>
      <w:r>
        <w:rPr>
          <w:rFonts w:hint="eastAsia"/>
        </w:rPr>
        <w:t>报告期末本基金投资的国债期货持仓和损益明细</w:t>
      </w:r>
      <w:bookmarkEnd w:id="256"/>
      <w:bookmarkEnd w:id="257"/>
      <w:bookmarkEnd w:id="258"/>
      <w:bookmarkEnd w:id="259"/>
      <w:bookmarkEnd w:id="260"/>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3619F7" w14:paraId="29CE0939" w14:textId="77777777">
        <w:trPr>
          <w:divId w:val="1682663139"/>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9500079" w14:textId="77777777" w:rsidR="00BB7FB6" w:rsidRDefault="00BB7FB6">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D2F0803" w14:textId="77777777" w:rsidR="00BB7FB6" w:rsidRDefault="00BB7FB6">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0531DD9" w14:textId="77777777" w:rsidR="00BB7FB6" w:rsidRDefault="00BB7FB6">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FAD07F6" w14:textId="77777777" w:rsidR="00BB7FB6" w:rsidRDefault="00BB7FB6">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C176B6A" w14:textId="77777777" w:rsidR="00BB7FB6" w:rsidRDefault="00BB7FB6">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980B5E0" w14:textId="77777777" w:rsidR="00BB7FB6" w:rsidRDefault="00BB7FB6">
            <w:pPr>
              <w:jc w:val="center"/>
            </w:pPr>
            <w:r>
              <w:rPr>
                <w:rFonts w:ascii="宋体" w:hAnsi="宋体" w:hint="eastAsia"/>
              </w:rPr>
              <w:t xml:space="preserve">风险指标说明 </w:t>
            </w:r>
          </w:p>
        </w:tc>
      </w:tr>
      <w:tr w:rsidR="003619F7" w14:paraId="646653FA" w14:textId="77777777">
        <w:trPr>
          <w:divId w:val="1682663139"/>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044A80C" w14:textId="77777777" w:rsidR="00BB7FB6" w:rsidRDefault="00BB7FB6">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4EFB41E" w14:textId="77777777" w:rsidR="00BB7FB6" w:rsidRDefault="00BB7FB6">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ADDC1FC" w14:textId="77777777" w:rsidR="00BB7FB6" w:rsidRDefault="00BB7FB6">
            <w:pPr>
              <w:jc w:val="right"/>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6867A747" w14:textId="77777777" w:rsidR="00BB7FB6" w:rsidRDefault="00BB7FB6">
            <w:pPr>
              <w:jc w:val="right"/>
            </w:pPr>
            <w:r>
              <w:rPr>
                <w:rFonts w:ascii="宋体" w:hAnsi="宋体" w:hint="eastAsia"/>
              </w:rPr>
              <w:t>-</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6B893A9D" w14:textId="77777777" w:rsidR="00BB7FB6" w:rsidRDefault="00BB7FB6">
            <w:pPr>
              <w:jc w:val="right"/>
            </w:pPr>
            <w:r>
              <w:rPr>
                <w:rFonts w:ascii="宋体" w:hAnsi="宋体" w:hint="eastAsia"/>
              </w:rPr>
              <w:t>-</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A9A817D" w14:textId="77777777" w:rsidR="00BB7FB6" w:rsidRDefault="00BB7FB6">
            <w:pPr>
              <w:jc w:val="center"/>
            </w:pPr>
            <w:r>
              <w:rPr>
                <w:rFonts w:ascii="宋体" w:hAnsi="宋体" w:hint="eastAsia"/>
              </w:rPr>
              <w:t>-</w:t>
            </w:r>
          </w:p>
        </w:tc>
      </w:tr>
      <w:tr w:rsidR="003619F7" w14:paraId="4BC0E4EF" w14:textId="77777777">
        <w:trPr>
          <w:divId w:val="1682663139"/>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B0872B" w14:textId="77777777" w:rsidR="00BB7FB6" w:rsidRDefault="00BB7FB6">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33E654C" w14:textId="77777777" w:rsidR="00BB7FB6" w:rsidRDefault="00BB7FB6">
            <w:pPr>
              <w:jc w:val="right"/>
            </w:pPr>
            <w:r>
              <w:rPr>
                <w:rFonts w:ascii="宋体" w:hAnsi="宋体" w:hint="eastAsia"/>
              </w:rPr>
              <w:t>-</w:t>
            </w:r>
          </w:p>
        </w:tc>
      </w:tr>
      <w:tr w:rsidR="003619F7" w14:paraId="5528F218" w14:textId="77777777">
        <w:trPr>
          <w:divId w:val="1682663139"/>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21B73E0" w14:textId="77777777" w:rsidR="00BB7FB6" w:rsidRDefault="00BB7FB6">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239240E" w14:textId="77777777" w:rsidR="00BB7FB6" w:rsidRDefault="00BB7FB6">
            <w:pPr>
              <w:jc w:val="right"/>
            </w:pPr>
            <w:r>
              <w:rPr>
                <w:rFonts w:ascii="宋体" w:hAnsi="宋体" w:hint="eastAsia"/>
              </w:rPr>
              <w:t>-17,395.46</w:t>
            </w:r>
          </w:p>
        </w:tc>
      </w:tr>
      <w:tr w:rsidR="003619F7" w14:paraId="49DB6DDC" w14:textId="77777777">
        <w:trPr>
          <w:divId w:val="1682663139"/>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DC67B9" w14:textId="77777777" w:rsidR="00BB7FB6" w:rsidRDefault="00BB7FB6">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883F85B" w14:textId="77777777" w:rsidR="00BB7FB6" w:rsidRDefault="00BB7FB6">
            <w:pPr>
              <w:jc w:val="right"/>
            </w:pPr>
            <w:r>
              <w:rPr>
                <w:rFonts w:ascii="宋体" w:hAnsi="宋体" w:hint="eastAsia"/>
              </w:rPr>
              <w:t>-</w:t>
            </w:r>
          </w:p>
        </w:tc>
      </w:tr>
    </w:tbl>
    <w:p w14:paraId="0212709C" w14:textId="77777777" w:rsidR="00BB7FB6" w:rsidRDefault="00BB7FB6">
      <w:pPr>
        <w:pStyle w:val="XBRLTitle3"/>
        <w:spacing w:before="156"/>
        <w:ind w:left="0"/>
      </w:pPr>
      <w:bookmarkStart w:id="262" w:name="_Toc17898212"/>
      <w:bookmarkStart w:id="263" w:name="_Toc512519513"/>
      <w:bookmarkStart w:id="264" w:name="_Toc481075081"/>
      <w:bookmarkStart w:id="265" w:name="_Toc490050034"/>
      <w:bookmarkStart w:id="266" w:name="_Toc513295925"/>
      <w:proofErr w:type="spellStart"/>
      <w:r>
        <w:rPr>
          <w:rFonts w:hint="eastAsia"/>
        </w:rPr>
        <w:lastRenderedPageBreak/>
        <w:t>本期国债期货投资评价</w:t>
      </w:r>
      <w:bookmarkEnd w:id="262"/>
      <w:bookmarkEnd w:id="263"/>
      <w:bookmarkEnd w:id="264"/>
      <w:bookmarkEnd w:id="265"/>
      <w:bookmarkEnd w:id="266"/>
      <w:proofErr w:type="spellEnd"/>
    </w:p>
    <w:p w14:paraId="1876C26D" w14:textId="77777777" w:rsidR="00BB7FB6" w:rsidRDefault="00BB7FB6">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1F0D9A75" w14:textId="77777777" w:rsidR="00BB7FB6" w:rsidRDefault="00BB7FB6">
      <w:pPr>
        <w:pStyle w:val="XBRLTitle2"/>
        <w:spacing w:before="156" w:line="360" w:lineRule="auto"/>
        <w:ind w:left="454"/>
      </w:pPr>
      <w:bookmarkStart w:id="267" w:name="_Toc17898213"/>
      <w:bookmarkStart w:id="268" w:name="_Toc17897960"/>
      <w:bookmarkStart w:id="269" w:name="_Toc512519514"/>
      <w:bookmarkStart w:id="270" w:name="_Toc481075082"/>
      <w:bookmarkStart w:id="271" w:name="_Toc490050035"/>
      <w:bookmarkStart w:id="272" w:name="_Toc513295869"/>
      <w:bookmarkStart w:id="273" w:name="_Toc513295926"/>
      <w:proofErr w:type="spellStart"/>
      <w:r>
        <w:rPr>
          <w:rFonts w:hAnsi="宋体" w:hint="eastAsia"/>
        </w:rPr>
        <w:t>投资组合报告附注</w:t>
      </w:r>
      <w:bookmarkEnd w:id="267"/>
      <w:bookmarkEnd w:id="268"/>
      <w:bookmarkEnd w:id="269"/>
      <w:bookmarkEnd w:id="270"/>
      <w:bookmarkEnd w:id="271"/>
      <w:bookmarkEnd w:id="272"/>
      <w:bookmarkEnd w:id="273"/>
      <w:proofErr w:type="spellEnd"/>
      <w:r>
        <w:rPr>
          <w:rFonts w:hAnsi="宋体" w:hint="eastAsia"/>
        </w:rPr>
        <w:t xml:space="preserve"> </w:t>
      </w:r>
    </w:p>
    <w:p w14:paraId="67EB303A" w14:textId="77777777" w:rsidR="00BB7FB6" w:rsidRDefault="00BB7FB6">
      <w:pPr>
        <w:pStyle w:val="XBRLTitle3"/>
        <w:spacing w:before="156"/>
        <w:ind w:left="0"/>
      </w:pPr>
      <w:bookmarkStart w:id="274" w:name="_Toc513295927"/>
      <w:bookmarkStart w:id="275" w:name="_Toc490050036"/>
      <w:bookmarkStart w:id="276" w:name="_Toc481075083"/>
      <w:bookmarkStart w:id="277" w:name="_Toc512519515"/>
      <w:bookmarkStart w:id="278" w:name="_Toc17898214"/>
      <w:bookmarkEnd w:id="274"/>
      <w:bookmarkEnd w:id="275"/>
      <w:bookmarkEnd w:id="276"/>
      <w:bookmarkEnd w:id="277"/>
      <w:r>
        <w:rPr>
          <w:rFonts w:hint="eastAsia"/>
          <w:lang w:eastAsia="zh-CN"/>
        </w:rPr>
        <w:t xml:space="preserve"> </w:t>
      </w:r>
      <w:bookmarkEnd w:id="278"/>
    </w:p>
    <w:p w14:paraId="44A603FA" w14:textId="77777777" w:rsidR="00BB7FB6" w:rsidRDefault="00BB7FB6">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中国国际金融股份有限公司报告编制日前一年内曾受到中国证监会的处罚，中国民生银行股份有限公司报告编制日前一年内曾受到金融监管总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FF35EAB" w14:textId="77777777" w:rsidR="00BB7FB6" w:rsidRDefault="00BB7FB6">
      <w:pPr>
        <w:pStyle w:val="XBRLTitle3"/>
        <w:spacing w:before="156"/>
        <w:ind w:left="0"/>
      </w:pPr>
      <w:bookmarkStart w:id="279" w:name="_Toc490050037"/>
      <w:bookmarkStart w:id="280" w:name="_Toc481075084"/>
      <w:bookmarkStart w:id="281" w:name="_Toc512519516"/>
      <w:bookmarkStart w:id="282" w:name="_Toc513295928"/>
      <w:bookmarkStart w:id="283" w:name="_Toc17898215"/>
      <w:bookmarkEnd w:id="279"/>
      <w:bookmarkEnd w:id="280"/>
      <w:bookmarkEnd w:id="281"/>
      <w:bookmarkEnd w:id="282"/>
      <w:r>
        <w:rPr>
          <w:rFonts w:hint="eastAsia"/>
          <w:lang w:eastAsia="zh-CN"/>
        </w:rPr>
        <w:t xml:space="preserve"> </w:t>
      </w:r>
      <w:bookmarkEnd w:id="283"/>
    </w:p>
    <w:p w14:paraId="26839F96" w14:textId="77777777" w:rsidR="00BB7FB6" w:rsidRDefault="00BB7FB6">
      <w:pPr>
        <w:spacing w:line="360" w:lineRule="auto"/>
        <w:ind w:firstLineChars="200" w:firstLine="420"/>
      </w:pPr>
      <w:r>
        <w:rPr>
          <w:rFonts w:ascii="宋体" w:hAnsi="宋体" w:hint="eastAsia"/>
        </w:rPr>
        <w:t>报告期内本基金投资的前十名股票中没有在基金合同规定备选股票库之外的股票。</w:t>
      </w:r>
    </w:p>
    <w:p w14:paraId="228E12B0" w14:textId="77777777" w:rsidR="00BB7FB6" w:rsidRDefault="00BB7FB6">
      <w:pPr>
        <w:pStyle w:val="XBRLTitle3"/>
        <w:spacing w:before="156"/>
        <w:ind w:left="0"/>
      </w:pPr>
      <w:bookmarkStart w:id="284" w:name="_Toc17898216"/>
      <w:bookmarkStart w:id="285" w:name="_Toc481075085"/>
      <w:bookmarkStart w:id="286" w:name="_Toc490050038"/>
      <w:bookmarkStart w:id="287" w:name="_Toc512519517"/>
      <w:bookmarkStart w:id="288" w:name="_Toc513295929"/>
      <w:bookmarkStart w:id="289" w:name="m510_02"/>
      <w:bookmarkEnd w:id="261"/>
      <w:proofErr w:type="spellStart"/>
      <w:r>
        <w:rPr>
          <w:rFonts w:hint="eastAsia"/>
        </w:rPr>
        <w:t>其他资产构成</w:t>
      </w:r>
      <w:bookmarkEnd w:id="284"/>
      <w:bookmarkEnd w:id="285"/>
      <w:bookmarkEnd w:id="286"/>
      <w:bookmarkEnd w:id="287"/>
      <w:bookmarkEnd w:id="28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619F7" w14:paraId="73E46536" w14:textId="77777777">
        <w:trPr>
          <w:divId w:val="101734317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6FB192" w14:textId="77777777" w:rsidR="00BB7FB6" w:rsidRDefault="00BB7FB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BFA64" w14:textId="77777777" w:rsidR="00BB7FB6" w:rsidRDefault="00BB7FB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1ABB0" w14:textId="77777777" w:rsidR="00BB7FB6" w:rsidRDefault="00BB7FB6">
            <w:pPr>
              <w:jc w:val="center"/>
            </w:pPr>
            <w:r>
              <w:rPr>
                <w:rFonts w:ascii="宋体" w:hAnsi="宋体" w:hint="eastAsia"/>
              </w:rPr>
              <w:t>金额（元）</w:t>
            </w:r>
            <w:r>
              <w:t xml:space="preserve"> </w:t>
            </w:r>
          </w:p>
        </w:tc>
      </w:tr>
      <w:tr w:rsidR="003619F7" w14:paraId="7FB73B81" w14:textId="77777777">
        <w:trPr>
          <w:divId w:val="10173431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BC693" w14:textId="77777777" w:rsidR="00BB7FB6" w:rsidRDefault="00BB7FB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DB5EB" w14:textId="77777777" w:rsidR="00BB7FB6" w:rsidRDefault="00BB7FB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8BAE9" w14:textId="77777777" w:rsidR="00BB7FB6" w:rsidRDefault="00BB7FB6">
            <w:pPr>
              <w:jc w:val="right"/>
            </w:pPr>
            <w:r>
              <w:rPr>
                <w:rFonts w:ascii="宋体" w:hAnsi="宋体" w:hint="eastAsia"/>
              </w:rPr>
              <w:t>27,547.03</w:t>
            </w:r>
          </w:p>
        </w:tc>
      </w:tr>
      <w:tr w:rsidR="003619F7" w14:paraId="60ABC4E0" w14:textId="77777777">
        <w:trPr>
          <w:divId w:val="10173431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2D347" w14:textId="77777777" w:rsidR="00BB7FB6" w:rsidRDefault="00BB7FB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017BE" w14:textId="77777777" w:rsidR="00BB7FB6" w:rsidRDefault="00BB7FB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BC2C5" w14:textId="77777777" w:rsidR="00BB7FB6" w:rsidRDefault="00BB7FB6">
            <w:pPr>
              <w:jc w:val="right"/>
            </w:pPr>
            <w:r>
              <w:rPr>
                <w:rFonts w:ascii="宋体" w:hAnsi="宋体" w:hint="eastAsia"/>
              </w:rPr>
              <w:t>-</w:t>
            </w:r>
          </w:p>
        </w:tc>
      </w:tr>
      <w:tr w:rsidR="003619F7" w14:paraId="39F32180" w14:textId="77777777">
        <w:trPr>
          <w:divId w:val="10173431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C9FE4" w14:textId="77777777" w:rsidR="00BB7FB6" w:rsidRDefault="00BB7FB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EB17D" w14:textId="77777777" w:rsidR="00BB7FB6" w:rsidRDefault="00BB7FB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BE314" w14:textId="77777777" w:rsidR="00BB7FB6" w:rsidRDefault="00BB7FB6">
            <w:pPr>
              <w:jc w:val="right"/>
            </w:pPr>
            <w:r>
              <w:rPr>
                <w:rFonts w:ascii="宋体" w:hAnsi="宋体" w:hint="eastAsia"/>
              </w:rPr>
              <w:t>-</w:t>
            </w:r>
          </w:p>
        </w:tc>
      </w:tr>
      <w:tr w:rsidR="003619F7" w14:paraId="53484A3A" w14:textId="77777777">
        <w:trPr>
          <w:divId w:val="10173431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8FDEC" w14:textId="77777777" w:rsidR="00BB7FB6" w:rsidRDefault="00BB7FB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21914" w14:textId="77777777" w:rsidR="00BB7FB6" w:rsidRDefault="00BB7FB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90601" w14:textId="77777777" w:rsidR="00BB7FB6" w:rsidRDefault="00BB7FB6">
            <w:pPr>
              <w:jc w:val="right"/>
            </w:pPr>
            <w:r>
              <w:rPr>
                <w:rFonts w:ascii="宋体" w:hAnsi="宋体" w:hint="eastAsia"/>
              </w:rPr>
              <w:t>-</w:t>
            </w:r>
          </w:p>
        </w:tc>
      </w:tr>
      <w:tr w:rsidR="003619F7" w14:paraId="18539728" w14:textId="77777777">
        <w:trPr>
          <w:divId w:val="10173431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46233" w14:textId="77777777" w:rsidR="00BB7FB6" w:rsidRDefault="00BB7FB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7EAD0" w14:textId="77777777" w:rsidR="00BB7FB6" w:rsidRDefault="00BB7FB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7EE74" w14:textId="77777777" w:rsidR="00BB7FB6" w:rsidRDefault="00BB7FB6">
            <w:pPr>
              <w:jc w:val="right"/>
            </w:pPr>
            <w:r>
              <w:rPr>
                <w:rFonts w:ascii="宋体" w:hAnsi="宋体" w:hint="eastAsia"/>
              </w:rPr>
              <w:t>180,318.06</w:t>
            </w:r>
          </w:p>
        </w:tc>
      </w:tr>
      <w:tr w:rsidR="003619F7" w14:paraId="29376B84" w14:textId="77777777">
        <w:trPr>
          <w:divId w:val="10173431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AAA27" w14:textId="77777777" w:rsidR="00BB7FB6" w:rsidRDefault="00BB7FB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E8517" w14:textId="77777777" w:rsidR="00BB7FB6" w:rsidRDefault="00BB7FB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4A4EA" w14:textId="77777777" w:rsidR="00BB7FB6" w:rsidRDefault="00BB7FB6">
            <w:pPr>
              <w:jc w:val="right"/>
            </w:pPr>
            <w:r>
              <w:rPr>
                <w:rFonts w:ascii="宋体" w:hAnsi="宋体" w:hint="eastAsia"/>
              </w:rPr>
              <w:t>-</w:t>
            </w:r>
          </w:p>
        </w:tc>
      </w:tr>
      <w:tr w:rsidR="003619F7" w14:paraId="0C331FA9" w14:textId="77777777">
        <w:trPr>
          <w:divId w:val="10173431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47DDF" w14:textId="77777777" w:rsidR="00BB7FB6" w:rsidRDefault="00BB7FB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DA276" w14:textId="77777777" w:rsidR="00BB7FB6" w:rsidRDefault="00BB7FB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E6986" w14:textId="77777777" w:rsidR="00BB7FB6" w:rsidRDefault="00BB7FB6">
            <w:pPr>
              <w:jc w:val="right"/>
            </w:pPr>
            <w:r>
              <w:rPr>
                <w:rFonts w:ascii="宋体" w:hAnsi="宋体" w:hint="eastAsia"/>
              </w:rPr>
              <w:t>-</w:t>
            </w:r>
          </w:p>
        </w:tc>
      </w:tr>
      <w:tr w:rsidR="003619F7" w14:paraId="7FCA0B0E" w14:textId="77777777">
        <w:trPr>
          <w:divId w:val="101734317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2520A" w14:textId="77777777" w:rsidR="00BB7FB6" w:rsidRDefault="00BB7FB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21397" w14:textId="77777777" w:rsidR="00BB7FB6" w:rsidRDefault="00BB7FB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6460B" w14:textId="77777777" w:rsidR="00BB7FB6" w:rsidRDefault="00BB7FB6">
            <w:pPr>
              <w:jc w:val="right"/>
            </w:pPr>
            <w:r>
              <w:rPr>
                <w:rFonts w:ascii="宋体" w:hAnsi="宋体" w:hint="eastAsia"/>
              </w:rPr>
              <w:t>207,865.09</w:t>
            </w:r>
          </w:p>
        </w:tc>
      </w:tr>
    </w:tbl>
    <w:p w14:paraId="051709FB" w14:textId="77777777" w:rsidR="00BB7FB6" w:rsidRDefault="00BB7FB6">
      <w:pPr>
        <w:pStyle w:val="XBRLTitle3"/>
        <w:spacing w:before="156"/>
        <w:ind w:left="0"/>
      </w:pPr>
      <w:bookmarkStart w:id="290" w:name="_Toc17898217"/>
      <w:bookmarkStart w:id="291" w:name="_Toc481075086"/>
      <w:bookmarkStart w:id="292" w:name="_Toc490050039"/>
      <w:bookmarkStart w:id="293" w:name="_Toc512519518"/>
      <w:bookmarkStart w:id="294" w:name="_Toc513295930"/>
      <w:bookmarkStart w:id="295" w:name="m510_03"/>
      <w:bookmarkEnd w:id="289"/>
      <w:proofErr w:type="spellStart"/>
      <w:r>
        <w:rPr>
          <w:rFonts w:hint="eastAsia"/>
        </w:rPr>
        <w:t>报告期末持有的处于转股期的可转换债券明细</w:t>
      </w:r>
      <w:bookmarkEnd w:id="290"/>
      <w:bookmarkEnd w:id="291"/>
      <w:bookmarkEnd w:id="292"/>
      <w:bookmarkEnd w:id="293"/>
      <w:bookmarkEnd w:id="294"/>
      <w:proofErr w:type="spellEnd"/>
    </w:p>
    <w:p w14:paraId="5FE69941" w14:textId="77777777" w:rsidR="00BB7FB6" w:rsidRDefault="00BB7FB6">
      <w:pPr>
        <w:spacing w:line="360" w:lineRule="auto"/>
        <w:ind w:firstLineChars="200" w:firstLine="420"/>
        <w:jc w:val="left"/>
      </w:pPr>
      <w:r>
        <w:rPr>
          <w:rFonts w:ascii="宋体" w:hAnsi="宋体" w:hint="eastAsia"/>
        </w:rPr>
        <w:t xml:space="preserve">本基金本报告期末未持有处于转股期的可转换债券。 </w:t>
      </w:r>
    </w:p>
    <w:p w14:paraId="2C923FDC" w14:textId="77777777" w:rsidR="00BB7FB6" w:rsidRDefault="00BB7FB6">
      <w:pPr>
        <w:pStyle w:val="XBRLTitle3"/>
        <w:spacing w:before="156"/>
        <w:ind w:left="0"/>
      </w:pPr>
      <w:bookmarkStart w:id="296" w:name="_Toc17898218"/>
      <w:bookmarkStart w:id="297" w:name="_Toc481075087"/>
      <w:bookmarkStart w:id="298" w:name="_Toc490050040"/>
      <w:bookmarkStart w:id="299" w:name="_Toc512519519"/>
      <w:bookmarkStart w:id="300" w:name="_Toc513295931"/>
      <w:bookmarkStart w:id="301" w:name="m510_04"/>
      <w:bookmarkEnd w:id="295"/>
      <w:proofErr w:type="spellStart"/>
      <w:r>
        <w:rPr>
          <w:rFonts w:hint="eastAsia"/>
        </w:rPr>
        <w:t>报告期末前十名股票中存在流通受限情况的说明</w:t>
      </w:r>
      <w:bookmarkEnd w:id="296"/>
      <w:bookmarkEnd w:id="297"/>
      <w:bookmarkEnd w:id="298"/>
      <w:bookmarkEnd w:id="299"/>
      <w:bookmarkEnd w:id="300"/>
      <w:proofErr w:type="spellEnd"/>
    </w:p>
    <w:p w14:paraId="01A8AE52" w14:textId="77777777" w:rsidR="00BB7FB6" w:rsidRDefault="00BB7FB6">
      <w:pPr>
        <w:spacing w:line="360" w:lineRule="auto"/>
        <w:ind w:firstLineChars="200" w:firstLine="420"/>
        <w:jc w:val="left"/>
        <w:divId w:val="86147516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3F3439A2" w14:textId="77777777" w:rsidR="00BB7FB6" w:rsidRDefault="00BB7FB6">
      <w:pPr>
        <w:pStyle w:val="XBRLTitle3"/>
        <w:spacing w:before="156"/>
        <w:ind w:left="0"/>
      </w:pPr>
      <w:bookmarkStart w:id="302" w:name="_Toc17898219"/>
      <w:bookmarkStart w:id="303" w:name="_Toc512519520"/>
      <w:bookmarkStart w:id="304" w:name="_Toc481075088"/>
      <w:bookmarkStart w:id="305" w:name="_Toc490050041"/>
      <w:bookmarkStart w:id="306" w:name="_Toc513295932"/>
      <w:bookmarkStart w:id="307" w:name="m510_05_1678"/>
      <w:bookmarkEnd w:id="301"/>
      <w:proofErr w:type="spellStart"/>
      <w:r>
        <w:rPr>
          <w:rFonts w:hint="eastAsia"/>
        </w:rPr>
        <w:t>投资组合报告附注的其他文字描述部分</w:t>
      </w:r>
      <w:bookmarkEnd w:id="302"/>
      <w:bookmarkEnd w:id="303"/>
      <w:bookmarkEnd w:id="304"/>
      <w:bookmarkEnd w:id="305"/>
      <w:bookmarkEnd w:id="306"/>
      <w:proofErr w:type="spellEnd"/>
      <w:r>
        <w:rPr>
          <w:rFonts w:hint="eastAsia"/>
          <w:sz w:val="21"/>
        </w:rPr>
        <w:t xml:space="preserve"> </w:t>
      </w:r>
    </w:p>
    <w:p w14:paraId="5193DE62" w14:textId="77777777" w:rsidR="00BB7FB6" w:rsidRDefault="00BB7FB6">
      <w:pPr>
        <w:spacing w:line="360" w:lineRule="auto"/>
        <w:ind w:firstLineChars="200" w:firstLine="420"/>
        <w:jc w:val="left"/>
      </w:pPr>
      <w:r>
        <w:rPr>
          <w:rFonts w:ascii="宋体" w:hAnsi="宋体" w:hint="eastAsia"/>
        </w:rPr>
        <w:lastRenderedPageBreak/>
        <w:t>因四舍五入原因，投资组合报告中分项之和与合计可能存在尾差。</w:t>
      </w:r>
      <w:bookmarkEnd w:id="307"/>
      <w:r>
        <w:rPr>
          <w:rFonts w:ascii="宋体" w:hAnsi="宋体" w:hint="eastAsia"/>
        </w:rPr>
        <w:t xml:space="preserve"> </w:t>
      </w:r>
    </w:p>
    <w:p w14:paraId="30C73570" w14:textId="77777777" w:rsidR="00BB7FB6" w:rsidRDefault="00BB7FB6">
      <w:pPr>
        <w:pStyle w:val="XBRLTitle1"/>
        <w:spacing w:before="156" w:line="360" w:lineRule="auto"/>
        <w:ind w:left="425"/>
      </w:pPr>
      <w:bookmarkStart w:id="308" w:name="_Toc17898220"/>
      <w:bookmarkStart w:id="309" w:name="_Toc17897961"/>
      <w:bookmarkStart w:id="310" w:name="_Toc512519521"/>
      <w:bookmarkStart w:id="311" w:name="_Toc481075089"/>
      <w:bookmarkStart w:id="312" w:name="_Toc438646477"/>
      <w:bookmarkStart w:id="313" w:name="_Toc490050042"/>
      <w:bookmarkStart w:id="314" w:name="_Toc513295870"/>
      <w:bookmarkStart w:id="315" w:name="_Toc513295933"/>
      <w:bookmarkStart w:id="316" w:name="m601"/>
      <w:bookmarkEnd w:id="181"/>
      <w:proofErr w:type="spellStart"/>
      <w:r>
        <w:rPr>
          <w:rFonts w:hAnsi="宋体" w:hint="eastAsia"/>
        </w:rPr>
        <w:t>开放式基金份额变动</w:t>
      </w:r>
      <w:bookmarkStart w:id="317" w:name="m601_tab"/>
      <w:bookmarkEnd w:id="308"/>
      <w:bookmarkEnd w:id="309"/>
      <w:bookmarkEnd w:id="310"/>
      <w:bookmarkEnd w:id="311"/>
      <w:bookmarkEnd w:id="312"/>
      <w:bookmarkEnd w:id="313"/>
      <w:bookmarkEnd w:id="314"/>
      <w:bookmarkEnd w:id="315"/>
      <w:proofErr w:type="spellEnd"/>
      <w:r>
        <w:rPr>
          <w:rFonts w:hAnsi="宋体" w:hint="eastAsia"/>
        </w:rPr>
        <w:t xml:space="preserve"> </w:t>
      </w:r>
    </w:p>
    <w:p w14:paraId="6559C960" w14:textId="77777777" w:rsidR="00BB7FB6" w:rsidRDefault="00BB7FB6">
      <w:pPr>
        <w:wordWrap w:val="0"/>
        <w:spacing w:line="360" w:lineRule="auto"/>
        <w:jc w:val="right"/>
        <w:divId w:val="559906808"/>
      </w:pPr>
      <w:bookmarkStart w:id="31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3619F7" w14:paraId="5C5CC522" w14:textId="77777777">
        <w:trPr>
          <w:divId w:val="55990680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08F50DA" w14:textId="77777777" w:rsidR="00BB7FB6" w:rsidRDefault="00BB7FB6">
            <w:pPr>
              <w:pStyle w:val="xl33"/>
              <w:widowControl w:val="0"/>
              <w:pBdr>
                <w:left w:val="none" w:sz="0" w:space="0" w:color="auto"/>
                <w:bottom w:val="none" w:sz="0" w:space="0" w:color="auto"/>
                <w:right w:val="none" w:sz="0" w:space="0" w:color="auto"/>
              </w:pBdr>
              <w:spacing w:before="0" w:beforeAutospacing="0" w:after="0" w:afterAutospacing="0"/>
              <w:jc w:val="both"/>
            </w:pPr>
            <w:bookmarkStart w:id="319" w:name="m10_01" w:colFirst="1" w:colLast="2"/>
            <w:bookmarkEnd w:id="318"/>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D8107" w14:textId="77777777" w:rsidR="00BB7FB6" w:rsidRDefault="00BB7FB6">
            <w:pPr>
              <w:ind w:right="3"/>
              <w:jc w:val="center"/>
            </w:pPr>
            <w:r>
              <w:rPr>
                <w:rFonts w:ascii="宋体" w:hAnsi="宋体" w:hint="eastAsia"/>
                <w:lang w:eastAsia="zh-Hans"/>
              </w:rPr>
              <w:t>摩根60天持有期债券A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EBCE78" w14:textId="77777777" w:rsidR="00BB7FB6" w:rsidRDefault="00BB7FB6">
            <w:pPr>
              <w:ind w:right="3"/>
              <w:jc w:val="center"/>
            </w:pPr>
            <w:r>
              <w:rPr>
                <w:rFonts w:ascii="宋体" w:hAnsi="宋体" w:hint="eastAsia"/>
                <w:lang w:eastAsia="zh-Hans"/>
              </w:rPr>
              <w:t>摩根60天持有期债券C</w:t>
            </w:r>
            <w:r>
              <w:rPr>
                <w:rFonts w:ascii="宋体" w:hAnsi="宋体" w:hint="eastAsia"/>
                <w:kern w:val="0"/>
                <w:szCs w:val="24"/>
                <w:lang w:eastAsia="zh-Hans"/>
              </w:rPr>
              <w:t xml:space="preserve"> </w:t>
            </w:r>
          </w:p>
        </w:tc>
      </w:tr>
      <w:tr w:rsidR="003619F7" w14:paraId="3FD67CE3" w14:textId="77777777">
        <w:trPr>
          <w:divId w:val="5599068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0386A3" w14:textId="77777777" w:rsidR="00BB7FB6" w:rsidRDefault="00BB7F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50FA87" w14:textId="77777777" w:rsidR="00BB7FB6" w:rsidRDefault="00BB7FB6">
            <w:pPr>
              <w:jc w:val="right"/>
            </w:pPr>
            <w:r>
              <w:rPr>
                <w:rFonts w:ascii="宋体" w:hAnsi="宋体" w:hint="eastAsia"/>
              </w:rPr>
              <w:t>27,436,137.42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A7C250" w14:textId="77777777" w:rsidR="00BB7FB6" w:rsidRDefault="00BB7FB6">
            <w:pPr>
              <w:jc w:val="right"/>
            </w:pPr>
            <w:r>
              <w:rPr>
                <w:rFonts w:ascii="宋体" w:hAnsi="宋体" w:hint="eastAsia"/>
              </w:rPr>
              <w:t>133,666,601.94</w:t>
            </w:r>
          </w:p>
        </w:tc>
      </w:tr>
      <w:tr w:rsidR="003619F7" w14:paraId="6A9FC24B" w14:textId="77777777">
        <w:trPr>
          <w:divId w:val="5599068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81D3D4" w14:textId="77777777" w:rsidR="00BB7FB6" w:rsidRDefault="00BB7F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A82ACE" w14:textId="77777777" w:rsidR="00BB7FB6" w:rsidRDefault="00BB7FB6">
            <w:pPr>
              <w:jc w:val="right"/>
            </w:pPr>
            <w:r>
              <w:rPr>
                <w:rFonts w:ascii="宋体" w:hAnsi="宋体" w:hint="eastAsia"/>
              </w:rPr>
              <w:t>386,008.97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7F02EA" w14:textId="77777777" w:rsidR="00BB7FB6" w:rsidRDefault="00BB7FB6">
            <w:pPr>
              <w:jc w:val="right"/>
            </w:pPr>
            <w:r>
              <w:rPr>
                <w:rFonts w:ascii="宋体" w:hAnsi="宋体" w:hint="eastAsia"/>
              </w:rPr>
              <w:t>2,983,490.92</w:t>
            </w:r>
          </w:p>
        </w:tc>
      </w:tr>
      <w:tr w:rsidR="003619F7" w14:paraId="7487D2F2" w14:textId="77777777">
        <w:trPr>
          <w:divId w:val="5599068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ED97AF" w14:textId="77777777" w:rsidR="00BB7FB6" w:rsidRDefault="00BB7F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E0BF48" w14:textId="77777777" w:rsidR="00BB7FB6" w:rsidRDefault="00BB7FB6">
            <w:pPr>
              <w:jc w:val="right"/>
            </w:pPr>
            <w:r>
              <w:rPr>
                <w:rFonts w:ascii="宋体" w:hAnsi="宋体" w:hint="eastAsia"/>
              </w:rPr>
              <w:t>18,975,312.30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171B87" w14:textId="77777777" w:rsidR="00BB7FB6" w:rsidRDefault="00BB7FB6">
            <w:pPr>
              <w:jc w:val="right"/>
            </w:pPr>
            <w:r>
              <w:rPr>
                <w:rFonts w:ascii="宋体" w:hAnsi="宋体" w:hint="eastAsia"/>
              </w:rPr>
              <w:t>97,315,340.37</w:t>
            </w:r>
          </w:p>
        </w:tc>
      </w:tr>
      <w:tr w:rsidR="003619F7" w14:paraId="333726D0" w14:textId="77777777">
        <w:trPr>
          <w:divId w:val="5599068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B48401" w14:textId="77777777" w:rsidR="00BB7FB6" w:rsidRDefault="00BB7F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38D808" w14:textId="77777777" w:rsidR="00BB7FB6" w:rsidRDefault="00BB7FB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C47130" w14:textId="77777777" w:rsidR="00BB7FB6" w:rsidRDefault="00BB7FB6">
            <w:pPr>
              <w:jc w:val="right"/>
            </w:pPr>
            <w:r>
              <w:rPr>
                <w:rFonts w:ascii="宋体" w:hAnsi="宋体" w:hint="eastAsia"/>
              </w:rPr>
              <w:t>-</w:t>
            </w:r>
          </w:p>
        </w:tc>
      </w:tr>
      <w:tr w:rsidR="003619F7" w14:paraId="7556E73F" w14:textId="77777777">
        <w:trPr>
          <w:divId w:val="5599068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8D460" w14:textId="77777777" w:rsidR="00BB7FB6" w:rsidRDefault="00BB7F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584669" w14:textId="77777777" w:rsidR="00BB7FB6" w:rsidRDefault="00BB7FB6">
            <w:pPr>
              <w:jc w:val="right"/>
            </w:pPr>
            <w:r>
              <w:rPr>
                <w:rFonts w:ascii="宋体" w:hAnsi="宋体" w:hint="eastAsia"/>
              </w:rPr>
              <w:t>8,846,834.09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91F453" w14:textId="77777777" w:rsidR="00BB7FB6" w:rsidRDefault="00BB7FB6">
            <w:pPr>
              <w:jc w:val="right"/>
            </w:pPr>
            <w:r>
              <w:rPr>
                <w:rFonts w:ascii="宋体" w:hAnsi="宋体" w:hint="eastAsia"/>
              </w:rPr>
              <w:t>39,334,752.49</w:t>
            </w:r>
          </w:p>
        </w:tc>
      </w:tr>
    </w:tbl>
    <w:p w14:paraId="21F24696" w14:textId="77777777" w:rsidR="00BB7FB6" w:rsidRDefault="00BB7FB6">
      <w:pPr>
        <w:spacing w:line="360" w:lineRule="auto"/>
        <w:jc w:val="left"/>
        <w:divId w:val="55990680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9"/>
      <w:r>
        <w:rPr>
          <w:rFonts w:ascii="宋体" w:hAnsi="宋体" w:hint="eastAsia"/>
        </w:rPr>
        <w:t xml:space="preserve"> </w:t>
      </w:r>
    </w:p>
    <w:p w14:paraId="668AB524" w14:textId="77777777" w:rsidR="00BB7FB6" w:rsidRDefault="00BB7FB6">
      <w:pPr>
        <w:pStyle w:val="XBRLTitle1"/>
        <w:spacing w:before="156" w:line="360" w:lineRule="auto"/>
        <w:ind w:left="425"/>
      </w:pPr>
      <w:bookmarkStart w:id="320" w:name="_Toc17898221"/>
      <w:bookmarkStart w:id="321" w:name="_Toc17897962"/>
      <w:bookmarkStart w:id="322" w:name="m7manage01"/>
      <w:bookmarkStart w:id="323" w:name="_Toc512519522"/>
      <w:bookmarkStart w:id="324" w:name="_Toc481075090"/>
      <w:bookmarkStart w:id="325" w:name="_Toc438646478"/>
      <w:bookmarkStart w:id="326" w:name="_Toc490050043"/>
      <w:bookmarkStart w:id="327" w:name="_Toc513295871"/>
      <w:bookmarkStart w:id="328" w:name="_Toc513295934"/>
      <w:bookmarkEnd w:id="316"/>
      <w:bookmarkEnd w:id="317"/>
      <w:proofErr w:type="spellStart"/>
      <w:r>
        <w:rPr>
          <w:rFonts w:hAnsi="宋体" w:hint="eastAsia"/>
        </w:rPr>
        <w:t>基金管理人运用固有资金投资本基金情况</w:t>
      </w:r>
      <w:bookmarkEnd w:id="320"/>
      <w:bookmarkEnd w:id="321"/>
      <w:bookmarkEnd w:id="322"/>
      <w:bookmarkEnd w:id="323"/>
      <w:bookmarkEnd w:id="324"/>
      <w:bookmarkEnd w:id="325"/>
      <w:bookmarkEnd w:id="326"/>
      <w:bookmarkEnd w:id="327"/>
      <w:bookmarkEnd w:id="328"/>
      <w:proofErr w:type="spellEnd"/>
      <w:r>
        <w:rPr>
          <w:rFonts w:hAnsi="宋体" w:hint="eastAsia"/>
        </w:rPr>
        <w:t xml:space="preserve"> </w:t>
      </w:r>
    </w:p>
    <w:p w14:paraId="72541F4F" w14:textId="77777777" w:rsidR="00BB7FB6" w:rsidRDefault="00BB7FB6">
      <w:pPr>
        <w:pStyle w:val="XBRLTitle2"/>
        <w:spacing w:before="156" w:line="360" w:lineRule="auto"/>
        <w:ind w:left="454"/>
      </w:pPr>
      <w:bookmarkStart w:id="329" w:name="_Toc17898222"/>
      <w:bookmarkStart w:id="330" w:name="_Toc17897963"/>
      <w:bookmarkStart w:id="331" w:name="_Toc512519523"/>
      <w:bookmarkStart w:id="332" w:name="_Toc481075091"/>
      <w:bookmarkStart w:id="333" w:name="_Toc458599606"/>
      <w:bookmarkStart w:id="334" w:name="_Toc490050044"/>
      <w:bookmarkStart w:id="335" w:name="_Toc513295872"/>
      <w:bookmarkStart w:id="336" w:name="_Toc513295935"/>
      <w:proofErr w:type="spellStart"/>
      <w:r>
        <w:rPr>
          <w:rFonts w:hAnsi="宋体" w:hint="eastAsia"/>
        </w:rPr>
        <w:t>基金管理人持有本基金份额变动情况</w:t>
      </w:r>
      <w:bookmarkEnd w:id="329"/>
      <w:bookmarkEnd w:id="330"/>
      <w:bookmarkEnd w:id="331"/>
      <w:bookmarkEnd w:id="332"/>
      <w:bookmarkEnd w:id="333"/>
      <w:bookmarkEnd w:id="334"/>
      <w:bookmarkEnd w:id="335"/>
      <w:bookmarkEnd w:id="336"/>
      <w:proofErr w:type="spellEnd"/>
      <w:r>
        <w:rPr>
          <w:rFonts w:hAnsi="宋体" w:hint="eastAsia"/>
          <w:lang w:eastAsia="zh-CN"/>
        </w:rPr>
        <w:t xml:space="preserve"> </w:t>
      </w:r>
    </w:p>
    <w:p w14:paraId="204215DC" w14:textId="77777777" w:rsidR="00BB7FB6" w:rsidRDefault="00BB7FB6">
      <w:pPr>
        <w:spacing w:line="360" w:lineRule="auto"/>
        <w:ind w:firstLineChars="200" w:firstLine="420"/>
        <w:jc w:val="left"/>
        <w:divId w:val="156505998"/>
      </w:pPr>
      <w:r>
        <w:rPr>
          <w:rFonts w:ascii="宋体" w:hAnsi="宋体" w:hint="eastAsia"/>
          <w:szCs w:val="21"/>
          <w:lang w:eastAsia="zh-Hans"/>
        </w:rPr>
        <w:t>无。</w:t>
      </w:r>
      <w:r>
        <w:rPr>
          <w:rFonts w:ascii="宋体" w:hAnsi="宋体" w:hint="eastAsia"/>
          <w:szCs w:val="21"/>
        </w:rPr>
        <w:t xml:space="preserve"> </w:t>
      </w:r>
    </w:p>
    <w:p w14:paraId="224D4BA7" w14:textId="77777777" w:rsidR="00BB7FB6" w:rsidRDefault="00BB7FB6">
      <w:pPr>
        <w:pStyle w:val="XBRLTitle2"/>
        <w:spacing w:before="156" w:line="360" w:lineRule="auto"/>
        <w:ind w:left="454"/>
      </w:pPr>
      <w:bookmarkStart w:id="337" w:name="_Toc17898223"/>
      <w:bookmarkStart w:id="338" w:name="_Toc17897964"/>
      <w:bookmarkStart w:id="339" w:name="_Toc512519524"/>
      <w:bookmarkStart w:id="340" w:name="_Toc481075092"/>
      <w:bookmarkStart w:id="341" w:name="_Toc458599607"/>
      <w:bookmarkStart w:id="342" w:name="_Toc490050045"/>
      <w:bookmarkStart w:id="343" w:name="_Toc513295873"/>
      <w:bookmarkStart w:id="344" w:name="_Toc513295936"/>
      <w:proofErr w:type="spellStart"/>
      <w:r>
        <w:rPr>
          <w:rFonts w:hAnsi="宋体" w:hint="eastAsia"/>
        </w:rPr>
        <w:t>基金管理人运用固有资金投资本基金交易明细</w:t>
      </w:r>
      <w:bookmarkEnd w:id="337"/>
      <w:bookmarkEnd w:id="338"/>
      <w:bookmarkEnd w:id="339"/>
      <w:bookmarkEnd w:id="340"/>
      <w:bookmarkEnd w:id="341"/>
      <w:bookmarkEnd w:id="342"/>
      <w:bookmarkEnd w:id="343"/>
      <w:bookmarkEnd w:id="344"/>
      <w:proofErr w:type="spellEnd"/>
      <w:r>
        <w:rPr>
          <w:rFonts w:hAnsi="宋体" w:hint="eastAsia"/>
          <w:lang w:eastAsia="zh-CN"/>
        </w:rPr>
        <w:t xml:space="preserve"> </w:t>
      </w:r>
    </w:p>
    <w:p w14:paraId="0A5BF806" w14:textId="77777777" w:rsidR="00BB7FB6" w:rsidRDefault="00BB7FB6">
      <w:pPr>
        <w:spacing w:line="360" w:lineRule="auto"/>
        <w:ind w:firstLineChars="200" w:firstLine="420"/>
        <w:jc w:val="left"/>
        <w:divId w:val="663438294"/>
      </w:pPr>
      <w:r>
        <w:rPr>
          <w:rFonts w:ascii="宋体" w:hAnsi="宋体" w:hint="eastAsia"/>
          <w:lang w:eastAsia="zh-Hans"/>
        </w:rPr>
        <w:t>无。</w:t>
      </w:r>
      <w:r>
        <w:rPr>
          <w:rFonts w:ascii="宋体" w:hAnsi="宋体" w:hint="eastAsia"/>
        </w:rPr>
        <w:t xml:space="preserve"> </w:t>
      </w:r>
    </w:p>
    <w:p w14:paraId="0546B40F" w14:textId="77777777" w:rsidR="00BB7FB6" w:rsidRDefault="00BB7FB6">
      <w:pPr>
        <w:pStyle w:val="XBRLTitle1"/>
        <w:spacing w:before="156" w:line="360" w:lineRule="auto"/>
        <w:ind w:left="425"/>
      </w:pPr>
      <w:bookmarkStart w:id="345" w:name="_Toc17898225"/>
      <w:bookmarkStart w:id="346" w:name="_Toc17897966"/>
      <w:bookmarkStart w:id="347" w:name="_Toc512519526"/>
      <w:bookmarkStart w:id="348" w:name="_Toc490050046"/>
      <w:bookmarkStart w:id="349" w:name="_Toc481075094"/>
      <w:bookmarkStart w:id="350" w:name="_Toc479856294"/>
      <w:bookmarkStart w:id="351" w:name="_Toc513295875"/>
      <w:bookmarkStart w:id="352" w:name="_Toc513295938"/>
      <w:bookmarkStart w:id="353" w:name="m701"/>
      <w:proofErr w:type="spellStart"/>
      <w:r>
        <w:rPr>
          <w:rFonts w:hAnsi="宋体" w:hint="eastAsia"/>
        </w:rPr>
        <w:t>影响投资者决策的其他重要信息</w:t>
      </w:r>
      <w:bookmarkEnd w:id="345"/>
      <w:bookmarkEnd w:id="346"/>
      <w:bookmarkEnd w:id="347"/>
      <w:bookmarkEnd w:id="348"/>
      <w:bookmarkEnd w:id="349"/>
      <w:bookmarkEnd w:id="350"/>
      <w:bookmarkEnd w:id="351"/>
      <w:bookmarkEnd w:id="352"/>
      <w:proofErr w:type="spellEnd"/>
      <w:r>
        <w:rPr>
          <w:rFonts w:hAnsi="宋体" w:hint="eastAsia"/>
          <w:lang w:eastAsia="zh-CN"/>
        </w:rPr>
        <w:t xml:space="preserve"> </w:t>
      </w:r>
    </w:p>
    <w:p w14:paraId="04764792" w14:textId="77777777" w:rsidR="00BB7FB6" w:rsidRDefault="00BB7FB6">
      <w:pPr>
        <w:pStyle w:val="XBRLTitle2"/>
        <w:spacing w:before="156" w:line="360" w:lineRule="auto"/>
        <w:ind w:left="454"/>
      </w:pPr>
      <w:bookmarkStart w:id="354" w:name="_Toc17898226"/>
      <w:bookmarkStart w:id="355" w:name="_Toc17897967"/>
      <w:bookmarkStart w:id="356" w:name="_Toc512519527"/>
      <w:bookmarkStart w:id="357" w:name="_Toc481075095"/>
      <w:bookmarkStart w:id="358" w:name="_Toc490050047"/>
      <w:bookmarkStart w:id="359" w:name="_Toc513295876"/>
      <w:bookmarkStart w:id="360" w:name="_Toc513295939"/>
      <w:r>
        <w:rPr>
          <w:rFonts w:hAnsi="宋体" w:hint="eastAsia"/>
          <w:kern w:val="0"/>
        </w:rPr>
        <w:t>报告期内单一投资者持有基金份额比例达到或超过20%的情况</w:t>
      </w:r>
      <w:bookmarkEnd w:id="354"/>
      <w:bookmarkEnd w:id="355"/>
      <w:bookmarkEnd w:id="356"/>
      <w:bookmarkEnd w:id="357"/>
      <w:bookmarkEnd w:id="358"/>
      <w:bookmarkEnd w:id="359"/>
      <w:bookmarkEnd w:id="360"/>
      <w:r>
        <w:rPr>
          <w:rFonts w:hAnsi="宋体" w:hint="eastAsia"/>
          <w:kern w:val="0"/>
          <w:lang w:eastAsia="zh-CN"/>
        </w:rPr>
        <w:t xml:space="preserve"> </w:t>
      </w:r>
    </w:p>
    <w:bookmarkEnd w:id="22"/>
    <w:bookmarkEnd w:id="42"/>
    <w:bookmarkEnd w:id="43"/>
    <w:p w14:paraId="48A44E48" w14:textId="77777777" w:rsidR="00BB7FB6" w:rsidRDefault="00BB7FB6">
      <w:pPr>
        <w:spacing w:line="360" w:lineRule="auto"/>
        <w:ind w:firstLineChars="200" w:firstLine="420"/>
        <w:divId w:val="134227377"/>
        <w:rPr>
          <w:rFonts w:ascii="宋体" w:hAnsi="宋体" w:hint="eastAsia"/>
          <w:szCs w:val="21"/>
          <w:lang w:eastAsia="zh-Hans"/>
        </w:rPr>
      </w:pPr>
      <w:r>
        <w:rPr>
          <w:rFonts w:ascii="宋体" w:hAnsi="宋体" w:hint="eastAsia"/>
          <w:szCs w:val="21"/>
          <w:lang w:eastAsia="zh-Hans"/>
        </w:rPr>
        <w:t>无。</w:t>
      </w:r>
    </w:p>
    <w:p w14:paraId="625BFA5E" w14:textId="77777777" w:rsidR="00BB7FB6" w:rsidRDefault="00BB7FB6">
      <w:pPr>
        <w:pStyle w:val="XBRLTitle1"/>
        <w:spacing w:before="156" w:line="360" w:lineRule="auto"/>
        <w:ind w:left="425"/>
      </w:pPr>
      <w:bookmarkStart w:id="361" w:name="_Toc17898228"/>
      <w:bookmarkStart w:id="362" w:name="_Toc17897969"/>
      <w:bookmarkStart w:id="363" w:name="_Toc512519529"/>
      <w:bookmarkStart w:id="364" w:name="_Toc490050049"/>
      <w:bookmarkStart w:id="365" w:name="_Toc481075097"/>
      <w:bookmarkStart w:id="366" w:name="_Toc438646481"/>
      <w:bookmarkStart w:id="367" w:name="_Toc513295878"/>
      <w:bookmarkStart w:id="368" w:name="_Toc513295941"/>
      <w:bookmarkEnd w:id="35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7DA0DCA9" w14:textId="77777777" w:rsidR="00BB7FB6" w:rsidRDefault="00BB7FB6">
      <w:pPr>
        <w:pStyle w:val="XBRLTitle2"/>
        <w:spacing w:before="156" w:line="360" w:lineRule="auto"/>
        <w:ind w:left="454"/>
      </w:pPr>
      <w:bookmarkStart w:id="369" w:name="_Toc438646482"/>
      <w:bookmarkStart w:id="370" w:name="_Toc17898229"/>
      <w:bookmarkStart w:id="371" w:name="_Toc17897970"/>
      <w:bookmarkStart w:id="372" w:name="_Toc512519530"/>
      <w:bookmarkStart w:id="373" w:name="_Toc481075098"/>
      <w:bookmarkStart w:id="374" w:name="_Toc490050050"/>
      <w:bookmarkStart w:id="375" w:name="_Toc513295879"/>
      <w:bookmarkStart w:id="376" w:name="_Toc513295942"/>
      <w:bookmarkStart w:id="377" w:name="m801_01_1733"/>
      <w:proofErr w:type="spellStart"/>
      <w:r>
        <w:rPr>
          <w:rFonts w:hAnsi="宋体" w:hint="eastAsia"/>
        </w:rPr>
        <w:t>备查文件目录</w:t>
      </w:r>
      <w:bookmarkEnd w:id="369"/>
      <w:bookmarkEnd w:id="370"/>
      <w:bookmarkEnd w:id="371"/>
      <w:bookmarkEnd w:id="372"/>
      <w:bookmarkEnd w:id="373"/>
      <w:bookmarkEnd w:id="374"/>
      <w:bookmarkEnd w:id="375"/>
      <w:bookmarkEnd w:id="376"/>
      <w:proofErr w:type="spellEnd"/>
      <w:r>
        <w:rPr>
          <w:rFonts w:hAnsi="宋体" w:hint="eastAsia"/>
        </w:rPr>
        <w:t xml:space="preserve"> </w:t>
      </w:r>
    </w:p>
    <w:p w14:paraId="1F3E2A8B" w14:textId="77777777" w:rsidR="00BB7FB6" w:rsidRDefault="00BB7FB6">
      <w:pPr>
        <w:spacing w:line="360" w:lineRule="auto"/>
        <w:ind w:firstLineChars="200" w:firstLine="420"/>
        <w:jc w:val="left"/>
      </w:pPr>
      <w:r>
        <w:rPr>
          <w:rFonts w:ascii="宋体" w:hAnsi="宋体" w:cs="宋体" w:hint="eastAsia"/>
          <w:color w:val="000000"/>
          <w:kern w:val="0"/>
        </w:rPr>
        <w:t>（一）中国证监会准予摩根60天持有期债券型证券投资基金募集注册的文件</w:t>
      </w:r>
      <w:r>
        <w:rPr>
          <w:rFonts w:ascii="宋体" w:hAnsi="宋体" w:cs="宋体" w:hint="eastAsia"/>
          <w:color w:val="000000"/>
          <w:kern w:val="0"/>
        </w:rPr>
        <w:br/>
        <w:t xml:space="preserve">　　（二）摩根60天持有期债券型证券投资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（三）摩根60天持有期债券型证券投资基金托管协议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r>
      <w:r>
        <w:rPr>
          <w:rFonts w:ascii="宋体" w:hAnsi="宋体" w:cs="宋体" w:hint="eastAsia"/>
          <w:color w:val="000000"/>
          <w:kern w:val="0"/>
        </w:rPr>
        <w:lastRenderedPageBreak/>
        <w:t xml:space="preserve">　　（八）中国证监会要求的其他文件</w:t>
      </w:r>
    </w:p>
    <w:p w14:paraId="2EF2E6BF" w14:textId="77777777" w:rsidR="00BB7FB6" w:rsidRDefault="00BB7FB6">
      <w:pPr>
        <w:pStyle w:val="XBRLTitle2"/>
        <w:spacing w:before="156" w:line="360" w:lineRule="auto"/>
        <w:ind w:left="454"/>
      </w:pPr>
      <w:bookmarkStart w:id="378" w:name="_Toc438646483"/>
      <w:bookmarkStart w:id="379" w:name="_Toc17898230"/>
      <w:bookmarkStart w:id="380" w:name="_Toc17897971"/>
      <w:bookmarkStart w:id="381" w:name="_Toc512519531"/>
      <w:bookmarkStart w:id="382" w:name="_Toc481075099"/>
      <w:bookmarkStart w:id="383" w:name="_Toc490050051"/>
      <w:bookmarkStart w:id="384" w:name="_Toc513295880"/>
      <w:bookmarkStart w:id="385" w:name="_Toc513295943"/>
      <w:bookmarkStart w:id="386" w:name="m801_01_1734"/>
      <w:bookmarkEnd w:id="377"/>
      <w:proofErr w:type="spellStart"/>
      <w:r>
        <w:rPr>
          <w:rFonts w:hAnsi="宋体" w:hint="eastAsia"/>
        </w:rPr>
        <w:t>存放地点</w:t>
      </w:r>
      <w:bookmarkEnd w:id="378"/>
      <w:bookmarkEnd w:id="379"/>
      <w:bookmarkEnd w:id="380"/>
      <w:bookmarkEnd w:id="381"/>
      <w:bookmarkEnd w:id="382"/>
      <w:bookmarkEnd w:id="383"/>
      <w:bookmarkEnd w:id="384"/>
      <w:bookmarkEnd w:id="385"/>
      <w:proofErr w:type="spellEnd"/>
      <w:r>
        <w:rPr>
          <w:rFonts w:hAnsi="宋体" w:hint="eastAsia"/>
        </w:rPr>
        <w:t xml:space="preserve"> </w:t>
      </w:r>
    </w:p>
    <w:p w14:paraId="378AF578" w14:textId="77777777" w:rsidR="00BB7FB6" w:rsidRDefault="00BB7FB6">
      <w:pPr>
        <w:spacing w:line="360" w:lineRule="auto"/>
        <w:ind w:firstLineChars="200" w:firstLine="420"/>
        <w:jc w:val="left"/>
      </w:pPr>
      <w:r>
        <w:rPr>
          <w:rFonts w:ascii="宋体" w:hAnsi="宋体" w:cs="宋体" w:hint="eastAsia"/>
          <w:color w:val="000000"/>
          <w:kern w:val="0"/>
        </w:rPr>
        <w:t>基金管理人或基金托管人住所。</w:t>
      </w:r>
    </w:p>
    <w:p w14:paraId="68F7CC64" w14:textId="77777777" w:rsidR="00BB7FB6" w:rsidRDefault="00BB7FB6">
      <w:pPr>
        <w:pStyle w:val="XBRLTitle2"/>
        <w:spacing w:before="156" w:line="360" w:lineRule="auto"/>
        <w:ind w:left="454"/>
      </w:pPr>
      <w:bookmarkStart w:id="387" w:name="_Toc438646484"/>
      <w:bookmarkStart w:id="388" w:name="_Toc17898231"/>
      <w:bookmarkStart w:id="389" w:name="_Toc17897972"/>
      <w:bookmarkStart w:id="390" w:name="_Toc512519532"/>
      <w:bookmarkStart w:id="391" w:name="_Toc481075100"/>
      <w:bookmarkStart w:id="392" w:name="_Toc490050052"/>
      <w:bookmarkStart w:id="393" w:name="_Toc513295881"/>
      <w:bookmarkStart w:id="394" w:name="_Toc513295944"/>
      <w:bookmarkStart w:id="395" w:name="m801_01_1735"/>
      <w:bookmarkEnd w:id="386"/>
      <w:proofErr w:type="spellStart"/>
      <w:r>
        <w:rPr>
          <w:rFonts w:hAnsi="宋体" w:hint="eastAsia"/>
        </w:rPr>
        <w:t>查阅方式</w:t>
      </w:r>
      <w:bookmarkEnd w:id="387"/>
      <w:bookmarkEnd w:id="388"/>
      <w:bookmarkEnd w:id="389"/>
      <w:bookmarkEnd w:id="390"/>
      <w:bookmarkEnd w:id="391"/>
      <w:bookmarkEnd w:id="392"/>
      <w:bookmarkEnd w:id="393"/>
      <w:bookmarkEnd w:id="394"/>
      <w:proofErr w:type="spellEnd"/>
      <w:r>
        <w:rPr>
          <w:rFonts w:hAnsi="宋体" w:hint="eastAsia"/>
        </w:rPr>
        <w:t xml:space="preserve"> </w:t>
      </w:r>
    </w:p>
    <w:p w14:paraId="05690354" w14:textId="77777777" w:rsidR="00BB7FB6" w:rsidRDefault="00BB7FB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95"/>
    <w:p w14:paraId="28B16FAE" w14:textId="77777777" w:rsidR="00BB7FB6" w:rsidRDefault="00BB7FB6">
      <w:pPr>
        <w:spacing w:line="360" w:lineRule="auto"/>
        <w:ind w:firstLineChars="600" w:firstLine="1687"/>
        <w:jc w:val="left"/>
      </w:pPr>
      <w:r>
        <w:rPr>
          <w:rFonts w:ascii="宋体" w:hAnsi="宋体" w:hint="eastAsia"/>
          <w:b/>
          <w:bCs/>
          <w:sz w:val="28"/>
          <w:szCs w:val="30"/>
        </w:rPr>
        <w:t xml:space="preserve">　 </w:t>
      </w:r>
    </w:p>
    <w:p w14:paraId="3A162899" w14:textId="77777777" w:rsidR="00BB7FB6" w:rsidRDefault="00BB7FB6">
      <w:pPr>
        <w:spacing w:line="360" w:lineRule="auto"/>
        <w:ind w:firstLineChars="600" w:firstLine="1687"/>
        <w:jc w:val="left"/>
      </w:pPr>
      <w:r>
        <w:rPr>
          <w:rFonts w:ascii="宋体" w:hAnsi="宋体" w:hint="eastAsia"/>
          <w:b/>
          <w:bCs/>
          <w:sz w:val="28"/>
          <w:szCs w:val="30"/>
        </w:rPr>
        <w:t xml:space="preserve">　 </w:t>
      </w:r>
    </w:p>
    <w:p w14:paraId="7F204CDF" w14:textId="77777777" w:rsidR="00BB7FB6" w:rsidRDefault="00BB7FB6">
      <w:pPr>
        <w:spacing w:line="360" w:lineRule="auto"/>
        <w:ind w:firstLineChars="600" w:firstLine="1446"/>
        <w:jc w:val="right"/>
      </w:pPr>
      <w:r>
        <w:rPr>
          <w:rFonts w:ascii="宋体" w:hAnsi="宋体" w:hint="eastAsia"/>
          <w:b/>
          <w:bCs/>
          <w:sz w:val="24"/>
          <w:szCs w:val="24"/>
        </w:rPr>
        <w:t>摩根基金管理（中国）有限公司</w:t>
      </w:r>
    </w:p>
    <w:p w14:paraId="1531F84E" w14:textId="77777777" w:rsidR="00BB7FB6" w:rsidRDefault="00BB7FB6">
      <w:pPr>
        <w:spacing w:line="360" w:lineRule="auto"/>
        <w:ind w:firstLineChars="600" w:firstLine="1446"/>
        <w:jc w:val="right"/>
      </w:pPr>
      <w:r>
        <w:rPr>
          <w:rFonts w:ascii="宋体" w:hAnsi="宋体" w:hint="eastAsia"/>
          <w:b/>
          <w:bCs/>
          <w:sz w:val="24"/>
          <w:szCs w:val="24"/>
        </w:rPr>
        <w:t>2025年10月28日</w:t>
      </w:r>
      <w:bookmarkEnd w:id="23"/>
    </w:p>
    <w:sectPr w:rsidR="00BB7FB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45E5" w14:textId="77777777" w:rsidR="00BB7FB6" w:rsidRDefault="00BB7FB6">
      <w:pPr>
        <w:rPr>
          <w:szCs w:val="21"/>
        </w:rPr>
      </w:pPr>
      <w:r>
        <w:rPr>
          <w:szCs w:val="21"/>
        </w:rPr>
        <w:separator/>
      </w:r>
      <w:r>
        <w:rPr>
          <w:szCs w:val="21"/>
        </w:rPr>
        <w:t xml:space="preserve"> </w:t>
      </w:r>
    </w:p>
  </w:endnote>
  <w:endnote w:type="continuationSeparator" w:id="0">
    <w:p w14:paraId="009C9EDD" w14:textId="77777777" w:rsidR="00BB7FB6" w:rsidRDefault="00BB7FB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72B4" w14:textId="77777777" w:rsidR="00BB7FB6" w:rsidRDefault="00BB7FB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B74E" w14:textId="77777777" w:rsidR="00BB7FB6" w:rsidRDefault="00BB7FB6">
      <w:pPr>
        <w:rPr>
          <w:szCs w:val="21"/>
        </w:rPr>
      </w:pPr>
      <w:r>
        <w:rPr>
          <w:szCs w:val="21"/>
        </w:rPr>
        <w:separator/>
      </w:r>
      <w:r>
        <w:rPr>
          <w:szCs w:val="21"/>
        </w:rPr>
        <w:t xml:space="preserve"> </w:t>
      </w:r>
    </w:p>
  </w:footnote>
  <w:footnote w:type="continuationSeparator" w:id="0">
    <w:p w14:paraId="6CDD8AB4" w14:textId="77777777" w:rsidR="00BB7FB6" w:rsidRDefault="00BB7FB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9389" w14:textId="77777777" w:rsidR="00BB7FB6" w:rsidRDefault="00BB7FB6">
    <w:pPr>
      <w:pStyle w:val="a8"/>
      <w:jc w:val="right"/>
    </w:pPr>
    <w:r>
      <w:rPr>
        <w:rFonts w:ascii="宋体" w:hAnsi="宋体" w:hint="eastAsia"/>
      </w:rPr>
      <w:t>摩根60天持有期债券型证券投资基金2025年第3季度报告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2410956">
    <w:abstractNumId w:val="0"/>
  </w:num>
  <w:num w:numId="2" w16cid:durableId="1597976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B6"/>
    <w:rsid w:val="00076F78"/>
    <w:rsid w:val="001858DA"/>
    <w:rsid w:val="002B61F9"/>
    <w:rsid w:val="003619F7"/>
    <w:rsid w:val="0039716A"/>
    <w:rsid w:val="004C56F0"/>
    <w:rsid w:val="00A74D9C"/>
    <w:rsid w:val="00B1737A"/>
    <w:rsid w:val="00BB7FB6"/>
    <w:rsid w:val="00D2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2DB65DC"/>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4C56F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565">
      <w:marLeft w:val="0"/>
      <w:marRight w:val="0"/>
      <w:marTop w:val="0"/>
      <w:marBottom w:val="0"/>
      <w:divBdr>
        <w:top w:val="none" w:sz="0" w:space="0" w:color="auto"/>
        <w:left w:val="none" w:sz="0" w:space="0" w:color="auto"/>
        <w:bottom w:val="none" w:sz="0" w:space="0" w:color="auto"/>
        <w:right w:val="none" w:sz="0" w:space="0" w:color="auto"/>
      </w:divBdr>
      <w:divsChild>
        <w:div w:id="1017343174">
          <w:marLeft w:val="0"/>
          <w:marRight w:val="0"/>
          <w:marTop w:val="0"/>
          <w:marBottom w:val="0"/>
          <w:divBdr>
            <w:top w:val="none" w:sz="0" w:space="0" w:color="auto"/>
            <w:left w:val="none" w:sz="0" w:space="0" w:color="auto"/>
            <w:bottom w:val="none" w:sz="0" w:space="0" w:color="auto"/>
            <w:right w:val="none" w:sz="0" w:space="0" w:color="auto"/>
          </w:divBdr>
        </w:div>
      </w:divsChild>
    </w:div>
    <w:div w:id="34042787">
      <w:marLeft w:val="0"/>
      <w:marRight w:val="0"/>
      <w:marTop w:val="0"/>
      <w:marBottom w:val="0"/>
      <w:divBdr>
        <w:top w:val="none" w:sz="0" w:space="0" w:color="auto"/>
        <w:left w:val="none" w:sz="0" w:space="0" w:color="auto"/>
        <w:bottom w:val="none" w:sz="0" w:space="0" w:color="auto"/>
        <w:right w:val="none" w:sz="0" w:space="0" w:color="auto"/>
      </w:divBdr>
    </w:div>
    <w:div w:id="124860641">
      <w:marLeft w:val="0"/>
      <w:marRight w:val="0"/>
      <w:marTop w:val="0"/>
      <w:marBottom w:val="0"/>
      <w:divBdr>
        <w:top w:val="none" w:sz="0" w:space="0" w:color="auto"/>
        <w:left w:val="none" w:sz="0" w:space="0" w:color="auto"/>
        <w:bottom w:val="none" w:sz="0" w:space="0" w:color="auto"/>
        <w:right w:val="none" w:sz="0" w:space="0" w:color="auto"/>
      </w:divBdr>
    </w:div>
    <w:div w:id="134227377">
      <w:marLeft w:val="0"/>
      <w:marRight w:val="0"/>
      <w:marTop w:val="0"/>
      <w:marBottom w:val="0"/>
      <w:divBdr>
        <w:top w:val="none" w:sz="0" w:space="0" w:color="auto"/>
        <w:left w:val="none" w:sz="0" w:space="0" w:color="auto"/>
        <w:bottom w:val="none" w:sz="0" w:space="0" w:color="auto"/>
        <w:right w:val="none" w:sz="0" w:space="0" w:color="auto"/>
      </w:divBdr>
    </w:div>
    <w:div w:id="156505998">
      <w:marLeft w:val="0"/>
      <w:marRight w:val="0"/>
      <w:marTop w:val="0"/>
      <w:marBottom w:val="0"/>
      <w:divBdr>
        <w:top w:val="none" w:sz="0" w:space="0" w:color="auto"/>
        <w:left w:val="none" w:sz="0" w:space="0" w:color="auto"/>
        <w:bottom w:val="none" w:sz="0" w:space="0" w:color="auto"/>
        <w:right w:val="none" w:sz="0" w:space="0" w:color="auto"/>
      </w:divBdr>
    </w:div>
    <w:div w:id="454297637">
      <w:marLeft w:val="0"/>
      <w:marRight w:val="0"/>
      <w:marTop w:val="0"/>
      <w:marBottom w:val="0"/>
      <w:divBdr>
        <w:top w:val="none" w:sz="0" w:space="0" w:color="auto"/>
        <w:left w:val="none" w:sz="0" w:space="0" w:color="auto"/>
        <w:bottom w:val="none" w:sz="0" w:space="0" w:color="auto"/>
        <w:right w:val="none" w:sz="0" w:space="0" w:color="auto"/>
      </w:divBdr>
    </w:div>
    <w:div w:id="463545006">
      <w:marLeft w:val="0"/>
      <w:marRight w:val="0"/>
      <w:marTop w:val="0"/>
      <w:marBottom w:val="0"/>
      <w:divBdr>
        <w:top w:val="none" w:sz="0" w:space="0" w:color="auto"/>
        <w:left w:val="none" w:sz="0" w:space="0" w:color="auto"/>
        <w:bottom w:val="none" w:sz="0" w:space="0" w:color="auto"/>
        <w:right w:val="none" w:sz="0" w:space="0" w:color="auto"/>
      </w:divBdr>
    </w:div>
    <w:div w:id="559481080">
      <w:marLeft w:val="0"/>
      <w:marRight w:val="0"/>
      <w:marTop w:val="0"/>
      <w:marBottom w:val="0"/>
      <w:divBdr>
        <w:top w:val="none" w:sz="0" w:space="0" w:color="auto"/>
        <w:left w:val="none" w:sz="0" w:space="0" w:color="auto"/>
        <w:bottom w:val="none" w:sz="0" w:space="0" w:color="auto"/>
        <w:right w:val="none" w:sz="0" w:space="0" w:color="auto"/>
      </w:divBdr>
    </w:div>
    <w:div w:id="559906808">
      <w:marLeft w:val="0"/>
      <w:marRight w:val="0"/>
      <w:marTop w:val="0"/>
      <w:marBottom w:val="0"/>
      <w:divBdr>
        <w:top w:val="none" w:sz="0" w:space="0" w:color="auto"/>
        <w:left w:val="none" w:sz="0" w:space="0" w:color="auto"/>
        <w:bottom w:val="none" w:sz="0" w:space="0" w:color="auto"/>
        <w:right w:val="none" w:sz="0" w:space="0" w:color="auto"/>
      </w:divBdr>
    </w:div>
    <w:div w:id="663438294">
      <w:marLeft w:val="0"/>
      <w:marRight w:val="0"/>
      <w:marTop w:val="0"/>
      <w:marBottom w:val="0"/>
      <w:divBdr>
        <w:top w:val="none" w:sz="0" w:space="0" w:color="auto"/>
        <w:left w:val="none" w:sz="0" w:space="0" w:color="auto"/>
        <w:bottom w:val="none" w:sz="0" w:space="0" w:color="auto"/>
        <w:right w:val="none" w:sz="0" w:space="0" w:color="auto"/>
      </w:divBdr>
    </w:div>
    <w:div w:id="834222001">
      <w:marLeft w:val="0"/>
      <w:marRight w:val="0"/>
      <w:marTop w:val="0"/>
      <w:marBottom w:val="0"/>
      <w:divBdr>
        <w:top w:val="none" w:sz="0" w:space="0" w:color="auto"/>
        <w:left w:val="none" w:sz="0" w:space="0" w:color="auto"/>
        <w:bottom w:val="none" w:sz="0" w:space="0" w:color="auto"/>
        <w:right w:val="none" w:sz="0" w:space="0" w:color="auto"/>
      </w:divBdr>
      <w:divsChild>
        <w:div w:id="1124688921">
          <w:marLeft w:val="0"/>
          <w:marRight w:val="0"/>
          <w:marTop w:val="0"/>
          <w:marBottom w:val="0"/>
          <w:divBdr>
            <w:top w:val="none" w:sz="0" w:space="0" w:color="auto"/>
            <w:left w:val="none" w:sz="0" w:space="0" w:color="auto"/>
            <w:bottom w:val="none" w:sz="0" w:space="0" w:color="auto"/>
            <w:right w:val="none" w:sz="0" w:space="0" w:color="auto"/>
          </w:divBdr>
        </w:div>
        <w:div w:id="1700549843">
          <w:marLeft w:val="0"/>
          <w:marRight w:val="0"/>
          <w:marTop w:val="0"/>
          <w:marBottom w:val="0"/>
          <w:divBdr>
            <w:top w:val="none" w:sz="0" w:space="0" w:color="auto"/>
            <w:left w:val="none" w:sz="0" w:space="0" w:color="auto"/>
            <w:bottom w:val="none" w:sz="0" w:space="0" w:color="auto"/>
            <w:right w:val="none" w:sz="0" w:space="0" w:color="auto"/>
          </w:divBdr>
        </w:div>
      </w:divsChild>
    </w:div>
    <w:div w:id="834300652">
      <w:marLeft w:val="0"/>
      <w:marRight w:val="0"/>
      <w:marTop w:val="0"/>
      <w:marBottom w:val="0"/>
      <w:divBdr>
        <w:top w:val="none" w:sz="0" w:space="0" w:color="auto"/>
        <w:left w:val="none" w:sz="0" w:space="0" w:color="auto"/>
        <w:bottom w:val="none" w:sz="0" w:space="0" w:color="auto"/>
        <w:right w:val="none" w:sz="0" w:space="0" w:color="auto"/>
      </w:divBdr>
      <w:divsChild>
        <w:div w:id="1160579074">
          <w:marLeft w:val="0"/>
          <w:marRight w:val="0"/>
          <w:marTop w:val="0"/>
          <w:marBottom w:val="0"/>
          <w:divBdr>
            <w:top w:val="none" w:sz="0" w:space="0" w:color="auto"/>
            <w:left w:val="none" w:sz="0" w:space="0" w:color="auto"/>
            <w:bottom w:val="none" w:sz="0" w:space="0" w:color="auto"/>
            <w:right w:val="none" w:sz="0" w:space="0" w:color="auto"/>
          </w:divBdr>
        </w:div>
      </w:divsChild>
    </w:div>
    <w:div w:id="861475162">
      <w:marLeft w:val="0"/>
      <w:marRight w:val="0"/>
      <w:marTop w:val="0"/>
      <w:marBottom w:val="0"/>
      <w:divBdr>
        <w:top w:val="none" w:sz="0" w:space="0" w:color="auto"/>
        <w:left w:val="none" w:sz="0" w:space="0" w:color="auto"/>
        <w:bottom w:val="none" w:sz="0" w:space="0" w:color="auto"/>
        <w:right w:val="none" w:sz="0" w:space="0" w:color="auto"/>
      </w:divBdr>
    </w:div>
    <w:div w:id="995496206">
      <w:marLeft w:val="0"/>
      <w:marRight w:val="0"/>
      <w:marTop w:val="0"/>
      <w:marBottom w:val="0"/>
      <w:divBdr>
        <w:top w:val="none" w:sz="0" w:space="0" w:color="auto"/>
        <w:left w:val="none" w:sz="0" w:space="0" w:color="auto"/>
        <w:bottom w:val="none" w:sz="0" w:space="0" w:color="auto"/>
        <w:right w:val="none" w:sz="0" w:space="0" w:color="auto"/>
      </w:divBdr>
    </w:div>
    <w:div w:id="1008142957">
      <w:marLeft w:val="0"/>
      <w:marRight w:val="0"/>
      <w:marTop w:val="0"/>
      <w:marBottom w:val="0"/>
      <w:divBdr>
        <w:top w:val="none" w:sz="0" w:space="0" w:color="auto"/>
        <w:left w:val="none" w:sz="0" w:space="0" w:color="auto"/>
        <w:bottom w:val="none" w:sz="0" w:space="0" w:color="auto"/>
        <w:right w:val="none" w:sz="0" w:space="0" w:color="auto"/>
      </w:divBdr>
    </w:div>
    <w:div w:id="1012100839">
      <w:marLeft w:val="0"/>
      <w:marRight w:val="0"/>
      <w:marTop w:val="0"/>
      <w:marBottom w:val="0"/>
      <w:divBdr>
        <w:top w:val="none" w:sz="0" w:space="0" w:color="auto"/>
        <w:left w:val="none" w:sz="0" w:space="0" w:color="auto"/>
        <w:bottom w:val="none" w:sz="0" w:space="0" w:color="auto"/>
        <w:right w:val="none" w:sz="0" w:space="0" w:color="auto"/>
      </w:divBdr>
      <w:divsChild>
        <w:div w:id="1682663139">
          <w:marLeft w:val="0"/>
          <w:marRight w:val="0"/>
          <w:marTop w:val="0"/>
          <w:marBottom w:val="0"/>
          <w:divBdr>
            <w:top w:val="none" w:sz="0" w:space="0" w:color="auto"/>
            <w:left w:val="none" w:sz="0" w:space="0" w:color="auto"/>
            <w:bottom w:val="none" w:sz="0" w:space="0" w:color="auto"/>
            <w:right w:val="none" w:sz="0" w:space="0" w:color="auto"/>
          </w:divBdr>
        </w:div>
      </w:divsChild>
    </w:div>
    <w:div w:id="1445268438">
      <w:marLeft w:val="0"/>
      <w:marRight w:val="0"/>
      <w:marTop w:val="0"/>
      <w:marBottom w:val="0"/>
      <w:divBdr>
        <w:top w:val="none" w:sz="0" w:space="0" w:color="auto"/>
        <w:left w:val="none" w:sz="0" w:space="0" w:color="auto"/>
        <w:bottom w:val="none" w:sz="0" w:space="0" w:color="auto"/>
        <w:right w:val="none" w:sz="0" w:space="0" w:color="auto"/>
      </w:divBdr>
      <w:divsChild>
        <w:div w:id="2082752332">
          <w:marLeft w:val="0"/>
          <w:marRight w:val="0"/>
          <w:marTop w:val="0"/>
          <w:marBottom w:val="0"/>
          <w:divBdr>
            <w:top w:val="none" w:sz="0" w:space="0" w:color="auto"/>
            <w:left w:val="none" w:sz="0" w:space="0" w:color="auto"/>
            <w:bottom w:val="none" w:sz="0" w:space="0" w:color="auto"/>
            <w:right w:val="none" w:sz="0" w:space="0" w:color="auto"/>
          </w:divBdr>
        </w:div>
      </w:divsChild>
    </w:div>
    <w:div w:id="1858690909">
      <w:marLeft w:val="0"/>
      <w:marRight w:val="0"/>
      <w:marTop w:val="0"/>
      <w:marBottom w:val="0"/>
      <w:divBdr>
        <w:top w:val="none" w:sz="0" w:space="0" w:color="auto"/>
        <w:left w:val="none" w:sz="0" w:space="0" w:color="auto"/>
        <w:bottom w:val="none" w:sz="0" w:space="0" w:color="auto"/>
        <w:right w:val="none" w:sz="0" w:space="0" w:color="auto"/>
      </w:divBdr>
    </w:div>
    <w:div w:id="1860777706">
      <w:marLeft w:val="0"/>
      <w:marRight w:val="0"/>
      <w:marTop w:val="0"/>
      <w:marBottom w:val="0"/>
      <w:divBdr>
        <w:top w:val="none" w:sz="0" w:space="0" w:color="auto"/>
        <w:left w:val="none" w:sz="0" w:space="0" w:color="auto"/>
        <w:bottom w:val="none" w:sz="0" w:space="0" w:color="auto"/>
        <w:right w:val="none" w:sz="0" w:space="0" w:color="auto"/>
      </w:divBdr>
      <w:divsChild>
        <w:div w:id="2111048517">
          <w:marLeft w:val="0"/>
          <w:marRight w:val="0"/>
          <w:marTop w:val="0"/>
          <w:marBottom w:val="0"/>
          <w:divBdr>
            <w:top w:val="none" w:sz="0" w:space="0" w:color="auto"/>
            <w:left w:val="none" w:sz="0" w:space="0" w:color="auto"/>
            <w:bottom w:val="none" w:sz="0" w:space="0" w:color="auto"/>
            <w:right w:val="none" w:sz="0" w:space="0" w:color="auto"/>
          </w:divBdr>
        </w:div>
      </w:divsChild>
    </w:div>
    <w:div w:id="1862277180">
      <w:marLeft w:val="0"/>
      <w:marRight w:val="0"/>
      <w:marTop w:val="0"/>
      <w:marBottom w:val="0"/>
      <w:divBdr>
        <w:top w:val="none" w:sz="0" w:space="0" w:color="auto"/>
        <w:left w:val="none" w:sz="0" w:space="0" w:color="auto"/>
        <w:bottom w:val="none" w:sz="0" w:space="0" w:color="auto"/>
        <w:right w:val="none" w:sz="0" w:space="0" w:color="auto"/>
      </w:divBdr>
    </w:div>
    <w:div w:id="20368816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6120</Words>
  <Characters>1657</Characters>
  <Application>Microsoft Office Word</Application>
  <DocSecurity>0</DocSecurity>
  <Lines>13</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5</cp:revision>
  <dcterms:created xsi:type="dcterms:W3CDTF">2025-10-21T02:25:00Z</dcterms:created>
  <dcterms:modified xsi:type="dcterms:W3CDTF">2025-10-27T07:51:00Z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