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82" w:rsidRPr="00473486" w:rsidRDefault="00881A82">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881A82">
      <w:pPr>
        <w:autoSpaceDE w:val="0"/>
        <w:autoSpaceDN w:val="0"/>
        <w:adjustRightInd w:val="0"/>
        <w:spacing w:line="360" w:lineRule="auto"/>
        <w:jc w:val="left"/>
        <w:rPr>
          <w:rFonts w:eastAsiaTheme="minorEastAsia"/>
          <w:color w:val="000000" w:themeColor="text1"/>
          <w:kern w:val="0"/>
          <w:sz w:val="36"/>
          <w:szCs w:val="36"/>
        </w:rPr>
      </w:pP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摩根标普港股通低波红利交易型开放式指数证券投资基金</w:t>
      </w: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2024</w:t>
      </w:r>
      <w:r w:rsidRPr="00473486">
        <w:rPr>
          <w:rFonts w:eastAsiaTheme="minorEastAsia"/>
          <w:b/>
          <w:color w:val="000000" w:themeColor="text1"/>
          <w:sz w:val="36"/>
          <w:szCs w:val="36"/>
        </w:rPr>
        <w:t>年第</w:t>
      </w:r>
      <w:r w:rsidRPr="00473486">
        <w:rPr>
          <w:rFonts w:eastAsiaTheme="minorEastAsia"/>
          <w:b/>
          <w:color w:val="000000" w:themeColor="text1"/>
          <w:sz w:val="36"/>
          <w:szCs w:val="36"/>
        </w:rPr>
        <w:t>1</w:t>
      </w:r>
      <w:r w:rsidRPr="00473486">
        <w:rPr>
          <w:rFonts w:eastAsiaTheme="minorEastAsia"/>
          <w:b/>
          <w:color w:val="000000" w:themeColor="text1"/>
          <w:sz w:val="36"/>
          <w:szCs w:val="36"/>
        </w:rPr>
        <w:t>季度报告</w:t>
      </w: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2024</w:t>
      </w:r>
      <w:r w:rsidRPr="00473486">
        <w:rPr>
          <w:rFonts w:eastAsiaTheme="minorEastAsia"/>
          <w:b/>
          <w:color w:val="000000" w:themeColor="text1"/>
          <w:sz w:val="36"/>
          <w:szCs w:val="36"/>
        </w:rPr>
        <w:t>年</w:t>
      </w:r>
      <w:r w:rsidRPr="00473486">
        <w:rPr>
          <w:rFonts w:eastAsiaTheme="minorEastAsia"/>
          <w:b/>
          <w:color w:val="000000" w:themeColor="text1"/>
          <w:sz w:val="36"/>
          <w:szCs w:val="36"/>
        </w:rPr>
        <w:t>3</w:t>
      </w:r>
      <w:r w:rsidRPr="00473486">
        <w:rPr>
          <w:rFonts w:eastAsiaTheme="minorEastAsia"/>
          <w:b/>
          <w:color w:val="000000" w:themeColor="text1"/>
          <w:sz w:val="36"/>
          <w:szCs w:val="36"/>
        </w:rPr>
        <w:t>月</w:t>
      </w:r>
      <w:r w:rsidRPr="00473486">
        <w:rPr>
          <w:rFonts w:eastAsiaTheme="minorEastAsia"/>
          <w:b/>
          <w:color w:val="000000" w:themeColor="text1"/>
          <w:sz w:val="36"/>
          <w:szCs w:val="36"/>
        </w:rPr>
        <w:t>31</w:t>
      </w:r>
      <w:r w:rsidRPr="00473486">
        <w:rPr>
          <w:rFonts w:eastAsiaTheme="minorEastAsia"/>
          <w:b/>
          <w:color w:val="000000" w:themeColor="text1"/>
          <w:sz w:val="36"/>
          <w:szCs w:val="36"/>
        </w:rPr>
        <w:t>日</w:t>
      </w: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rPr>
          <w:rFonts w:eastAsiaTheme="minorEastAsia"/>
          <w:b/>
          <w:color w:val="000000" w:themeColor="text1"/>
          <w:sz w:val="24"/>
        </w:rPr>
      </w:pPr>
    </w:p>
    <w:p w:rsidR="00881A82" w:rsidRPr="00473486" w:rsidRDefault="007D1E3A">
      <w:pPr>
        <w:spacing w:line="360" w:lineRule="auto"/>
        <w:ind w:firstLineChars="900" w:firstLine="2168"/>
        <w:rPr>
          <w:rFonts w:eastAsiaTheme="minorEastAsia"/>
          <w:b/>
          <w:color w:val="000000" w:themeColor="text1"/>
          <w:sz w:val="24"/>
        </w:rPr>
      </w:pPr>
      <w:r w:rsidRPr="00473486">
        <w:rPr>
          <w:rFonts w:eastAsiaTheme="minorEastAsia"/>
          <w:b/>
          <w:color w:val="000000" w:themeColor="text1"/>
          <w:sz w:val="24"/>
        </w:rPr>
        <w:t>基金管理人：摩根基金管理（中国）有限公司</w:t>
      </w:r>
    </w:p>
    <w:p w:rsidR="00881A82" w:rsidRPr="00473486" w:rsidRDefault="007D1E3A">
      <w:pPr>
        <w:spacing w:line="360" w:lineRule="auto"/>
        <w:ind w:firstLineChars="900" w:firstLine="2168"/>
        <w:rPr>
          <w:rFonts w:eastAsiaTheme="minorEastAsia"/>
          <w:b/>
          <w:color w:val="000000" w:themeColor="text1"/>
          <w:sz w:val="24"/>
        </w:rPr>
      </w:pPr>
      <w:r w:rsidRPr="00473486">
        <w:rPr>
          <w:rFonts w:eastAsiaTheme="minorEastAsia"/>
          <w:b/>
          <w:color w:val="000000" w:themeColor="text1"/>
          <w:sz w:val="24"/>
        </w:rPr>
        <w:t>基金托管人：广发证券股份有限公司</w:t>
      </w:r>
    </w:p>
    <w:p w:rsidR="00881A82" w:rsidRPr="00473486" w:rsidRDefault="007D1E3A">
      <w:pPr>
        <w:spacing w:line="360" w:lineRule="auto"/>
        <w:ind w:firstLineChars="900" w:firstLine="2168"/>
        <w:rPr>
          <w:rFonts w:eastAsiaTheme="minorEastAsia"/>
          <w:b/>
          <w:color w:val="000000" w:themeColor="text1"/>
          <w:sz w:val="24"/>
        </w:rPr>
        <w:sectPr w:rsidR="00881A82" w:rsidRPr="00473486">
          <w:headerReference w:type="default" r:id="rId7"/>
          <w:footerReference w:type="default" r:id="rId8"/>
          <w:pgSz w:w="11926" w:h="15840"/>
          <w:pgMar w:top="1418" w:right="1418" w:bottom="851" w:left="1418" w:header="851" w:footer="992" w:gutter="0"/>
          <w:cols w:space="720"/>
        </w:sectPr>
      </w:pPr>
      <w:r w:rsidRPr="00473486">
        <w:rPr>
          <w:rFonts w:eastAsiaTheme="minorEastAsia"/>
          <w:b/>
          <w:color w:val="000000" w:themeColor="text1"/>
          <w:sz w:val="24"/>
        </w:rPr>
        <w:t>报告送出日期：二〇二四年四月二十二日</w:t>
      </w:r>
    </w:p>
    <w:p w:rsidR="00881A82" w:rsidRPr="00473486" w:rsidRDefault="007D1E3A">
      <w:pPr>
        <w:pStyle w:val="1"/>
        <w:spacing w:beforeLines="100" w:before="312" w:afterLines="100" w:after="312" w:line="360" w:lineRule="auto"/>
        <w:jc w:val="center"/>
        <w:rPr>
          <w:rFonts w:eastAsiaTheme="minorEastAsia"/>
          <w:b w:val="0"/>
          <w:color w:val="000000" w:themeColor="text1"/>
          <w:kern w:val="0"/>
          <w:sz w:val="24"/>
          <w:szCs w:val="24"/>
        </w:rPr>
      </w:pPr>
      <w:r w:rsidRPr="00473486">
        <w:rPr>
          <w:rFonts w:eastAsiaTheme="minorEastAsia"/>
          <w:color w:val="000000" w:themeColor="text1"/>
          <w:kern w:val="0"/>
          <w:sz w:val="24"/>
          <w:szCs w:val="24"/>
        </w:rPr>
        <w:lastRenderedPageBreak/>
        <w:t xml:space="preserve">§1  </w:t>
      </w:r>
      <w:r w:rsidRPr="00473486">
        <w:rPr>
          <w:rFonts w:eastAsiaTheme="minorEastAsia"/>
          <w:color w:val="000000" w:themeColor="text1"/>
          <w:kern w:val="0"/>
          <w:sz w:val="24"/>
          <w:szCs w:val="24"/>
        </w:rPr>
        <w:t>重要提示</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基金托管人广发证券股份有限公司根据本基金合同规定，于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本报告期自</w:t>
      </w:r>
      <w:r w:rsidRPr="00473486">
        <w:rPr>
          <w:rFonts w:eastAsiaTheme="minorEastAsia"/>
          <w:color w:val="000000" w:themeColor="text1"/>
          <w:szCs w:val="21"/>
        </w:rPr>
        <w:t>2024</w:t>
      </w:r>
      <w:r w:rsidRPr="00473486">
        <w:rPr>
          <w:rFonts w:eastAsiaTheme="minorEastAsia"/>
          <w:color w:val="000000" w:themeColor="text1"/>
          <w:szCs w:val="21"/>
        </w:rPr>
        <w:t>年</w:t>
      </w:r>
      <w:r w:rsidRPr="00473486">
        <w:rPr>
          <w:rFonts w:eastAsiaTheme="minorEastAsia"/>
          <w:color w:val="000000" w:themeColor="text1"/>
          <w:szCs w:val="21"/>
        </w:rPr>
        <w:t>1</w:t>
      </w:r>
      <w:r w:rsidRPr="00473486">
        <w:rPr>
          <w:rFonts w:eastAsiaTheme="minorEastAsia"/>
          <w:color w:val="000000" w:themeColor="text1"/>
          <w:szCs w:val="21"/>
        </w:rPr>
        <w:t>月</w:t>
      </w:r>
      <w:r w:rsidRPr="00473486">
        <w:rPr>
          <w:rFonts w:eastAsiaTheme="minorEastAsia"/>
          <w:color w:val="000000" w:themeColor="text1"/>
          <w:szCs w:val="21"/>
        </w:rPr>
        <w:t>1</w:t>
      </w:r>
      <w:r w:rsidRPr="00473486">
        <w:rPr>
          <w:rFonts w:eastAsiaTheme="minorEastAsia"/>
          <w:color w:val="000000" w:themeColor="text1"/>
          <w:szCs w:val="21"/>
        </w:rPr>
        <w:t>日起至</w:t>
      </w:r>
      <w:r w:rsidRPr="00473486">
        <w:rPr>
          <w:rFonts w:eastAsiaTheme="minorEastAsia"/>
          <w:color w:val="000000" w:themeColor="text1"/>
          <w:szCs w:val="21"/>
        </w:rPr>
        <w:t>3</w:t>
      </w:r>
      <w:r w:rsidRPr="00473486">
        <w:rPr>
          <w:rFonts w:eastAsiaTheme="minorEastAsia"/>
          <w:color w:val="000000" w:themeColor="text1"/>
          <w:szCs w:val="21"/>
        </w:rPr>
        <w:t>月</w:t>
      </w:r>
      <w:r w:rsidRPr="00473486">
        <w:rPr>
          <w:rFonts w:eastAsiaTheme="minorEastAsia"/>
          <w:color w:val="000000" w:themeColor="text1"/>
          <w:szCs w:val="21"/>
        </w:rPr>
        <w:t>31</w:t>
      </w:r>
      <w:r w:rsidRPr="00473486">
        <w:rPr>
          <w:rFonts w:eastAsiaTheme="minorEastAsia"/>
          <w:color w:val="000000" w:themeColor="text1"/>
          <w:szCs w:val="21"/>
        </w:rPr>
        <w:t>日止。</w:t>
      </w: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§2  </w:t>
      </w:r>
      <w:r w:rsidRPr="00473486">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基金简称</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摩根标普港股通低波红利</w:t>
            </w:r>
            <w:r w:rsidRPr="00473486">
              <w:rPr>
                <w:rFonts w:eastAsiaTheme="minorEastAsia"/>
                <w:color w:val="000000" w:themeColor="text1"/>
                <w:kern w:val="0"/>
                <w:szCs w:val="21"/>
              </w:rPr>
              <w:t>ETF</w:t>
            </w:r>
          </w:p>
        </w:tc>
      </w:tr>
      <w:tr w:rsidR="00881A82" w:rsidRPr="00473486">
        <w:tc>
          <w:tcPr>
            <w:tcW w:w="2835"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513630</w:t>
            </w:r>
          </w:p>
        </w:tc>
      </w:tr>
      <w:tr w:rsidR="00881A82" w:rsidRPr="00473486">
        <w:tc>
          <w:tcPr>
            <w:tcW w:w="2835"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513630</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基金运作方式</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交易型开放式</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基金合同生效日</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2023</w:t>
            </w:r>
            <w:r w:rsidRPr="00473486">
              <w:rPr>
                <w:rFonts w:eastAsiaTheme="minorEastAsia"/>
                <w:color w:val="000000" w:themeColor="text1"/>
                <w:kern w:val="0"/>
                <w:szCs w:val="21"/>
              </w:rPr>
              <w:t>年</w:t>
            </w:r>
            <w:r w:rsidRPr="00473486">
              <w:rPr>
                <w:rFonts w:eastAsiaTheme="minorEastAsia"/>
                <w:color w:val="000000" w:themeColor="text1"/>
                <w:kern w:val="0"/>
                <w:szCs w:val="21"/>
              </w:rPr>
              <w:t>11</w:t>
            </w:r>
            <w:r w:rsidRPr="00473486">
              <w:rPr>
                <w:rFonts w:eastAsiaTheme="minorEastAsia"/>
                <w:color w:val="000000" w:themeColor="text1"/>
                <w:kern w:val="0"/>
                <w:szCs w:val="21"/>
              </w:rPr>
              <w:t>月</w:t>
            </w:r>
            <w:r w:rsidRPr="00473486">
              <w:rPr>
                <w:rFonts w:eastAsiaTheme="minorEastAsia"/>
                <w:color w:val="000000" w:themeColor="text1"/>
                <w:kern w:val="0"/>
                <w:szCs w:val="21"/>
              </w:rPr>
              <w:t>23</w:t>
            </w:r>
            <w:r w:rsidRPr="00473486">
              <w:rPr>
                <w:rFonts w:eastAsiaTheme="minorEastAsia"/>
                <w:color w:val="000000" w:themeColor="text1"/>
                <w:kern w:val="0"/>
                <w:szCs w:val="21"/>
              </w:rPr>
              <w:t>日</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报告期末基金份额总额</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1,286,359,000.00</w:t>
            </w:r>
            <w:r w:rsidRPr="00473486">
              <w:rPr>
                <w:rFonts w:eastAsiaTheme="minorEastAsia"/>
                <w:color w:val="000000" w:themeColor="text1"/>
                <w:kern w:val="0"/>
                <w:szCs w:val="21"/>
              </w:rPr>
              <w:t>份</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投资目标</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本基金进行被动指数化投资，紧密跟踪标的指数，追求跟踪偏离度和跟踪误差最小化。</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投资策略</w:t>
            </w:r>
          </w:p>
        </w:tc>
        <w:tc>
          <w:tcPr>
            <w:tcW w:w="5479" w:type="dxa"/>
            <w:vAlign w:val="center"/>
          </w:tcPr>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为了实现追踪误差最小化，本基金投资于标的指数的成份股及其备选成份股的比例不低于基金资产净值的</w:t>
            </w:r>
            <w:r>
              <w:rPr>
                <w:rFonts w:eastAsiaTheme="minorEastAsia"/>
                <w:color w:val="000000" w:themeColor="text1"/>
                <w:kern w:val="0"/>
                <w:szCs w:val="21"/>
              </w:rPr>
              <w:t>90%</w:t>
            </w:r>
            <w:r>
              <w:rPr>
                <w:rFonts w:eastAsiaTheme="minorEastAsia"/>
                <w:color w:val="000000" w:themeColor="text1"/>
                <w:kern w:val="0"/>
                <w:szCs w:val="21"/>
              </w:rPr>
              <w:t>，且不低于非现金基金资产</w:t>
            </w:r>
            <w:r>
              <w:rPr>
                <w:rFonts w:eastAsiaTheme="minorEastAsia"/>
                <w:color w:val="000000" w:themeColor="text1"/>
                <w:kern w:val="0"/>
                <w:szCs w:val="21"/>
              </w:rPr>
              <w:t>80%</w:t>
            </w:r>
            <w:r>
              <w:rPr>
                <w:rFonts w:eastAsiaTheme="minorEastAsia"/>
                <w:color w:val="000000" w:themeColor="text1"/>
                <w:kern w:val="0"/>
                <w:szCs w:val="21"/>
              </w:rPr>
              <w:t>。</w:t>
            </w:r>
          </w:p>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w:t>
            </w:r>
            <w:r>
              <w:rPr>
                <w:rFonts w:eastAsiaTheme="minorEastAsia"/>
                <w:color w:val="000000" w:themeColor="text1"/>
                <w:kern w:val="0"/>
                <w:szCs w:val="21"/>
              </w:rPr>
              <w:t>1</w:t>
            </w:r>
            <w:r>
              <w:rPr>
                <w:rFonts w:eastAsiaTheme="minorEastAsia"/>
                <w:color w:val="000000" w:themeColor="text1"/>
                <w:kern w:val="0"/>
                <w:szCs w:val="21"/>
              </w:rPr>
              <w:t>）投资组合构建</w:t>
            </w:r>
          </w:p>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被动式指数基金，采用完全复制法，按照成份股在标的指数中的基准权重构建股票资产组合，当预期成份股发生调整和成份股发生配股、增发、分红、长期停牌等行为时，或因基金的申购和赎回等对本基金跟踪标的指数的效果可能带来影响时，或因某些特殊情况导致流动性不足时，或其他原因导致无法有效复制和跟踪标的指数时，基金经理将配合使用其他合理的投资方法作为完全复制法的补充，构建本基金实际的投资组合，以追求尽可能贴近标的指数的表现，有效控制跟踪误差。本基金将根据市场情况，结合经验判断，综合考虑相关性、估值、流动性等因素挑选标的指数中其他成份股或备选成份股进行替代，以期在规定的风险承受限度内，尽量缩小跟踪误差。</w:t>
            </w:r>
          </w:p>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）投资组合调整</w:t>
            </w:r>
          </w:p>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）定期调整</w:t>
            </w:r>
          </w:p>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所构建的投资组合将定期根据所跟踪标的指数成份股的调整进行相应的跟踪调整。指数调整方案公布后，本基金将及时对现有组合的构成进行相应的调整，若成份股的集中调整短期内会对跟踪误差产生较大影响，将采用逐步调整的方式。</w:t>
            </w:r>
          </w:p>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）不定期调整</w:t>
            </w:r>
          </w:p>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①</w:t>
            </w:r>
            <w:r>
              <w:rPr>
                <w:rFonts w:eastAsiaTheme="minorEastAsia"/>
                <w:color w:val="000000" w:themeColor="text1"/>
                <w:kern w:val="0"/>
                <w:szCs w:val="21"/>
              </w:rPr>
              <w:t>根据指数编制规则，当标的指数成份股因增发、送配等股权变动而需进行成份股权重调整时，本基金将根据标的指数权重比例的变化，进行相应调整。</w:t>
            </w:r>
          </w:p>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②</w:t>
            </w:r>
            <w:r>
              <w:rPr>
                <w:rFonts w:eastAsiaTheme="minorEastAsia"/>
                <w:color w:val="000000" w:themeColor="text1"/>
                <w:kern w:val="0"/>
                <w:szCs w:val="21"/>
              </w:rPr>
              <w:t>当标的指数成份股因停牌、流动性不足等因素导致基金无法按照指数权重进行配置，基金管理人将综合考虑跟踪误差和投资者利益，选择相关股票进行适当的替代。</w:t>
            </w:r>
          </w:p>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③</w:t>
            </w:r>
            <w:r>
              <w:rPr>
                <w:rFonts w:eastAsiaTheme="minorEastAsia"/>
                <w:color w:val="000000" w:themeColor="text1"/>
                <w:kern w:val="0"/>
                <w:szCs w:val="21"/>
              </w:rPr>
              <w:t>本基金将根据申购和赎回情况对股票投资组合进行调整，保证基金正常运行，从而有效跟踪标的指数。</w:t>
            </w:r>
          </w:p>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w:t>
            </w:r>
            <w:r>
              <w:rPr>
                <w:rFonts w:eastAsiaTheme="minorEastAsia"/>
                <w:color w:val="000000" w:themeColor="text1"/>
                <w:kern w:val="0"/>
                <w:szCs w:val="21"/>
              </w:rPr>
              <w:t>3</w:t>
            </w:r>
            <w:r>
              <w:rPr>
                <w:rFonts w:eastAsiaTheme="minorEastAsia"/>
                <w:color w:val="000000" w:themeColor="text1"/>
                <w:kern w:val="0"/>
                <w:szCs w:val="21"/>
              </w:rPr>
              <w:t>）本基金力争日均跟踪偏离度的绝对值不超过</w:t>
            </w:r>
            <w:r>
              <w:rPr>
                <w:rFonts w:eastAsiaTheme="minorEastAsia"/>
                <w:color w:val="000000" w:themeColor="text1"/>
                <w:kern w:val="0"/>
                <w:szCs w:val="21"/>
              </w:rPr>
              <w:t>0.35%</w:t>
            </w:r>
            <w:r>
              <w:rPr>
                <w:rFonts w:eastAsiaTheme="minorEastAsia"/>
                <w:color w:val="000000" w:themeColor="text1"/>
                <w:kern w:val="0"/>
                <w:szCs w:val="21"/>
              </w:rPr>
              <w:t>，年跟踪误差不超过</w:t>
            </w:r>
            <w:r>
              <w:rPr>
                <w:rFonts w:eastAsiaTheme="minorEastAsia"/>
                <w:color w:val="000000" w:themeColor="text1"/>
                <w:kern w:val="0"/>
                <w:szCs w:val="21"/>
              </w:rPr>
              <w:t>4%</w:t>
            </w:r>
            <w:r>
              <w:rPr>
                <w:rFonts w:eastAsiaTheme="minorEastAsia"/>
                <w:color w:val="000000" w:themeColor="text1"/>
                <w:kern w:val="0"/>
                <w:szCs w:val="21"/>
              </w:rPr>
              <w:t>。如因标的指数编制规则调整等其他原因，导致基金跟踪偏离度和跟踪误差超过上述范围，基金管理人应采取合理措施，避免跟踪偏离度和跟踪误差的进一步扩大。</w:t>
            </w:r>
          </w:p>
          <w:p w:rsidR="00A4605A" w:rsidRDefault="00E455A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4</w:t>
            </w:r>
            <w:r>
              <w:rPr>
                <w:rFonts w:eastAsiaTheme="minorEastAsia"/>
                <w:color w:val="000000" w:themeColor="text1"/>
                <w:kern w:val="0"/>
                <w:szCs w:val="21"/>
              </w:rPr>
              <w:t>）港股通标的股票投资策略</w:t>
            </w:r>
          </w:p>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3</w:t>
            </w:r>
            <w:r w:rsidRPr="00473486">
              <w:rPr>
                <w:rFonts w:eastAsiaTheme="minorEastAsia"/>
                <w:color w:val="000000" w:themeColor="text1"/>
                <w:kern w:val="0"/>
                <w:szCs w:val="21"/>
              </w:rPr>
              <w:t>、其他投资策略：包括股指期货投资策略、股票期权投资策略、债券投资策略、资产支持证券投资策略、融资及转融通证券出借策略、存托凭证投资策略。</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lastRenderedPageBreak/>
              <w:t>业绩比较基准</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本基金的业绩比较基准为标的指数，即标普港股通低波红利指数收益率。本基金标的指数变更的，相应更换基金名称和业绩比较基准，并在履行适当程序后及时公告。</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风险收益特征</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本基金为股票型指数基金，其预期风险和预期收益高于货币市场基金、债券型基金和混合型基金。本基金主要投资于标的指数成份股及备选成份股，具有与标的指数相似的风险收益特征。</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基金管理人</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摩根基金管理（中国）有限公司</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基金托管人</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广发证券股份有限公司</w:t>
            </w:r>
          </w:p>
        </w:tc>
      </w:tr>
    </w:tbl>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§3  </w:t>
      </w:r>
      <w:r w:rsidRPr="00473486">
        <w:rPr>
          <w:rFonts w:eastAsiaTheme="minorEastAsia"/>
          <w:color w:val="000000" w:themeColor="text1"/>
          <w:kern w:val="0"/>
          <w:sz w:val="24"/>
          <w:szCs w:val="24"/>
        </w:rPr>
        <w:t>主要财务指标和基金净值表现</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3.1 </w:t>
      </w:r>
      <w:r w:rsidRPr="00473486">
        <w:rPr>
          <w:rFonts w:eastAsiaTheme="minorEastAsia"/>
          <w:b/>
          <w:color w:val="000000" w:themeColor="text1"/>
          <w:kern w:val="0"/>
          <w:sz w:val="24"/>
        </w:rPr>
        <w:t>主要财务指标</w:t>
      </w:r>
    </w:p>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E455A1" w:rsidRPr="00473486" w:rsidTr="00E455A1">
        <w:tc>
          <w:tcPr>
            <w:tcW w:w="3402" w:type="dxa"/>
            <w:vAlign w:val="center"/>
          </w:tcPr>
          <w:p w:rsidR="00881A82" w:rsidRPr="00473486" w:rsidRDefault="007D1E3A">
            <w:pPr>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主要财务指标</w:t>
            </w:r>
          </w:p>
        </w:tc>
        <w:tc>
          <w:tcPr>
            <w:tcW w:w="4962" w:type="dxa"/>
            <w:vAlign w:val="center"/>
          </w:tcPr>
          <w:p w:rsidR="00881A82" w:rsidRPr="00473486" w:rsidRDefault="007D1E3A">
            <w:pPr>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报告期</w:t>
            </w:r>
          </w:p>
          <w:p w:rsidR="00881A82" w:rsidRPr="00473486" w:rsidRDefault="007D1E3A">
            <w:pPr>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(2024</w:t>
            </w:r>
            <w:r w:rsidRPr="00473486">
              <w:rPr>
                <w:rFonts w:eastAsiaTheme="minorEastAsia"/>
                <w:color w:val="000000" w:themeColor="text1"/>
                <w:szCs w:val="21"/>
              </w:rPr>
              <w:t>年</w:t>
            </w:r>
            <w:r w:rsidRPr="00473486">
              <w:rPr>
                <w:rFonts w:eastAsiaTheme="minorEastAsia"/>
                <w:color w:val="000000" w:themeColor="text1"/>
                <w:szCs w:val="21"/>
              </w:rPr>
              <w:t>1</w:t>
            </w:r>
            <w:r w:rsidRPr="00473486">
              <w:rPr>
                <w:rFonts w:eastAsiaTheme="minorEastAsia"/>
                <w:color w:val="000000" w:themeColor="text1"/>
                <w:szCs w:val="21"/>
              </w:rPr>
              <w:t>月</w:t>
            </w:r>
            <w:r w:rsidRPr="00473486">
              <w:rPr>
                <w:rFonts w:eastAsiaTheme="minorEastAsia"/>
                <w:color w:val="000000" w:themeColor="text1"/>
                <w:szCs w:val="21"/>
              </w:rPr>
              <w:t>1</w:t>
            </w:r>
            <w:r w:rsidRPr="00473486">
              <w:rPr>
                <w:rFonts w:eastAsiaTheme="minorEastAsia"/>
                <w:color w:val="000000" w:themeColor="text1"/>
                <w:szCs w:val="21"/>
              </w:rPr>
              <w:t>日</w:t>
            </w:r>
            <w:r w:rsidRPr="00473486">
              <w:rPr>
                <w:rFonts w:eastAsiaTheme="minorEastAsia"/>
                <w:color w:val="000000" w:themeColor="text1"/>
                <w:szCs w:val="21"/>
              </w:rPr>
              <w:t>-2024</w:t>
            </w:r>
            <w:r w:rsidRPr="00473486">
              <w:rPr>
                <w:rFonts w:eastAsiaTheme="minorEastAsia"/>
                <w:color w:val="000000" w:themeColor="text1"/>
                <w:szCs w:val="21"/>
              </w:rPr>
              <w:t>年</w:t>
            </w:r>
            <w:r w:rsidRPr="00473486">
              <w:rPr>
                <w:rFonts w:eastAsiaTheme="minorEastAsia"/>
                <w:color w:val="000000" w:themeColor="text1"/>
                <w:szCs w:val="21"/>
              </w:rPr>
              <w:t>3</w:t>
            </w:r>
            <w:r w:rsidRPr="00473486">
              <w:rPr>
                <w:rFonts w:eastAsiaTheme="minorEastAsia"/>
                <w:color w:val="000000" w:themeColor="text1"/>
                <w:szCs w:val="21"/>
              </w:rPr>
              <w:t>月</w:t>
            </w:r>
            <w:r w:rsidRPr="00473486">
              <w:rPr>
                <w:rFonts w:eastAsiaTheme="minorEastAsia"/>
                <w:color w:val="000000" w:themeColor="text1"/>
                <w:szCs w:val="21"/>
              </w:rPr>
              <w:t>31</w:t>
            </w:r>
            <w:r w:rsidRPr="00473486">
              <w:rPr>
                <w:rFonts w:eastAsiaTheme="minorEastAsia"/>
                <w:color w:val="000000" w:themeColor="text1"/>
                <w:szCs w:val="21"/>
              </w:rPr>
              <w:t>日</w:t>
            </w:r>
            <w:r w:rsidRPr="00473486">
              <w:rPr>
                <w:rFonts w:eastAsiaTheme="minorEastAsia"/>
                <w:color w:val="000000" w:themeColor="text1"/>
                <w:szCs w:val="21"/>
              </w:rPr>
              <w:t>)</w:t>
            </w:r>
          </w:p>
        </w:tc>
      </w:tr>
      <w:tr w:rsidR="00E455A1" w:rsidRPr="00473486" w:rsidTr="00E455A1">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1.</w:t>
            </w:r>
            <w:r w:rsidRPr="00473486">
              <w:rPr>
                <w:rFonts w:eastAsiaTheme="minorEastAsia"/>
                <w:color w:val="000000" w:themeColor="text1"/>
                <w:kern w:val="0"/>
                <w:szCs w:val="21"/>
              </w:rPr>
              <w:t>本期已实现收益</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12,392,285.67</w:t>
            </w:r>
          </w:p>
        </w:tc>
      </w:tr>
      <w:tr w:rsidR="00E455A1" w:rsidRPr="00473486" w:rsidTr="00E455A1">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2.</w:t>
            </w:r>
            <w:r w:rsidRPr="00473486">
              <w:rPr>
                <w:rFonts w:eastAsiaTheme="minorEastAsia"/>
                <w:color w:val="000000" w:themeColor="text1"/>
                <w:kern w:val="0"/>
                <w:szCs w:val="21"/>
              </w:rPr>
              <w:t>本期利润</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-8,822,260.03</w:t>
            </w:r>
          </w:p>
        </w:tc>
      </w:tr>
      <w:tr w:rsidR="00E455A1" w:rsidRPr="00473486" w:rsidTr="00E455A1">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3.</w:t>
            </w:r>
            <w:r w:rsidRPr="00473486">
              <w:rPr>
                <w:rFonts w:eastAsiaTheme="minorEastAsia"/>
                <w:color w:val="000000" w:themeColor="text1"/>
                <w:kern w:val="0"/>
                <w:szCs w:val="21"/>
              </w:rPr>
              <w:t>加权平均基金份额本期利润</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-0.0081</w:t>
            </w:r>
          </w:p>
        </w:tc>
      </w:tr>
      <w:tr w:rsidR="00E455A1" w:rsidRPr="00473486" w:rsidTr="00E455A1">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4.</w:t>
            </w:r>
            <w:r w:rsidRPr="00473486">
              <w:rPr>
                <w:rFonts w:eastAsiaTheme="minorEastAsia"/>
                <w:color w:val="000000" w:themeColor="text1"/>
                <w:kern w:val="0"/>
                <w:szCs w:val="21"/>
              </w:rPr>
              <w:t>期末基金资产净值</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1,311,777,924.62</w:t>
            </w:r>
          </w:p>
        </w:tc>
      </w:tr>
      <w:tr w:rsidR="00E455A1" w:rsidRPr="00473486" w:rsidTr="00E455A1">
        <w:trPr>
          <w:trHeight w:val="158"/>
        </w:trPr>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lastRenderedPageBreak/>
              <w:t>5.</w:t>
            </w:r>
            <w:r w:rsidRPr="00473486">
              <w:rPr>
                <w:rFonts w:eastAsiaTheme="minorEastAsia"/>
                <w:color w:val="000000" w:themeColor="text1"/>
                <w:kern w:val="0"/>
                <w:szCs w:val="21"/>
              </w:rPr>
              <w:t>期末基金份额净值</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1.0198</w:t>
            </w:r>
          </w:p>
        </w:tc>
      </w:tr>
    </w:tbl>
    <w:p w:rsidR="00A4605A" w:rsidRDefault="00E455A1">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881A82" w:rsidRPr="00473486" w:rsidRDefault="00881A82">
      <w:pPr>
        <w:autoSpaceDE w:val="0"/>
        <w:autoSpaceDN w:val="0"/>
        <w:adjustRightInd w:val="0"/>
        <w:spacing w:line="360" w:lineRule="auto"/>
        <w:jc w:val="left"/>
        <w:rPr>
          <w:rFonts w:eastAsiaTheme="minorEastAsia"/>
          <w:color w:val="000000" w:themeColor="text1"/>
          <w:kern w:val="0"/>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3.2 </w:t>
      </w:r>
      <w:r w:rsidRPr="00473486">
        <w:rPr>
          <w:rFonts w:eastAsiaTheme="minorEastAsia"/>
          <w:b/>
          <w:color w:val="000000" w:themeColor="text1"/>
          <w:kern w:val="0"/>
          <w:sz w:val="24"/>
        </w:rPr>
        <w:t>基金净值表现</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3.2.1</w:t>
      </w:r>
      <w:r w:rsidRPr="00473486">
        <w:rPr>
          <w:rFonts w:eastAsiaTheme="minorEastAsia"/>
          <w:b/>
          <w:color w:val="000000" w:themeColor="text1"/>
          <w:kern w:val="0"/>
          <w:sz w:val="24"/>
        </w:rPr>
        <w:t>本报告期基金份额净值增长率及其与同期业绩比较基准收益率的比较</w:t>
      </w:r>
    </w:p>
    <w:tbl>
      <w:tblPr>
        <w:tblStyle w:val="afa"/>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881A82" w:rsidRPr="00473486">
        <w:tc>
          <w:tcPr>
            <w:tcW w:w="1395"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阶段</w:t>
            </w:r>
          </w:p>
        </w:tc>
        <w:tc>
          <w:tcPr>
            <w:tcW w:w="1092"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净值增长率</w:t>
            </w:r>
            <w:r w:rsidRPr="00473486">
              <w:rPr>
                <w:rFonts w:ascii="宋体" w:hAnsi="宋体" w:cs="宋体" w:hint="eastAsia"/>
                <w:color w:val="000000" w:themeColor="text1"/>
                <w:szCs w:val="21"/>
              </w:rPr>
              <w:t>①</w:t>
            </w:r>
          </w:p>
        </w:tc>
        <w:tc>
          <w:tcPr>
            <w:tcW w:w="116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净值增长率标准差</w:t>
            </w:r>
            <w:r w:rsidRPr="00473486">
              <w:rPr>
                <w:rFonts w:ascii="宋体" w:hAnsi="宋体" w:cs="宋体" w:hint="eastAsia"/>
                <w:color w:val="000000" w:themeColor="text1"/>
                <w:szCs w:val="21"/>
              </w:rPr>
              <w:t>②</w:t>
            </w:r>
          </w:p>
        </w:tc>
        <w:tc>
          <w:tcPr>
            <w:tcW w:w="118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业绩比较基准收益率</w:t>
            </w:r>
            <w:r w:rsidRPr="00473486">
              <w:rPr>
                <w:rFonts w:ascii="宋体" w:hAnsi="宋体" w:cs="宋体" w:hint="eastAsia"/>
                <w:color w:val="000000" w:themeColor="text1"/>
                <w:szCs w:val="21"/>
              </w:rPr>
              <w:t>③</w:t>
            </w:r>
          </w:p>
        </w:tc>
        <w:tc>
          <w:tcPr>
            <w:tcW w:w="1188"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业绩比较基准收益率标准差</w:t>
            </w:r>
            <w:r w:rsidRPr="00473486">
              <w:rPr>
                <w:rFonts w:ascii="宋体" w:hAnsi="宋体" w:cs="宋体" w:hint="eastAsia"/>
                <w:color w:val="000000" w:themeColor="text1"/>
                <w:szCs w:val="21"/>
              </w:rPr>
              <w:t>④</w:t>
            </w:r>
          </w:p>
        </w:tc>
        <w:tc>
          <w:tcPr>
            <w:tcW w:w="1199"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ascii="宋体" w:hAnsi="宋体" w:cs="宋体" w:hint="eastAsia"/>
                <w:color w:val="000000" w:themeColor="text1"/>
                <w:szCs w:val="21"/>
              </w:rPr>
              <w:t>①</w:t>
            </w:r>
            <w:r w:rsidRPr="00473486">
              <w:rPr>
                <w:rFonts w:eastAsiaTheme="minorEastAsia"/>
                <w:color w:val="000000" w:themeColor="text1"/>
                <w:szCs w:val="21"/>
              </w:rPr>
              <w:t>-</w:t>
            </w:r>
            <w:r w:rsidRPr="00473486">
              <w:rPr>
                <w:rFonts w:ascii="宋体" w:hAnsi="宋体" w:cs="宋体" w:hint="eastAsia"/>
                <w:color w:val="000000" w:themeColor="text1"/>
                <w:szCs w:val="21"/>
              </w:rPr>
              <w:t>③</w:t>
            </w:r>
          </w:p>
        </w:tc>
        <w:tc>
          <w:tcPr>
            <w:tcW w:w="1204"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ascii="宋体" w:hAnsi="宋体" w:cs="宋体" w:hint="eastAsia"/>
                <w:color w:val="000000" w:themeColor="text1"/>
                <w:szCs w:val="21"/>
              </w:rPr>
              <w:t>②</w:t>
            </w:r>
            <w:r w:rsidRPr="00473486">
              <w:rPr>
                <w:rFonts w:eastAsiaTheme="minorEastAsia"/>
                <w:color w:val="000000" w:themeColor="text1"/>
                <w:szCs w:val="21"/>
              </w:rPr>
              <w:t>-</w:t>
            </w:r>
            <w:r w:rsidRPr="00473486">
              <w:rPr>
                <w:rFonts w:ascii="宋体" w:hAnsi="宋体" w:cs="宋体" w:hint="eastAsia"/>
                <w:color w:val="000000" w:themeColor="text1"/>
                <w:szCs w:val="21"/>
              </w:rPr>
              <w:t>④</w:t>
            </w:r>
          </w:p>
        </w:tc>
      </w:tr>
      <w:tr w:rsidR="00A4605A">
        <w:tc>
          <w:tcPr>
            <w:tcW w:w="1395" w:type="dxa"/>
            <w:vAlign w:val="center"/>
          </w:tcPr>
          <w:p w:rsidR="00A4605A" w:rsidRDefault="00E455A1">
            <w:pPr>
              <w:jc w:val="left"/>
            </w:pPr>
            <w:r>
              <w:rPr>
                <w:rFonts w:eastAsiaTheme="minorEastAsia"/>
                <w:color w:val="000000" w:themeColor="text1"/>
                <w:szCs w:val="21"/>
              </w:rPr>
              <w:t>过去三个月</w:t>
            </w:r>
          </w:p>
        </w:tc>
        <w:tc>
          <w:tcPr>
            <w:tcW w:w="1092" w:type="dxa"/>
            <w:vAlign w:val="center"/>
          </w:tcPr>
          <w:p w:rsidR="00A4605A" w:rsidRDefault="00E455A1">
            <w:pPr>
              <w:jc w:val="center"/>
            </w:pPr>
            <w:r>
              <w:rPr>
                <w:rFonts w:eastAsiaTheme="minorEastAsia"/>
                <w:color w:val="000000" w:themeColor="text1"/>
                <w:szCs w:val="21"/>
              </w:rPr>
              <w:t>-0.39%</w:t>
            </w:r>
          </w:p>
        </w:tc>
        <w:tc>
          <w:tcPr>
            <w:tcW w:w="1161" w:type="dxa"/>
            <w:vAlign w:val="center"/>
          </w:tcPr>
          <w:p w:rsidR="00A4605A" w:rsidRDefault="00E455A1">
            <w:pPr>
              <w:jc w:val="center"/>
            </w:pPr>
            <w:r>
              <w:rPr>
                <w:rFonts w:eastAsiaTheme="minorEastAsia"/>
                <w:color w:val="000000" w:themeColor="text1"/>
                <w:szCs w:val="21"/>
              </w:rPr>
              <w:t>1.14%</w:t>
            </w:r>
          </w:p>
        </w:tc>
        <w:tc>
          <w:tcPr>
            <w:tcW w:w="1181" w:type="dxa"/>
            <w:vAlign w:val="center"/>
          </w:tcPr>
          <w:p w:rsidR="00A4605A" w:rsidRDefault="00E455A1">
            <w:pPr>
              <w:jc w:val="center"/>
            </w:pPr>
            <w:r>
              <w:rPr>
                <w:rFonts w:eastAsiaTheme="minorEastAsia"/>
                <w:color w:val="000000" w:themeColor="text1"/>
                <w:szCs w:val="21"/>
              </w:rPr>
              <w:t>2.80%</w:t>
            </w:r>
          </w:p>
        </w:tc>
        <w:tc>
          <w:tcPr>
            <w:tcW w:w="1188" w:type="dxa"/>
            <w:vAlign w:val="center"/>
          </w:tcPr>
          <w:p w:rsidR="00A4605A" w:rsidRDefault="00E455A1">
            <w:pPr>
              <w:jc w:val="center"/>
            </w:pPr>
            <w:r>
              <w:rPr>
                <w:rFonts w:eastAsiaTheme="minorEastAsia"/>
                <w:color w:val="000000" w:themeColor="text1"/>
                <w:szCs w:val="21"/>
              </w:rPr>
              <w:t>1.13%</w:t>
            </w:r>
          </w:p>
        </w:tc>
        <w:tc>
          <w:tcPr>
            <w:tcW w:w="1199" w:type="dxa"/>
            <w:vAlign w:val="center"/>
          </w:tcPr>
          <w:p w:rsidR="00A4605A" w:rsidRDefault="00E455A1">
            <w:pPr>
              <w:jc w:val="center"/>
            </w:pPr>
            <w:r>
              <w:rPr>
                <w:rFonts w:eastAsiaTheme="minorEastAsia"/>
                <w:color w:val="000000" w:themeColor="text1"/>
                <w:szCs w:val="21"/>
              </w:rPr>
              <w:t>-3.19%</w:t>
            </w:r>
          </w:p>
        </w:tc>
        <w:tc>
          <w:tcPr>
            <w:tcW w:w="1204" w:type="dxa"/>
            <w:vAlign w:val="center"/>
          </w:tcPr>
          <w:p w:rsidR="00A4605A" w:rsidRDefault="00E455A1">
            <w:pPr>
              <w:jc w:val="center"/>
            </w:pPr>
            <w:r>
              <w:rPr>
                <w:rFonts w:eastAsiaTheme="minorEastAsia"/>
                <w:color w:val="000000" w:themeColor="text1"/>
                <w:szCs w:val="21"/>
              </w:rPr>
              <w:t>0.01%</w:t>
            </w:r>
          </w:p>
        </w:tc>
      </w:tr>
      <w:tr w:rsidR="00A4605A">
        <w:tc>
          <w:tcPr>
            <w:tcW w:w="1395" w:type="dxa"/>
            <w:vAlign w:val="center"/>
          </w:tcPr>
          <w:p w:rsidR="00A4605A" w:rsidRDefault="00E455A1">
            <w:pPr>
              <w:jc w:val="left"/>
            </w:pPr>
            <w:r>
              <w:rPr>
                <w:rFonts w:eastAsiaTheme="minorEastAsia"/>
                <w:color w:val="000000" w:themeColor="text1"/>
                <w:szCs w:val="21"/>
              </w:rPr>
              <w:t>过去六个月</w:t>
            </w:r>
          </w:p>
        </w:tc>
        <w:tc>
          <w:tcPr>
            <w:tcW w:w="1092" w:type="dxa"/>
            <w:vAlign w:val="center"/>
          </w:tcPr>
          <w:p w:rsidR="00A4605A" w:rsidRDefault="00E455A1">
            <w:pPr>
              <w:jc w:val="center"/>
            </w:pPr>
            <w:r>
              <w:rPr>
                <w:rFonts w:eastAsiaTheme="minorEastAsia"/>
                <w:color w:val="000000" w:themeColor="text1"/>
                <w:szCs w:val="21"/>
              </w:rPr>
              <w:t>-</w:t>
            </w:r>
          </w:p>
        </w:tc>
        <w:tc>
          <w:tcPr>
            <w:tcW w:w="1161" w:type="dxa"/>
            <w:vAlign w:val="center"/>
          </w:tcPr>
          <w:p w:rsidR="00A4605A" w:rsidRDefault="00E455A1">
            <w:pPr>
              <w:jc w:val="center"/>
            </w:pPr>
            <w:r>
              <w:rPr>
                <w:rFonts w:eastAsiaTheme="minorEastAsia"/>
                <w:color w:val="000000" w:themeColor="text1"/>
                <w:szCs w:val="21"/>
              </w:rPr>
              <w:t>-</w:t>
            </w:r>
          </w:p>
        </w:tc>
        <w:tc>
          <w:tcPr>
            <w:tcW w:w="1181" w:type="dxa"/>
            <w:vAlign w:val="center"/>
          </w:tcPr>
          <w:p w:rsidR="00A4605A" w:rsidRDefault="00E455A1">
            <w:pPr>
              <w:jc w:val="center"/>
            </w:pPr>
            <w:r>
              <w:rPr>
                <w:rFonts w:eastAsiaTheme="minorEastAsia"/>
                <w:color w:val="000000" w:themeColor="text1"/>
                <w:szCs w:val="21"/>
              </w:rPr>
              <w:t>-</w:t>
            </w:r>
          </w:p>
        </w:tc>
        <w:tc>
          <w:tcPr>
            <w:tcW w:w="1188" w:type="dxa"/>
            <w:vAlign w:val="center"/>
          </w:tcPr>
          <w:p w:rsidR="00A4605A" w:rsidRDefault="00E455A1">
            <w:pPr>
              <w:jc w:val="center"/>
            </w:pPr>
            <w:r>
              <w:rPr>
                <w:rFonts w:eastAsiaTheme="minorEastAsia"/>
                <w:color w:val="000000" w:themeColor="text1"/>
                <w:szCs w:val="21"/>
              </w:rPr>
              <w:t>-</w:t>
            </w:r>
          </w:p>
        </w:tc>
        <w:tc>
          <w:tcPr>
            <w:tcW w:w="1199" w:type="dxa"/>
            <w:vAlign w:val="center"/>
          </w:tcPr>
          <w:p w:rsidR="00A4605A" w:rsidRDefault="00E455A1">
            <w:pPr>
              <w:jc w:val="center"/>
            </w:pPr>
            <w:r>
              <w:rPr>
                <w:rFonts w:eastAsiaTheme="minorEastAsia"/>
                <w:color w:val="000000" w:themeColor="text1"/>
                <w:szCs w:val="21"/>
              </w:rPr>
              <w:t>-</w:t>
            </w:r>
          </w:p>
        </w:tc>
        <w:tc>
          <w:tcPr>
            <w:tcW w:w="1204" w:type="dxa"/>
            <w:vAlign w:val="center"/>
          </w:tcPr>
          <w:p w:rsidR="00A4605A" w:rsidRDefault="00E455A1">
            <w:pPr>
              <w:jc w:val="center"/>
            </w:pPr>
            <w:r>
              <w:rPr>
                <w:rFonts w:eastAsiaTheme="minorEastAsia"/>
                <w:color w:val="000000" w:themeColor="text1"/>
                <w:szCs w:val="21"/>
              </w:rPr>
              <w:t>-</w:t>
            </w:r>
          </w:p>
        </w:tc>
      </w:tr>
      <w:tr w:rsidR="00A4605A">
        <w:tc>
          <w:tcPr>
            <w:tcW w:w="1395" w:type="dxa"/>
            <w:vAlign w:val="center"/>
          </w:tcPr>
          <w:p w:rsidR="00A4605A" w:rsidRDefault="00E455A1">
            <w:pPr>
              <w:jc w:val="left"/>
            </w:pPr>
            <w:r>
              <w:rPr>
                <w:rFonts w:eastAsiaTheme="minorEastAsia"/>
                <w:color w:val="000000" w:themeColor="text1"/>
                <w:szCs w:val="21"/>
              </w:rPr>
              <w:t>过去一年</w:t>
            </w:r>
          </w:p>
        </w:tc>
        <w:tc>
          <w:tcPr>
            <w:tcW w:w="1092" w:type="dxa"/>
            <w:vAlign w:val="center"/>
          </w:tcPr>
          <w:p w:rsidR="00A4605A" w:rsidRDefault="00E455A1">
            <w:pPr>
              <w:jc w:val="center"/>
            </w:pPr>
            <w:r>
              <w:rPr>
                <w:rFonts w:eastAsiaTheme="minorEastAsia"/>
                <w:color w:val="000000" w:themeColor="text1"/>
                <w:szCs w:val="21"/>
              </w:rPr>
              <w:t>-</w:t>
            </w:r>
          </w:p>
        </w:tc>
        <w:tc>
          <w:tcPr>
            <w:tcW w:w="1161" w:type="dxa"/>
            <w:vAlign w:val="center"/>
          </w:tcPr>
          <w:p w:rsidR="00A4605A" w:rsidRDefault="00E455A1">
            <w:pPr>
              <w:jc w:val="center"/>
            </w:pPr>
            <w:r>
              <w:rPr>
                <w:rFonts w:eastAsiaTheme="minorEastAsia"/>
                <w:color w:val="000000" w:themeColor="text1"/>
                <w:szCs w:val="21"/>
              </w:rPr>
              <w:t>-</w:t>
            </w:r>
          </w:p>
        </w:tc>
        <w:tc>
          <w:tcPr>
            <w:tcW w:w="1181" w:type="dxa"/>
            <w:vAlign w:val="center"/>
          </w:tcPr>
          <w:p w:rsidR="00A4605A" w:rsidRDefault="00E455A1">
            <w:pPr>
              <w:jc w:val="center"/>
            </w:pPr>
            <w:r>
              <w:rPr>
                <w:rFonts w:eastAsiaTheme="minorEastAsia"/>
                <w:color w:val="000000" w:themeColor="text1"/>
                <w:szCs w:val="21"/>
              </w:rPr>
              <w:t>-</w:t>
            </w:r>
          </w:p>
        </w:tc>
        <w:tc>
          <w:tcPr>
            <w:tcW w:w="1188" w:type="dxa"/>
            <w:vAlign w:val="center"/>
          </w:tcPr>
          <w:p w:rsidR="00A4605A" w:rsidRDefault="00E455A1">
            <w:pPr>
              <w:jc w:val="center"/>
            </w:pPr>
            <w:r>
              <w:rPr>
                <w:rFonts w:eastAsiaTheme="minorEastAsia"/>
                <w:color w:val="000000" w:themeColor="text1"/>
                <w:szCs w:val="21"/>
              </w:rPr>
              <w:t>-</w:t>
            </w:r>
          </w:p>
        </w:tc>
        <w:tc>
          <w:tcPr>
            <w:tcW w:w="1199" w:type="dxa"/>
            <w:vAlign w:val="center"/>
          </w:tcPr>
          <w:p w:rsidR="00A4605A" w:rsidRDefault="00E455A1">
            <w:pPr>
              <w:jc w:val="center"/>
            </w:pPr>
            <w:r>
              <w:rPr>
                <w:rFonts w:eastAsiaTheme="minorEastAsia"/>
                <w:color w:val="000000" w:themeColor="text1"/>
                <w:szCs w:val="21"/>
              </w:rPr>
              <w:t>-</w:t>
            </w:r>
          </w:p>
        </w:tc>
        <w:tc>
          <w:tcPr>
            <w:tcW w:w="1204" w:type="dxa"/>
            <w:vAlign w:val="center"/>
          </w:tcPr>
          <w:p w:rsidR="00A4605A" w:rsidRDefault="00E455A1">
            <w:pPr>
              <w:jc w:val="center"/>
            </w:pPr>
            <w:r>
              <w:rPr>
                <w:rFonts w:eastAsiaTheme="minorEastAsia"/>
                <w:color w:val="000000" w:themeColor="text1"/>
                <w:szCs w:val="21"/>
              </w:rPr>
              <w:t>-</w:t>
            </w:r>
          </w:p>
        </w:tc>
      </w:tr>
      <w:tr w:rsidR="00A4605A">
        <w:tc>
          <w:tcPr>
            <w:tcW w:w="1395" w:type="dxa"/>
            <w:vAlign w:val="center"/>
          </w:tcPr>
          <w:p w:rsidR="00A4605A" w:rsidRDefault="00E455A1">
            <w:pPr>
              <w:jc w:val="left"/>
            </w:pPr>
            <w:r>
              <w:rPr>
                <w:rFonts w:eastAsiaTheme="minorEastAsia"/>
                <w:color w:val="000000" w:themeColor="text1"/>
                <w:szCs w:val="21"/>
              </w:rPr>
              <w:t>过去三年</w:t>
            </w:r>
          </w:p>
        </w:tc>
        <w:tc>
          <w:tcPr>
            <w:tcW w:w="1092" w:type="dxa"/>
            <w:vAlign w:val="center"/>
          </w:tcPr>
          <w:p w:rsidR="00A4605A" w:rsidRDefault="00E455A1">
            <w:pPr>
              <w:jc w:val="center"/>
            </w:pPr>
            <w:r>
              <w:rPr>
                <w:rFonts w:eastAsiaTheme="minorEastAsia"/>
                <w:color w:val="000000" w:themeColor="text1"/>
                <w:szCs w:val="21"/>
              </w:rPr>
              <w:t>-</w:t>
            </w:r>
          </w:p>
        </w:tc>
        <w:tc>
          <w:tcPr>
            <w:tcW w:w="1161" w:type="dxa"/>
            <w:vAlign w:val="center"/>
          </w:tcPr>
          <w:p w:rsidR="00A4605A" w:rsidRDefault="00E455A1">
            <w:pPr>
              <w:jc w:val="center"/>
            </w:pPr>
            <w:r>
              <w:rPr>
                <w:rFonts w:eastAsiaTheme="minorEastAsia"/>
                <w:color w:val="000000" w:themeColor="text1"/>
                <w:szCs w:val="21"/>
              </w:rPr>
              <w:t>-</w:t>
            </w:r>
          </w:p>
        </w:tc>
        <w:tc>
          <w:tcPr>
            <w:tcW w:w="1181" w:type="dxa"/>
            <w:vAlign w:val="center"/>
          </w:tcPr>
          <w:p w:rsidR="00A4605A" w:rsidRDefault="00E455A1">
            <w:pPr>
              <w:jc w:val="center"/>
            </w:pPr>
            <w:r>
              <w:rPr>
                <w:rFonts w:eastAsiaTheme="minorEastAsia"/>
                <w:color w:val="000000" w:themeColor="text1"/>
                <w:szCs w:val="21"/>
              </w:rPr>
              <w:t>-</w:t>
            </w:r>
          </w:p>
        </w:tc>
        <w:tc>
          <w:tcPr>
            <w:tcW w:w="1188" w:type="dxa"/>
            <w:vAlign w:val="center"/>
          </w:tcPr>
          <w:p w:rsidR="00A4605A" w:rsidRDefault="00E455A1">
            <w:pPr>
              <w:jc w:val="center"/>
            </w:pPr>
            <w:r>
              <w:rPr>
                <w:rFonts w:eastAsiaTheme="minorEastAsia"/>
                <w:color w:val="000000" w:themeColor="text1"/>
                <w:szCs w:val="21"/>
              </w:rPr>
              <w:t>-</w:t>
            </w:r>
          </w:p>
        </w:tc>
        <w:tc>
          <w:tcPr>
            <w:tcW w:w="1199" w:type="dxa"/>
            <w:vAlign w:val="center"/>
          </w:tcPr>
          <w:p w:rsidR="00A4605A" w:rsidRDefault="00E455A1">
            <w:pPr>
              <w:jc w:val="center"/>
            </w:pPr>
            <w:r>
              <w:rPr>
                <w:rFonts w:eastAsiaTheme="minorEastAsia"/>
                <w:color w:val="000000" w:themeColor="text1"/>
                <w:szCs w:val="21"/>
              </w:rPr>
              <w:t>-</w:t>
            </w:r>
          </w:p>
        </w:tc>
        <w:tc>
          <w:tcPr>
            <w:tcW w:w="1204" w:type="dxa"/>
            <w:vAlign w:val="center"/>
          </w:tcPr>
          <w:p w:rsidR="00A4605A" w:rsidRDefault="00E455A1">
            <w:pPr>
              <w:jc w:val="center"/>
            </w:pPr>
            <w:r>
              <w:rPr>
                <w:rFonts w:eastAsiaTheme="minorEastAsia"/>
                <w:color w:val="000000" w:themeColor="text1"/>
                <w:szCs w:val="21"/>
              </w:rPr>
              <w:t>-</w:t>
            </w:r>
          </w:p>
        </w:tc>
      </w:tr>
      <w:tr w:rsidR="00A4605A">
        <w:tc>
          <w:tcPr>
            <w:tcW w:w="1395" w:type="dxa"/>
            <w:vAlign w:val="center"/>
          </w:tcPr>
          <w:p w:rsidR="00A4605A" w:rsidRDefault="00E455A1">
            <w:pPr>
              <w:jc w:val="left"/>
            </w:pPr>
            <w:r>
              <w:rPr>
                <w:rFonts w:eastAsiaTheme="minorEastAsia"/>
                <w:color w:val="000000" w:themeColor="text1"/>
                <w:szCs w:val="21"/>
              </w:rPr>
              <w:t>过去五年</w:t>
            </w:r>
          </w:p>
        </w:tc>
        <w:tc>
          <w:tcPr>
            <w:tcW w:w="1092" w:type="dxa"/>
            <w:vAlign w:val="center"/>
          </w:tcPr>
          <w:p w:rsidR="00A4605A" w:rsidRDefault="00E455A1">
            <w:pPr>
              <w:jc w:val="center"/>
            </w:pPr>
            <w:r>
              <w:rPr>
                <w:rFonts w:eastAsiaTheme="minorEastAsia"/>
                <w:color w:val="000000" w:themeColor="text1"/>
                <w:szCs w:val="21"/>
              </w:rPr>
              <w:t>-</w:t>
            </w:r>
          </w:p>
        </w:tc>
        <w:tc>
          <w:tcPr>
            <w:tcW w:w="1161" w:type="dxa"/>
            <w:vAlign w:val="center"/>
          </w:tcPr>
          <w:p w:rsidR="00A4605A" w:rsidRDefault="00E455A1">
            <w:pPr>
              <w:jc w:val="center"/>
            </w:pPr>
            <w:r>
              <w:rPr>
                <w:rFonts w:eastAsiaTheme="minorEastAsia"/>
                <w:color w:val="000000" w:themeColor="text1"/>
                <w:szCs w:val="21"/>
              </w:rPr>
              <w:t>-</w:t>
            </w:r>
          </w:p>
        </w:tc>
        <w:tc>
          <w:tcPr>
            <w:tcW w:w="1181" w:type="dxa"/>
            <w:vAlign w:val="center"/>
          </w:tcPr>
          <w:p w:rsidR="00A4605A" w:rsidRDefault="00E455A1">
            <w:pPr>
              <w:jc w:val="center"/>
            </w:pPr>
            <w:r>
              <w:rPr>
                <w:rFonts w:eastAsiaTheme="minorEastAsia"/>
                <w:color w:val="000000" w:themeColor="text1"/>
                <w:szCs w:val="21"/>
              </w:rPr>
              <w:t>-</w:t>
            </w:r>
          </w:p>
        </w:tc>
        <w:tc>
          <w:tcPr>
            <w:tcW w:w="1188" w:type="dxa"/>
            <w:vAlign w:val="center"/>
          </w:tcPr>
          <w:p w:rsidR="00A4605A" w:rsidRDefault="00E455A1">
            <w:pPr>
              <w:jc w:val="center"/>
            </w:pPr>
            <w:r>
              <w:rPr>
                <w:rFonts w:eastAsiaTheme="minorEastAsia"/>
                <w:color w:val="000000" w:themeColor="text1"/>
                <w:szCs w:val="21"/>
              </w:rPr>
              <w:t>-</w:t>
            </w:r>
          </w:p>
        </w:tc>
        <w:tc>
          <w:tcPr>
            <w:tcW w:w="1199" w:type="dxa"/>
            <w:vAlign w:val="center"/>
          </w:tcPr>
          <w:p w:rsidR="00A4605A" w:rsidRDefault="00E455A1">
            <w:pPr>
              <w:jc w:val="center"/>
            </w:pPr>
            <w:r>
              <w:rPr>
                <w:rFonts w:eastAsiaTheme="minorEastAsia"/>
                <w:color w:val="000000" w:themeColor="text1"/>
                <w:szCs w:val="21"/>
              </w:rPr>
              <w:t>-</w:t>
            </w:r>
          </w:p>
        </w:tc>
        <w:tc>
          <w:tcPr>
            <w:tcW w:w="1204" w:type="dxa"/>
            <w:vAlign w:val="center"/>
          </w:tcPr>
          <w:p w:rsidR="00A4605A" w:rsidRDefault="00E455A1">
            <w:pPr>
              <w:jc w:val="center"/>
            </w:pPr>
            <w:r>
              <w:rPr>
                <w:rFonts w:eastAsiaTheme="minorEastAsia"/>
                <w:color w:val="000000" w:themeColor="text1"/>
                <w:szCs w:val="21"/>
              </w:rPr>
              <w:t>-</w:t>
            </w:r>
          </w:p>
        </w:tc>
      </w:tr>
      <w:tr w:rsidR="00A4605A">
        <w:tc>
          <w:tcPr>
            <w:tcW w:w="1395" w:type="dxa"/>
            <w:vAlign w:val="center"/>
          </w:tcPr>
          <w:p w:rsidR="00A4605A" w:rsidRDefault="00E455A1">
            <w:pPr>
              <w:jc w:val="left"/>
            </w:pPr>
            <w:r>
              <w:rPr>
                <w:rFonts w:eastAsiaTheme="minorEastAsia"/>
                <w:color w:val="000000" w:themeColor="text1"/>
                <w:szCs w:val="21"/>
              </w:rPr>
              <w:t>自基金合同生效起至今</w:t>
            </w:r>
          </w:p>
        </w:tc>
        <w:tc>
          <w:tcPr>
            <w:tcW w:w="1092" w:type="dxa"/>
            <w:vAlign w:val="center"/>
          </w:tcPr>
          <w:p w:rsidR="00A4605A" w:rsidRDefault="00E455A1">
            <w:pPr>
              <w:jc w:val="center"/>
            </w:pPr>
            <w:r>
              <w:rPr>
                <w:rFonts w:eastAsiaTheme="minorEastAsia"/>
                <w:color w:val="000000" w:themeColor="text1"/>
                <w:szCs w:val="21"/>
              </w:rPr>
              <w:t>1.98%</w:t>
            </w:r>
          </w:p>
        </w:tc>
        <w:tc>
          <w:tcPr>
            <w:tcW w:w="1161" w:type="dxa"/>
            <w:vAlign w:val="center"/>
          </w:tcPr>
          <w:p w:rsidR="00A4605A" w:rsidRDefault="00E455A1">
            <w:pPr>
              <w:jc w:val="center"/>
            </w:pPr>
            <w:r>
              <w:rPr>
                <w:rFonts w:eastAsiaTheme="minorEastAsia"/>
                <w:color w:val="000000" w:themeColor="text1"/>
                <w:szCs w:val="21"/>
              </w:rPr>
              <w:t>1.01%</w:t>
            </w:r>
          </w:p>
        </w:tc>
        <w:tc>
          <w:tcPr>
            <w:tcW w:w="1181" w:type="dxa"/>
            <w:vAlign w:val="center"/>
          </w:tcPr>
          <w:p w:rsidR="00A4605A" w:rsidRDefault="00E455A1">
            <w:pPr>
              <w:jc w:val="center"/>
            </w:pPr>
            <w:r>
              <w:rPr>
                <w:rFonts w:eastAsiaTheme="minorEastAsia"/>
                <w:color w:val="000000" w:themeColor="text1"/>
                <w:szCs w:val="21"/>
              </w:rPr>
              <w:t>3.50%</w:t>
            </w:r>
          </w:p>
        </w:tc>
        <w:tc>
          <w:tcPr>
            <w:tcW w:w="1188" w:type="dxa"/>
            <w:vAlign w:val="center"/>
          </w:tcPr>
          <w:p w:rsidR="00A4605A" w:rsidRDefault="00E455A1">
            <w:pPr>
              <w:jc w:val="center"/>
            </w:pPr>
            <w:r>
              <w:rPr>
                <w:rFonts w:eastAsiaTheme="minorEastAsia"/>
                <w:color w:val="000000" w:themeColor="text1"/>
                <w:szCs w:val="21"/>
              </w:rPr>
              <w:t>1.03%</w:t>
            </w:r>
          </w:p>
        </w:tc>
        <w:tc>
          <w:tcPr>
            <w:tcW w:w="1199" w:type="dxa"/>
            <w:vAlign w:val="center"/>
          </w:tcPr>
          <w:p w:rsidR="00A4605A" w:rsidRDefault="00E455A1">
            <w:pPr>
              <w:jc w:val="center"/>
            </w:pPr>
            <w:r>
              <w:rPr>
                <w:rFonts w:eastAsiaTheme="minorEastAsia"/>
                <w:color w:val="000000" w:themeColor="text1"/>
                <w:szCs w:val="21"/>
              </w:rPr>
              <w:t>-1.52%</w:t>
            </w:r>
          </w:p>
        </w:tc>
        <w:tc>
          <w:tcPr>
            <w:tcW w:w="1204" w:type="dxa"/>
            <w:vAlign w:val="center"/>
          </w:tcPr>
          <w:p w:rsidR="00A4605A" w:rsidRDefault="00E455A1">
            <w:pPr>
              <w:jc w:val="center"/>
            </w:pPr>
            <w:r>
              <w:rPr>
                <w:rFonts w:eastAsiaTheme="minorEastAsia"/>
                <w:color w:val="000000" w:themeColor="text1"/>
                <w:szCs w:val="21"/>
              </w:rPr>
              <w:t>-0.02%</w:t>
            </w:r>
          </w:p>
        </w:tc>
      </w:tr>
    </w:tbl>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3.2.2</w:t>
      </w:r>
      <w:r w:rsidRPr="00473486">
        <w:rPr>
          <w:rStyle w:val="af4"/>
          <w:color w:val="000000" w:themeColor="text1"/>
          <w:sz w:val="24"/>
          <w:shd w:val="clear" w:color="auto" w:fill="FFFFFF"/>
        </w:rPr>
        <w:t>自基金合同生效以来</w:t>
      </w:r>
      <w:r w:rsidRPr="00473486">
        <w:rPr>
          <w:rFonts w:eastAsiaTheme="minorEastAsia"/>
          <w:b/>
          <w:bCs/>
          <w:color w:val="000000" w:themeColor="text1"/>
          <w:sz w:val="24"/>
        </w:rPr>
        <w:t>基金累计净值增长率变动及其与同期业绩比较基准收益率变动的比较</w:t>
      </w:r>
    </w:p>
    <w:p w:rsidR="00881A82" w:rsidRPr="00473486" w:rsidRDefault="007D1E3A">
      <w:pPr>
        <w:spacing w:line="360" w:lineRule="auto"/>
        <w:jc w:val="center"/>
        <w:rPr>
          <w:rFonts w:eastAsiaTheme="minorEastAsia"/>
          <w:color w:val="000000" w:themeColor="text1"/>
          <w:szCs w:val="21"/>
        </w:rPr>
      </w:pPr>
      <w:r w:rsidRPr="00473486">
        <w:rPr>
          <w:rFonts w:eastAsiaTheme="minorEastAsia"/>
          <w:color w:val="000000" w:themeColor="text1"/>
          <w:szCs w:val="21"/>
        </w:rPr>
        <w:t>摩根标普港股通低波红利交易型开放式指数证券投资基金</w:t>
      </w:r>
    </w:p>
    <w:p w:rsidR="00881A82" w:rsidRPr="00473486" w:rsidRDefault="007D1E3A">
      <w:pPr>
        <w:pStyle w:val="a9"/>
        <w:snapToGrid w:val="0"/>
        <w:spacing w:line="360" w:lineRule="auto"/>
        <w:jc w:val="center"/>
        <w:rPr>
          <w:rFonts w:ascii="Times New Roman" w:eastAsiaTheme="minorEastAsia" w:hAnsi="Times New Roman"/>
          <w:color w:val="000000" w:themeColor="text1"/>
        </w:rPr>
      </w:pPr>
      <w:r w:rsidRPr="00473486">
        <w:rPr>
          <w:rFonts w:ascii="Times New Roman" w:eastAsiaTheme="minorEastAsia" w:hAnsi="Times New Roman"/>
          <w:color w:val="000000" w:themeColor="text1"/>
        </w:rPr>
        <w:t>累计净值增长率与业绩比较基准收益率历史走势对比图</w:t>
      </w:r>
    </w:p>
    <w:p w:rsidR="00881A82" w:rsidRPr="00473486" w:rsidRDefault="007D1E3A">
      <w:pPr>
        <w:spacing w:line="360" w:lineRule="auto"/>
        <w:jc w:val="center"/>
        <w:rPr>
          <w:rFonts w:eastAsiaTheme="minorEastAsia"/>
          <w:color w:val="000000" w:themeColor="text1"/>
          <w:szCs w:val="21"/>
        </w:rPr>
      </w:pPr>
      <w:r w:rsidRPr="00473486">
        <w:rPr>
          <w:rFonts w:eastAsiaTheme="minorEastAsia"/>
          <w:color w:val="000000" w:themeColor="text1"/>
          <w:kern w:val="0"/>
          <w:szCs w:val="21"/>
        </w:rPr>
        <w:t>（</w:t>
      </w:r>
      <w:r w:rsidRPr="00473486">
        <w:rPr>
          <w:rFonts w:eastAsiaTheme="minorEastAsia"/>
          <w:color w:val="000000" w:themeColor="text1"/>
          <w:kern w:val="0"/>
          <w:szCs w:val="21"/>
        </w:rPr>
        <w:t>2023</w:t>
      </w:r>
      <w:r w:rsidRPr="00473486">
        <w:rPr>
          <w:rFonts w:eastAsiaTheme="minorEastAsia"/>
          <w:color w:val="000000" w:themeColor="text1"/>
          <w:kern w:val="0"/>
          <w:szCs w:val="21"/>
        </w:rPr>
        <w:t>年</w:t>
      </w:r>
      <w:r w:rsidRPr="00473486">
        <w:rPr>
          <w:rFonts w:eastAsiaTheme="minorEastAsia"/>
          <w:color w:val="000000" w:themeColor="text1"/>
          <w:kern w:val="0"/>
          <w:szCs w:val="21"/>
        </w:rPr>
        <w:t>11</w:t>
      </w:r>
      <w:r w:rsidRPr="00473486">
        <w:rPr>
          <w:rFonts w:eastAsiaTheme="minorEastAsia"/>
          <w:color w:val="000000" w:themeColor="text1"/>
          <w:kern w:val="0"/>
          <w:szCs w:val="21"/>
        </w:rPr>
        <w:t>月</w:t>
      </w:r>
      <w:r w:rsidRPr="00473486">
        <w:rPr>
          <w:rFonts w:eastAsiaTheme="minorEastAsia"/>
          <w:color w:val="000000" w:themeColor="text1"/>
          <w:kern w:val="0"/>
          <w:szCs w:val="21"/>
        </w:rPr>
        <w:t>23</w:t>
      </w:r>
      <w:r w:rsidRPr="00473486">
        <w:rPr>
          <w:rFonts w:eastAsiaTheme="minorEastAsia"/>
          <w:color w:val="000000" w:themeColor="text1"/>
          <w:kern w:val="0"/>
          <w:szCs w:val="21"/>
        </w:rPr>
        <w:t>日至</w:t>
      </w:r>
      <w:r w:rsidRPr="00473486">
        <w:rPr>
          <w:rFonts w:eastAsiaTheme="minorEastAsia"/>
          <w:color w:val="000000" w:themeColor="text1"/>
          <w:kern w:val="0"/>
          <w:szCs w:val="21"/>
        </w:rPr>
        <w:t>2024</w:t>
      </w:r>
      <w:r w:rsidRPr="00473486">
        <w:rPr>
          <w:rFonts w:eastAsiaTheme="minorEastAsia"/>
          <w:color w:val="000000" w:themeColor="text1"/>
          <w:kern w:val="0"/>
          <w:szCs w:val="21"/>
        </w:rPr>
        <w:t>年</w:t>
      </w:r>
      <w:r w:rsidRPr="00473486">
        <w:rPr>
          <w:rFonts w:eastAsiaTheme="minorEastAsia"/>
          <w:color w:val="000000" w:themeColor="text1"/>
          <w:kern w:val="0"/>
          <w:szCs w:val="21"/>
        </w:rPr>
        <w:t>3</w:t>
      </w:r>
      <w:r w:rsidRPr="00473486">
        <w:rPr>
          <w:rFonts w:eastAsiaTheme="minorEastAsia"/>
          <w:color w:val="000000" w:themeColor="text1"/>
          <w:kern w:val="0"/>
          <w:szCs w:val="21"/>
        </w:rPr>
        <w:t>月</w:t>
      </w:r>
      <w:r w:rsidRPr="00473486">
        <w:rPr>
          <w:rFonts w:eastAsiaTheme="minorEastAsia"/>
          <w:color w:val="000000" w:themeColor="text1"/>
          <w:kern w:val="0"/>
          <w:szCs w:val="21"/>
        </w:rPr>
        <w:t>31</w:t>
      </w:r>
      <w:r w:rsidRPr="00473486">
        <w:rPr>
          <w:rFonts w:eastAsiaTheme="minorEastAsia"/>
          <w:color w:val="000000" w:themeColor="text1"/>
          <w:kern w:val="0"/>
          <w:szCs w:val="21"/>
        </w:rPr>
        <w:t>日）</w:t>
      </w:r>
    </w:p>
    <w:p w:rsidR="00881A82" w:rsidRPr="00473486" w:rsidRDefault="007D1E3A">
      <w:pPr>
        <w:tabs>
          <w:tab w:val="left" w:pos="1800"/>
        </w:tabs>
        <w:spacing w:line="360" w:lineRule="auto"/>
        <w:jc w:val="center"/>
        <w:rPr>
          <w:rFonts w:eastAsiaTheme="minorEastAsia"/>
          <w:color w:val="000000" w:themeColor="text1"/>
          <w:sz w:val="24"/>
        </w:rPr>
      </w:pPr>
      <w:r w:rsidRPr="00473486">
        <w:rPr>
          <w:rFonts w:eastAsiaTheme="minorEastAsia"/>
          <w:noProof/>
          <w:color w:val="000000" w:themeColor="text1"/>
          <w:sz w:val="24"/>
        </w:rPr>
        <w:lastRenderedPageBreak/>
        <w:drawing>
          <wp:inline distT="0" distB="0" distL="0" distR="0" wp14:anchorId="0F898A4E" wp14:editId="2A8B881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A4605A" w:rsidRDefault="00E455A1">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日，截至本报告期末本基金合同生效未满一年。</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本基金建仓期为本基金合同生效日起</w:t>
      </w:r>
      <w:r w:rsidRPr="00473486">
        <w:rPr>
          <w:rFonts w:eastAsiaTheme="minorEastAsia"/>
          <w:color w:val="000000" w:themeColor="text1"/>
          <w:szCs w:val="21"/>
        </w:rPr>
        <w:t xml:space="preserve"> 6 </w:t>
      </w:r>
      <w:r w:rsidRPr="00473486">
        <w:rPr>
          <w:rFonts w:eastAsiaTheme="minorEastAsia"/>
          <w:color w:val="000000" w:themeColor="text1"/>
          <w:szCs w:val="21"/>
        </w:rPr>
        <w:t>个月，截至本报告期末本基金仍处于建仓期。</w:t>
      </w:r>
    </w:p>
    <w:p w:rsidR="00881A82" w:rsidRPr="00473486" w:rsidRDefault="00881A82">
      <w:pPr>
        <w:pStyle w:val="a9"/>
        <w:snapToGrid w:val="0"/>
        <w:spacing w:before="120" w:line="360" w:lineRule="auto"/>
        <w:jc w:val="center"/>
        <w:rPr>
          <w:rFonts w:ascii="Times New Roman" w:eastAsiaTheme="minorEastAsia" w:hAnsi="Times New Roman"/>
          <w:color w:val="000000" w:themeColor="text1"/>
          <w:sz w:val="24"/>
          <w:szCs w:val="24"/>
        </w:rPr>
      </w:pPr>
    </w:p>
    <w:p w:rsidR="00881A82" w:rsidRPr="00473486" w:rsidRDefault="00881A82">
      <w:pPr>
        <w:tabs>
          <w:tab w:val="left" w:pos="1800"/>
        </w:tabs>
        <w:spacing w:line="288" w:lineRule="auto"/>
        <w:rPr>
          <w:rFonts w:eastAsiaTheme="minorEastAsia"/>
          <w:color w:val="000000" w:themeColor="text1"/>
          <w:szCs w:val="21"/>
        </w:rPr>
      </w:pP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§4  </w:t>
      </w:r>
      <w:r w:rsidRPr="00473486">
        <w:rPr>
          <w:rFonts w:eastAsiaTheme="minorEastAsia"/>
          <w:color w:val="000000" w:themeColor="text1"/>
          <w:kern w:val="0"/>
          <w:sz w:val="24"/>
          <w:szCs w:val="24"/>
        </w:rPr>
        <w:t>管理人报告</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4.1 </w:t>
      </w:r>
      <w:r w:rsidRPr="00473486">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881A82" w:rsidRPr="00473486">
        <w:trPr>
          <w:cantSplit/>
          <w:trHeight w:val="292"/>
        </w:trPr>
        <w:tc>
          <w:tcPr>
            <w:tcW w:w="851"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姓名</w:t>
            </w:r>
          </w:p>
        </w:tc>
        <w:tc>
          <w:tcPr>
            <w:tcW w:w="850"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职务</w:t>
            </w:r>
          </w:p>
        </w:tc>
        <w:tc>
          <w:tcPr>
            <w:tcW w:w="3119" w:type="dxa"/>
            <w:gridSpan w:val="2"/>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任本基金的基金经理期限</w:t>
            </w:r>
          </w:p>
        </w:tc>
        <w:tc>
          <w:tcPr>
            <w:tcW w:w="1417" w:type="dxa"/>
            <w:vMerge w:val="restart"/>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证券从业年限</w:t>
            </w:r>
          </w:p>
        </w:tc>
        <w:tc>
          <w:tcPr>
            <w:tcW w:w="2694"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说明</w:t>
            </w:r>
          </w:p>
        </w:tc>
      </w:tr>
      <w:tr w:rsidR="00881A82" w:rsidRPr="00473486">
        <w:trPr>
          <w:cantSplit/>
        </w:trPr>
        <w:tc>
          <w:tcPr>
            <w:tcW w:w="851"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850"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1560"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任职日期</w:t>
            </w:r>
          </w:p>
        </w:tc>
        <w:tc>
          <w:tcPr>
            <w:tcW w:w="1559"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离任日期</w:t>
            </w:r>
          </w:p>
        </w:tc>
        <w:tc>
          <w:tcPr>
            <w:tcW w:w="1417"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2694"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r>
      <w:tr w:rsidR="00A4605A">
        <w:tc>
          <w:tcPr>
            <w:tcW w:w="851" w:type="dxa"/>
            <w:vAlign w:val="center"/>
          </w:tcPr>
          <w:p w:rsidR="00A4605A" w:rsidRDefault="00E455A1">
            <w:pPr>
              <w:jc w:val="center"/>
            </w:pPr>
            <w:r>
              <w:rPr>
                <w:rFonts w:eastAsiaTheme="minorEastAsia"/>
                <w:color w:val="000000" w:themeColor="text1"/>
                <w:szCs w:val="21"/>
              </w:rPr>
              <w:t>胡迪</w:t>
            </w:r>
          </w:p>
        </w:tc>
        <w:tc>
          <w:tcPr>
            <w:tcW w:w="850" w:type="dxa"/>
            <w:vAlign w:val="center"/>
          </w:tcPr>
          <w:p w:rsidR="00A4605A" w:rsidRDefault="00E455A1">
            <w:pPr>
              <w:jc w:val="center"/>
            </w:pPr>
            <w:r>
              <w:rPr>
                <w:rFonts w:eastAsiaTheme="minorEastAsia"/>
                <w:color w:val="000000" w:themeColor="text1"/>
                <w:szCs w:val="21"/>
              </w:rPr>
              <w:t>本基金基金经理、指数及量化投资部总监</w:t>
            </w:r>
          </w:p>
        </w:tc>
        <w:tc>
          <w:tcPr>
            <w:tcW w:w="1560" w:type="dxa"/>
            <w:vAlign w:val="center"/>
          </w:tcPr>
          <w:p w:rsidR="00A4605A" w:rsidRDefault="00E455A1">
            <w:pPr>
              <w:jc w:val="center"/>
            </w:pPr>
            <w:r>
              <w:rPr>
                <w:rFonts w:eastAsiaTheme="minorEastAsia"/>
                <w:color w:val="000000" w:themeColor="text1"/>
                <w:szCs w:val="21"/>
              </w:rPr>
              <w:t>2023-11-23</w:t>
            </w:r>
          </w:p>
        </w:tc>
        <w:tc>
          <w:tcPr>
            <w:tcW w:w="1559" w:type="dxa"/>
            <w:vAlign w:val="center"/>
          </w:tcPr>
          <w:p w:rsidR="00A4605A" w:rsidRDefault="00E455A1">
            <w:pPr>
              <w:jc w:val="center"/>
            </w:pPr>
            <w:r>
              <w:rPr>
                <w:rFonts w:eastAsiaTheme="minorEastAsia"/>
                <w:color w:val="000000" w:themeColor="text1"/>
                <w:szCs w:val="21"/>
              </w:rPr>
              <w:t>-</w:t>
            </w:r>
          </w:p>
        </w:tc>
        <w:tc>
          <w:tcPr>
            <w:tcW w:w="1417" w:type="dxa"/>
            <w:vAlign w:val="center"/>
          </w:tcPr>
          <w:p w:rsidR="00A4605A" w:rsidRDefault="00E455A1">
            <w:pPr>
              <w:jc w:val="center"/>
            </w:pPr>
            <w:r>
              <w:rPr>
                <w:rFonts w:eastAsiaTheme="minorEastAsia"/>
                <w:color w:val="000000" w:themeColor="text1"/>
                <w:szCs w:val="21"/>
              </w:rPr>
              <w:t>16</w:t>
            </w:r>
            <w:r>
              <w:rPr>
                <w:rFonts w:eastAsiaTheme="minorEastAsia"/>
                <w:color w:val="000000" w:themeColor="text1"/>
                <w:szCs w:val="21"/>
              </w:rPr>
              <w:t>年</w:t>
            </w:r>
          </w:p>
        </w:tc>
        <w:tc>
          <w:tcPr>
            <w:tcW w:w="2694" w:type="dxa"/>
            <w:vAlign w:val="center"/>
          </w:tcPr>
          <w:p w:rsidR="00A4605A" w:rsidRDefault="00E455A1">
            <w:r>
              <w:rPr>
                <w:rFonts w:eastAsiaTheme="minorEastAsia"/>
                <w:color w:val="000000" w:themeColor="text1"/>
                <w:szCs w:val="21"/>
              </w:rPr>
              <w:t>胡迪女士曾任纽约美林证券全球资产管理部高级经理，纽约标准普尔量化投资主管，中国国际金融股份有限公司资产管理部执行总经理。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月加入摩根基金管理（中国）有限公司（原上投摩根基金管理有限公司），现任指数及量化投资部总监兼基金经理。</w:t>
            </w:r>
          </w:p>
        </w:tc>
      </w:tr>
      <w:tr w:rsidR="00A4605A">
        <w:tc>
          <w:tcPr>
            <w:tcW w:w="851" w:type="dxa"/>
            <w:vAlign w:val="center"/>
          </w:tcPr>
          <w:p w:rsidR="00A4605A" w:rsidRDefault="00E455A1">
            <w:pPr>
              <w:jc w:val="center"/>
            </w:pPr>
            <w:r>
              <w:rPr>
                <w:rFonts w:eastAsiaTheme="minorEastAsia"/>
                <w:color w:val="000000" w:themeColor="text1"/>
                <w:szCs w:val="21"/>
              </w:rPr>
              <w:t>何智豪</w:t>
            </w:r>
          </w:p>
        </w:tc>
        <w:tc>
          <w:tcPr>
            <w:tcW w:w="850" w:type="dxa"/>
            <w:vAlign w:val="center"/>
          </w:tcPr>
          <w:p w:rsidR="00A4605A" w:rsidRDefault="00E455A1">
            <w:pPr>
              <w:jc w:val="center"/>
            </w:pPr>
            <w:r>
              <w:rPr>
                <w:rFonts w:eastAsiaTheme="minorEastAsia"/>
                <w:color w:val="000000" w:themeColor="text1"/>
                <w:szCs w:val="21"/>
              </w:rPr>
              <w:t>本基金基金经理</w:t>
            </w:r>
          </w:p>
        </w:tc>
        <w:tc>
          <w:tcPr>
            <w:tcW w:w="1560" w:type="dxa"/>
            <w:vAlign w:val="center"/>
          </w:tcPr>
          <w:p w:rsidR="00A4605A" w:rsidRDefault="00E455A1">
            <w:pPr>
              <w:jc w:val="center"/>
            </w:pPr>
            <w:r>
              <w:rPr>
                <w:rFonts w:eastAsiaTheme="minorEastAsia"/>
                <w:color w:val="000000" w:themeColor="text1"/>
                <w:szCs w:val="21"/>
              </w:rPr>
              <w:t>2023-11-23</w:t>
            </w:r>
          </w:p>
        </w:tc>
        <w:tc>
          <w:tcPr>
            <w:tcW w:w="1559" w:type="dxa"/>
            <w:vAlign w:val="center"/>
          </w:tcPr>
          <w:p w:rsidR="00A4605A" w:rsidRDefault="00E455A1">
            <w:pPr>
              <w:jc w:val="center"/>
            </w:pPr>
            <w:r>
              <w:rPr>
                <w:rFonts w:eastAsiaTheme="minorEastAsia"/>
                <w:color w:val="000000" w:themeColor="text1"/>
                <w:szCs w:val="21"/>
              </w:rPr>
              <w:t>-</w:t>
            </w:r>
          </w:p>
        </w:tc>
        <w:tc>
          <w:tcPr>
            <w:tcW w:w="1417" w:type="dxa"/>
            <w:vAlign w:val="center"/>
          </w:tcPr>
          <w:p w:rsidR="00A4605A" w:rsidRDefault="00E455A1">
            <w:pPr>
              <w:jc w:val="center"/>
            </w:pPr>
            <w:r>
              <w:rPr>
                <w:rFonts w:eastAsiaTheme="minorEastAsia"/>
                <w:color w:val="000000" w:themeColor="text1"/>
                <w:szCs w:val="21"/>
              </w:rPr>
              <w:t>10</w:t>
            </w:r>
            <w:r>
              <w:rPr>
                <w:rFonts w:eastAsiaTheme="minorEastAsia"/>
                <w:color w:val="000000" w:themeColor="text1"/>
                <w:szCs w:val="21"/>
              </w:rPr>
              <w:t>年</w:t>
            </w:r>
          </w:p>
        </w:tc>
        <w:tc>
          <w:tcPr>
            <w:tcW w:w="2694" w:type="dxa"/>
            <w:vAlign w:val="center"/>
          </w:tcPr>
          <w:p w:rsidR="00A4605A" w:rsidRDefault="00E455A1">
            <w:r>
              <w:rPr>
                <w:rFonts w:eastAsiaTheme="minorEastAsia"/>
                <w:color w:val="000000" w:themeColor="text1"/>
                <w:szCs w:val="21"/>
              </w:rPr>
              <w:t>何智豪先生曾任中国国际金融股份有限公司组合与量化策略研究员、资产管理部高级经理。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w:t>
            </w:r>
            <w:r>
              <w:rPr>
                <w:rFonts w:eastAsiaTheme="minorEastAsia"/>
                <w:color w:val="000000" w:themeColor="text1"/>
                <w:szCs w:val="21"/>
              </w:rPr>
              <w:lastRenderedPageBreak/>
              <w:t>加入摩根基金管理（中国）有限公司（原上投摩根基金管理有限公司），现任基金经理。</w:t>
            </w:r>
          </w:p>
        </w:tc>
      </w:tr>
    </w:tbl>
    <w:p w:rsidR="00A4605A" w:rsidRDefault="00E455A1">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A4605A" w:rsidRDefault="00E455A1">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胡迪女士、何智豪先生为本基金首任基金经理，其任职日期指本基金基金合同生效之日。</w:t>
      </w:r>
      <w:r>
        <w:rPr>
          <w:rFonts w:eastAsiaTheme="minorEastAsia"/>
          <w:color w:val="000000" w:themeColor="text1"/>
          <w:szCs w:val="21"/>
        </w:rPr>
        <w:t xml:space="preserve"> </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3.</w:t>
      </w:r>
      <w:r w:rsidRPr="00473486">
        <w:rPr>
          <w:rFonts w:eastAsiaTheme="minorEastAsia"/>
          <w:color w:val="000000" w:themeColor="text1"/>
          <w:szCs w:val="21"/>
        </w:rPr>
        <w:t>证券从业的含义遵从行业协会《证券业从业人员资格管理办法》的相关规定。</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4.2</w:t>
      </w:r>
      <w:r w:rsidRPr="00473486">
        <w:rPr>
          <w:b/>
          <w:color w:val="000000"/>
          <w:sz w:val="24"/>
          <w:shd w:val="clear" w:color="auto" w:fill="FFFFFF"/>
        </w:rPr>
        <w:t>管理人对报告期内本基金运作遵规守信情况的说明</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4.3 </w:t>
      </w:r>
      <w:r w:rsidRPr="00473486">
        <w:rPr>
          <w:rFonts w:eastAsiaTheme="minorEastAsia"/>
          <w:b/>
          <w:color w:val="000000" w:themeColor="text1"/>
          <w:kern w:val="0"/>
          <w:sz w:val="24"/>
        </w:rPr>
        <w:t>公平交易专项说明</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 xml:space="preserve">4.3.1 </w:t>
      </w:r>
      <w:r w:rsidRPr="00473486">
        <w:rPr>
          <w:rFonts w:eastAsiaTheme="minorEastAsia"/>
          <w:color w:val="000000" w:themeColor="text1"/>
          <w:szCs w:val="21"/>
        </w:rPr>
        <w:t>公平交易制度的执行情况</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 xml:space="preserve">4.3.2 </w:t>
      </w:r>
      <w:r w:rsidRPr="00473486">
        <w:rPr>
          <w:rFonts w:eastAsiaTheme="minorEastAsia"/>
          <w:color w:val="000000" w:themeColor="text1"/>
          <w:szCs w:val="21"/>
        </w:rPr>
        <w:t>异常交易行为的专项说明</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所有投资组合参与的交易所公开竞价同日反向交易成交较少的单边交易量超过该证券</w:t>
      </w:r>
      <w:r w:rsidRPr="00473486">
        <w:rPr>
          <w:rFonts w:eastAsiaTheme="minorEastAsia"/>
          <w:color w:val="000000" w:themeColor="text1"/>
          <w:szCs w:val="21"/>
        </w:rPr>
        <w:lastRenderedPageBreak/>
        <w:t>当日成交量的</w:t>
      </w:r>
      <w:r w:rsidRPr="00473486">
        <w:rPr>
          <w:rFonts w:eastAsiaTheme="minorEastAsia"/>
          <w:color w:val="000000" w:themeColor="text1"/>
          <w:szCs w:val="21"/>
        </w:rPr>
        <w:t>5%</w:t>
      </w:r>
      <w:r w:rsidRPr="00473486">
        <w:rPr>
          <w:rFonts w:eastAsiaTheme="minorEastAsia"/>
          <w:color w:val="000000" w:themeColor="text1"/>
          <w:szCs w:val="21"/>
        </w:rPr>
        <w:t>的情形：无。</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4.4 </w:t>
      </w:r>
      <w:r w:rsidRPr="00473486">
        <w:rPr>
          <w:rFonts w:eastAsiaTheme="minorEastAsia"/>
          <w:b/>
          <w:color w:val="000000" w:themeColor="text1"/>
          <w:kern w:val="0"/>
          <w:sz w:val="24"/>
        </w:rPr>
        <w:t>报告期内基金的投资策略和业绩表现说明</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4.4.1</w:t>
      </w:r>
      <w:r w:rsidRPr="00473486">
        <w:rPr>
          <w:rFonts w:eastAsiaTheme="minorEastAsia"/>
          <w:color w:val="000000" w:themeColor="text1"/>
          <w:szCs w:val="21"/>
        </w:rPr>
        <w:t>报告期内基金投资策略和运作分析</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年初以来市场对美联储降息的乐观预期不断修正，降息时点一再推迟，</w:t>
      </w:r>
      <w:r>
        <w:rPr>
          <w:rFonts w:eastAsiaTheme="minorEastAsia"/>
          <w:color w:val="000000" w:themeColor="text1"/>
          <w:szCs w:val="21"/>
        </w:rPr>
        <w:t>10</w:t>
      </w:r>
      <w:r>
        <w:rPr>
          <w:rFonts w:eastAsiaTheme="minorEastAsia"/>
          <w:color w:val="000000" w:themeColor="text1"/>
          <w:szCs w:val="21"/>
        </w:rPr>
        <w:t>年期美债收益率也自</w:t>
      </w:r>
      <w:r>
        <w:rPr>
          <w:rFonts w:eastAsiaTheme="minorEastAsia"/>
          <w:color w:val="000000" w:themeColor="text1"/>
          <w:szCs w:val="21"/>
        </w:rPr>
        <w:t>2023</w:t>
      </w:r>
      <w:r>
        <w:rPr>
          <w:rFonts w:eastAsiaTheme="minorEastAsia"/>
          <w:color w:val="000000" w:themeColor="text1"/>
          <w:szCs w:val="21"/>
        </w:rPr>
        <w:t>年年底以来震荡向上。一季度，恒生指数下跌了</w:t>
      </w:r>
      <w:r>
        <w:rPr>
          <w:rFonts w:eastAsiaTheme="minorEastAsia"/>
          <w:color w:val="000000" w:themeColor="text1"/>
          <w:szCs w:val="21"/>
        </w:rPr>
        <w:t>2.97%</w:t>
      </w:r>
      <w:r>
        <w:rPr>
          <w:rFonts w:eastAsiaTheme="minorEastAsia"/>
          <w:color w:val="000000" w:themeColor="text1"/>
          <w:szCs w:val="21"/>
        </w:rPr>
        <w:t>，而同期上证指数上涨</w:t>
      </w:r>
      <w:r>
        <w:rPr>
          <w:rFonts w:eastAsiaTheme="minorEastAsia"/>
          <w:color w:val="000000" w:themeColor="text1"/>
          <w:szCs w:val="21"/>
        </w:rPr>
        <w:t>2.23%</w:t>
      </w:r>
      <w:r>
        <w:rPr>
          <w:rFonts w:eastAsiaTheme="minorEastAsia"/>
          <w:color w:val="000000" w:themeColor="text1"/>
          <w:szCs w:val="21"/>
        </w:rPr>
        <w:t>，在风险偏好较低的情形下，尽管估值较低，但是受制于流动性的约束，港股的表现并未胜出</w:t>
      </w:r>
      <w:r>
        <w:rPr>
          <w:rFonts w:eastAsiaTheme="minorEastAsia"/>
          <w:color w:val="000000" w:themeColor="text1"/>
          <w:szCs w:val="21"/>
        </w:rPr>
        <w:t>A</w:t>
      </w:r>
      <w:r>
        <w:rPr>
          <w:rFonts w:eastAsiaTheme="minorEastAsia"/>
          <w:color w:val="000000" w:themeColor="text1"/>
          <w:szCs w:val="21"/>
        </w:rPr>
        <w:t>股。一季度标普港股通低波红利指数（</w:t>
      </w:r>
      <w:r>
        <w:rPr>
          <w:rFonts w:eastAsiaTheme="minorEastAsia"/>
          <w:color w:val="000000" w:themeColor="text1"/>
          <w:szCs w:val="21"/>
        </w:rPr>
        <w:t>HKD</w:t>
      </w:r>
      <w:r>
        <w:rPr>
          <w:rFonts w:eastAsiaTheme="minorEastAsia"/>
          <w:color w:val="000000" w:themeColor="text1"/>
          <w:szCs w:val="21"/>
        </w:rPr>
        <w:t>）收益率为</w:t>
      </w:r>
      <w:r>
        <w:rPr>
          <w:rFonts w:eastAsiaTheme="minorEastAsia"/>
          <w:color w:val="000000" w:themeColor="text1"/>
          <w:szCs w:val="21"/>
        </w:rPr>
        <w:t>-1.13%</w:t>
      </w:r>
      <w:r>
        <w:rPr>
          <w:rFonts w:eastAsiaTheme="minorEastAsia"/>
          <w:color w:val="000000" w:themeColor="text1"/>
          <w:szCs w:val="21"/>
        </w:rPr>
        <w:t>，表现优于恒生指数的</w:t>
      </w:r>
      <w:r>
        <w:rPr>
          <w:rFonts w:eastAsiaTheme="minorEastAsia"/>
          <w:color w:val="000000" w:themeColor="text1"/>
          <w:szCs w:val="21"/>
        </w:rPr>
        <w:t>-2.97%</w:t>
      </w:r>
      <w:r>
        <w:rPr>
          <w:rFonts w:eastAsiaTheme="minorEastAsia"/>
          <w:color w:val="000000" w:themeColor="text1"/>
          <w:szCs w:val="21"/>
        </w:rPr>
        <w:t>。</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展望未来，长端利率快速下行和</w:t>
      </w:r>
      <w:r w:rsidRPr="00473486">
        <w:rPr>
          <w:rFonts w:eastAsiaTheme="minorEastAsia"/>
          <w:color w:val="000000" w:themeColor="text1"/>
          <w:szCs w:val="21"/>
        </w:rPr>
        <w:t>“</w:t>
      </w:r>
      <w:r w:rsidRPr="00473486">
        <w:rPr>
          <w:rFonts w:eastAsiaTheme="minorEastAsia"/>
          <w:color w:val="000000" w:themeColor="text1"/>
          <w:szCs w:val="21"/>
        </w:rPr>
        <w:t>资产荒</w:t>
      </w:r>
      <w:r w:rsidRPr="00473486">
        <w:rPr>
          <w:rFonts w:eastAsiaTheme="minorEastAsia"/>
          <w:color w:val="000000" w:themeColor="text1"/>
          <w:szCs w:val="21"/>
        </w:rPr>
        <w:t>”</w:t>
      </w:r>
      <w:r w:rsidRPr="00473486">
        <w:rPr>
          <w:rFonts w:eastAsiaTheme="minorEastAsia"/>
          <w:color w:val="000000" w:themeColor="text1"/>
          <w:szCs w:val="21"/>
        </w:rPr>
        <w:t>背景下，类债券属性的高股息资产具备吸引力。具有稳定分红能力和更高分红潜力的央国企或能帮助有效对冲市场波动，从而有望作为较为稳健的防御策略。本基金所跟踪的标普港股通低波红利指数用于衡量标普港股通指数内</w:t>
      </w:r>
      <w:r w:rsidRPr="00473486">
        <w:rPr>
          <w:rFonts w:eastAsiaTheme="minorEastAsia"/>
          <w:color w:val="000000" w:themeColor="text1"/>
          <w:szCs w:val="21"/>
        </w:rPr>
        <w:t>50</w:t>
      </w:r>
      <w:r w:rsidRPr="00473486">
        <w:rPr>
          <w:rFonts w:eastAsiaTheme="minorEastAsia"/>
          <w:color w:val="000000" w:themeColor="text1"/>
          <w:szCs w:val="21"/>
        </w:rPr>
        <w:t>只波幅最小、股息率高的股票的表现。整体指数以低估值行业为主要持仓特征，在安全边际上有望为投资者组合提供较好的保护。本基金继续采用完全复制的方法跟踪标的指数，争取跟踪误差保持在合理范围内。</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4.4.2</w:t>
      </w:r>
      <w:r w:rsidRPr="00473486">
        <w:rPr>
          <w:rFonts w:eastAsiaTheme="minorEastAsia"/>
          <w:color w:val="000000" w:themeColor="text1"/>
          <w:szCs w:val="21"/>
        </w:rPr>
        <w:t>报告期内基金的业绩表现</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本报告期摩根标普港股通低波红利</w:t>
      </w:r>
      <w:r w:rsidRPr="00473486">
        <w:rPr>
          <w:rFonts w:eastAsiaTheme="minorEastAsia"/>
          <w:color w:val="000000" w:themeColor="text1"/>
          <w:szCs w:val="21"/>
        </w:rPr>
        <w:t>ETF</w:t>
      </w:r>
      <w:r w:rsidRPr="00473486">
        <w:rPr>
          <w:rFonts w:eastAsiaTheme="minorEastAsia"/>
          <w:color w:val="000000" w:themeColor="text1"/>
          <w:szCs w:val="21"/>
        </w:rPr>
        <w:t>份额净值增长率为</w:t>
      </w:r>
      <w:r w:rsidRPr="00473486">
        <w:rPr>
          <w:rFonts w:eastAsiaTheme="minorEastAsia"/>
          <w:color w:val="000000" w:themeColor="text1"/>
          <w:szCs w:val="21"/>
        </w:rPr>
        <w:t>:-0.39%</w:t>
      </w:r>
      <w:r w:rsidRPr="00473486">
        <w:rPr>
          <w:rFonts w:eastAsiaTheme="minorEastAsia"/>
          <w:color w:val="000000" w:themeColor="text1"/>
          <w:szCs w:val="21"/>
        </w:rPr>
        <w:t>，同期业绩比较基准收益率为</w:t>
      </w:r>
      <w:r w:rsidRPr="00473486">
        <w:rPr>
          <w:rFonts w:eastAsiaTheme="minorEastAsia"/>
          <w:color w:val="000000" w:themeColor="text1"/>
          <w:szCs w:val="21"/>
        </w:rPr>
        <w:t>:2.80%</w:t>
      </w:r>
      <w:r w:rsidRPr="00473486">
        <w:rPr>
          <w:rFonts w:eastAsiaTheme="minorEastAsia"/>
          <w:color w:val="000000" w:themeColor="text1"/>
          <w:szCs w:val="21"/>
        </w:rPr>
        <w:t>。</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spacing w:line="360" w:lineRule="auto"/>
        <w:rPr>
          <w:rFonts w:eastAsiaTheme="minorEastAsia"/>
          <w:color w:val="000000" w:themeColor="text1"/>
          <w:sz w:val="24"/>
        </w:rPr>
      </w:pPr>
      <w:r w:rsidRPr="00473486">
        <w:rPr>
          <w:rFonts w:eastAsiaTheme="minorEastAsia"/>
          <w:b/>
          <w:color w:val="000000" w:themeColor="text1"/>
          <w:kern w:val="0"/>
          <w:sz w:val="24"/>
        </w:rPr>
        <w:t>4.5</w:t>
      </w:r>
      <w:r w:rsidRPr="00473486">
        <w:rPr>
          <w:rFonts w:eastAsiaTheme="minorEastAsia"/>
          <w:b/>
          <w:color w:val="000000" w:themeColor="text1"/>
          <w:kern w:val="0"/>
          <w:sz w:val="24"/>
        </w:rPr>
        <w:t>报告期内基金持有人数或基金资产净值预警说明</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kern w:val="0"/>
          <w:szCs w:val="21"/>
        </w:rPr>
        <w:t>无。</w:t>
      </w: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§5  </w:t>
      </w:r>
      <w:r w:rsidRPr="00473486">
        <w:rPr>
          <w:rFonts w:eastAsiaTheme="minorEastAsia"/>
          <w:color w:val="000000" w:themeColor="text1"/>
          <w:kern w:val="0"/>
          <w:sz w:val="24"/>
          <w:szCs w:val="24"/>
        </w:rPr>
        <w:t>投资组合报告</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5.1 </w:t>
      </w:r>
      <w:r w:rsidRPr="00473486">
        <w:rPr>
          <w:rFonts w:eastAsiaTheme="minor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335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项目</w:t>
            </w:r>
          </w:p>
        </w:tc>
        <w:tc>
          <w:tcPr>
            <w:tcW w:w="297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金额</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占基金总资产的比例</w:t>
            </w: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1</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权益投资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1,244,102,513.66</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92.36</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其中：股票</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1,244,102,513.66</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92.36</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2</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固定收益投资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其中：债券</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autoSpaceDE w:val="0"/>
              <w:autoSpaceDN w:val="0"/>
              <w:adjustRightInd w:val="0"/>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资产支持证券</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3</w:t>
            </w:r>
          </w:p>
        </w:tc>
        <w:tc>
          <w:tcPr>
            <w:tcW w:w="3357" w:type="dxa"/>
          </w:tcPr>
          <w:p w:rsidR="00881A82" w:rsidRPr="00473486" w:rsidRDefault="007D1E3A">
            <w:pPr>
              <w:spacing w:before="29" w:line="360" w:lineRule="auto"/>
              <w:ind w:leftChars="50" w:left="105"/>
              <w:rPr>
                <w:rFonts w:eastAsiaTheme="minorEastAsia"/>
                <w:color w:val="000000" w:themeColor="text1"/>
                <w:szCs w:val="21"/>
              </w:rPr>
            </w:pPr>
            <w:r w:rsidRPr="00473486">
              <w:rPr>
                <w:rFonts w:eastAsiaTheme="minorEastAsia"/>
                <w:color w:val="000000" w:themeColor="text1"/>
                <w:szCs w:val="21"/>
              </w:rPr>
              <w:t>贵金属投资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4</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金融衍生品投资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5</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买入返售金融资产</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其中：买断式回购的买入返售金融资产</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6</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银行存款和结算备付金合计</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98,238,125.77</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7.29</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7</w:t>
            </w:r>
          </w:p>
        </w:tc>
        <w:tc>
          <w:tcPr>
            <w:tcW w:w="3357" w:type="dxa"/>
            <w:vAlign w:val="center"/>
          </w:tcPr>
          <w:p w:rsidR="00881A82" w:rsidRPr="00473486" w:rsidRDefault="007D1E3A">
            <w:pPr>
              <w:jc w:val="left"/>
              <w:rPr>
                <w:rFonts w:eastAsiaTheme="minorEastAsia"/>
                <w:color w:val="000000" w:themeColor="text1"/>
                <w:szCs w:val="21"/>
              </w:rPr>
            </w:pPr>
            <w:r w:rsidRPr="00473486">
              <w:rPr>
                <w:rFonts w:eastAsiaTheme="minorEastAsia"/>
                <w:color w:val="000000" w:themeColor="text1"/>
                <w:szCs w:val="21"/>
              </w:rPr>
              <w:t>其他各项资产</w:t>
            </w:r>
          </w:p>
        </w:tc>
        <w:tc>
          <w:tcPr>
            <w:tcW w:w="2977"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4,742,092.78</w:t>
            </w:r>
          </w:p>
        </w:tc>
        <w:tc>
          <w:tcPr>
            <w:tcW w:w="1843"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0.35</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8</w:t>
            </w:r>
          </w:p>
        </w:tc>
        <w:tc>
          <w:tcPr>
            <w:tcW w:w="3357" w:type="dxa"/>
            <w:vAlign w:val="center"/>
          </w:tcPr>
          <w:p w:rsidR="00881A82" w:rsidRPr="00473486" w:rsidRDefault="007D1E3A">
            <w:pPr>
              <w:jc w:val="left"/>
              <w:rPr>
                <w:rFonts w:eastAsiaTheme="minorEastAsia"/>
                <w:color w:val="000000" w:themeColor="text1"/>
                <w:szCs w:val="21"/>
              </w:rPr>
            </w:pPr>
            <w:r w:rsidRPr="00473486">
              <w:rPr>
                <w:rFonts w:eastAsiaTheme="minorEastAsia"/>
                <w:color w:val="000000" w:themeColor="text1"/>
                <w:szCs w:val="21"/>
              </w:rPr>
              <w:t>合计</w:t>
            </w:r>
          </w:p>
        </w:tc>
        <w:tc>
          <w:tcPr>
            <w:tcW w:w="2977"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1,347,082,732.21</w:t>
            </w:r>
          </w:p>
        </w:tc>
        <w:tc>
          <w:tcPr>
            <w:tcW w:w="1843"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100.00</w:t>
            </w:r>
          </w:p>
        </w:tc>
      </w:tr>
    </w:tbl>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注：本基金本报告期末通过港股通交易机制投资的港股公允价值为人民币</w:t>
      </w:r>
      <w:r w:rsidRPr="00473486">
        <w:rPr>
          <w:rFonts w:eastAsiaTheme="minorEastAsia"/>
          <w:color w:val="000000" w:themeColor="text1"/>
          <w:szCs w:val="21"/>
        </w:rPr>
        <w:t>1,244,102,513.66</w:t>
      </w:r>
      <w:r w:rsidRPr="00473486">
        <w:rPr>
          <w:rFonts w:eastAsiaTheme="minorEastAsia"/>
          <w:color w:val="000000" w:themeColor="text1"/>
          <w:szCs w:val="21"/>
        </w:rPr>
        <w:t>元</w:t>
      </w:r>
      <w:r w:rsidRPr="00473486">
        <w:rPr>
          <w:rFonts w:eastAsiaTheme="minorEastAsia"/>
          <w:color w:val="000000" w:themeColor="text1"/>
          <w:szCs w:val="21"/>
        </w:rPr>
        <w:t>,</w:t>
      </w:r>
      <w:r w:rsidRPr="00473486">
        <w:rPr>
          <w:rFonts w:eastAsiaTheme="minorEastAsia"/>
          <w:color w:val="000000" w:themeColor="text1"/>
          <w:szCs w:val="21"/>
        </w:rPr>
        <w:t>占期末净值比例为</w:t>
      </w:r>
      <w:r w:rsidRPr="00473486">
        <w:rPr>
          <w:rFonts w:eastAsiaTheme="minorEastAsia"/>
          <w:color w:val="000000" w:themeColor="text1"/>
          <w:szCs w:val="21"/>
        </w:rPr>
        <w:t>94.84%</w:t>
      </w:r>
      <w:r w:rsidRPr="00473486">
        <w:rPr>
          <w:rFonts w:eastAsiaTheme="minorEastAsia"/>
          <w:color w:val="000000" w:themeColor="text1"/>
          <w:szCs w:val="21"/>
        </w:rPr>
        <w:t>。</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5.2 </w:t>
      </w:r>
      <w:r w:rsidRPr="00473486">
        <w:rPr>
          <w:rFonts w:eastAsiaTheme="minorEastAsia"/>
          <w:b/>
          <w:color w:val="000000" w:themeColor="text1"/>
          <w:kern w:val="0"/>
          <w:sz w:val="24"/>
        </w:rPr>
        <w:t>报告期末按行业分类的股票投资组合</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5.2.1</w:t>
      </w:r>
      <w:r w:rsidRPr="00473486">
        <w:rPr>
          <w:rFonts w:eastAsiaTheme="minorEastAsia"/>
          <w:b/>
          <w:color w:val="000000" w:themeColor="text1"/>
          <w:kern w:val="0"/>
          <w:sz w:val="24"/>
        </w:rPr>
        <w:t>积极投资按行业分类的股票投资组合</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本基金本报告期末未持有积极投资股票。</w:t>
      </w:r>
    </w:p>
    <w:p w:rsidR="00881A82" w:rsidRPr="00473486" w:rsidRDefault="007D1E3A">
      <w:pPr>
        <w:jc w:val="left"/>
        <w:rPr>
          <w:rFonts w:eastAsiaTheme="minorEastAsia"/>
          <w:color w:val="000000" w:themeColor="text1"/>
          <w:sz w:val="24"/>
        </w:rPr>
      </w:pPr>
      <w:r w:rsidRPr="00473486">
        <w:rPr>
          <w:rFonts w:eastAsiaTheme="minorEastAsia"/>
          <w:b/>
          <w:color w:val="000000" w:themeColor="text1"/>
          <w:kern w:val="0"/>
          <w:sz w:val="24"/>
        </w:rPr>
        <w:t>5.2.</w:t>
      </w:r>
      <w:r w:rsidR="00E455A1">
        <w:rPr>
          <w:rFonts w:eastAsiaTheme="minorEastAsia"/>
          <w:b/>
          <w:color w:val="000000" w:themeColor="text1"/>
          <w:kern w:val="0"/>
          <w:sz w:val="24"/>
        </w:rPr>
        <w:t>2</w:t>
      </w:r>
      <w:r w:rsidRPr="00473486">
        <w:rPr>
          <w:rFonts w:eastAsiaTheme="minorEastAsia"/>
          <w:b/>
          <w:color w:val="000000" w:themeColor="text1"/>
          <w:kern w:val="0"/>
          <w:sz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881A82" w:rsidRPr="00473486">
        <w:trPr>
          <w:jc w:val="center"/>
        </w:trPr>
        <w:tc>
          <w:tcPr>
            <w:tcW w:w="239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行业类别</w:t>
            </w:r>
          </w:p>
        </w:tc>
        <w:tc>
          <w:tcPr>
            <w:tcW w:w="3119"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公允价值（人民币）</w:t>
            </w:r>
          </w:p>
        </w:tc>
        <w:tc>
          <w:tcPr>
            <w:tcW w:w="3118"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占基金资产净值比例（</w:t>
            </w:r>
            <w:r w:rsidRPr="00473486">
              <w:rPr>
                <w:rFonts w:eastAsiaTheme="minorEastAsia"/>
                <w:color w:val="000000" w:themeColor="text1"/>
                <w:szCs w:val="21"/>
              </w:rPr>
              <w:t>%</w:t>
            </w:r>
            <w:r w:rsidRPr="00473486">
              <w:rPr>
                <w:rFonts w:eastAsiaTheme="minorEastAsia"/>
                <w:color w:val="000000" w:themeColor="text1"/>
                <w:szCs w:val="21"/>
              </w:rPr>
              <w:t>）</w:t>
            </w:r>
          </w:p>
        </w:tc>
      </w:tr>
      <w:tr w:rsidR="00A4605A">
        <w:trPr>
          <w:jc w:val="center"/>
        </w:trPr>
        <w:tc>
          <w:tcPr>
            <w:tcW w:w="2397" w:type="dxa"/>
            <w:vAlign w:val="center"/>
          </w:tcPr>
          <w:p w:rsidR="00A4605A" w:rsidRDefault="00E455A1">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A4605A" w:rsidRDefault="00E455A1">
            <w:pPr>
              <w:jc w:val="center"/>
            </w:pPr>
            <w:r>
              <w:rPr>
                <w:rFonts w:eastAsiaTheme="minorEastAsia"/>
                <w:color w:val="000000" w:themeColor="text1"/>
                <w:szCs w:val="21"/>
              </w:rPr>
              <w:t>53,741,426.25</w:t>
            </w:r>
          </w:p>
        </w:tc>
        <w:tc>
          <w:tcPr>
            <w:tcW w:w="3118" w:type="dxa"/>
            <w:vAlign w:val="center"/>
          </w:tcPr>
          <w:p w:rsidR="00A4605A" w:rsidRDefault="00E455A1">
            <w:pPr>
              <w:jc w:val="center"/>
            </w:pPr>
            <w:r>
              <w:rPr>
                <w:rFonts w:eastAsiaTheme="minorEastAsia"/>
                <w:color w:val="000000" w:themeColor="text1"/>
                <w:szCs w:val="21"/>
              </w:rPr>
              <w:t>4.10</w:t>
            </w:r>
          </w:p>
        </w:tc>
      </w:tr>
      <w:tr w:rsidR="00A4605A">
        <w:trPr>
          <w:jc w:val="center"/>
        </w:trPr>
        <w:tc>
          <w:tcPr>
            <w:tcW w:w="2397" w:type="dxa"/>
            <w:vAlign w:val="center"/>
          </w:tcPr>
          <w:p w:rsidR="00A4605A" w:rsidRDefault="00E455A1">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A4605A" w:rsidRDefault="00E455A1">
            <w:pPr>
              <w:jc w:val="center"/>
            </w:pPr>
            <w:r>
              <w:rPr>
                <w:rFonts w:eastAsiaTheme="minorEastAsia"/>
                <w:color w:val="000000" w:themeColor="text1"/>
                <w:szCs w:val="21"/>
              </w:rPr>
              <w:t>47,439,435.14</w:t>
            </w:r>
          </w:p>
        </w:tc>
        <w:tc>
          <w:tcPr>
            <w:tcW w:w="3118" w:type="dxa"/>
            <w:vAlign w:val="center"/>
          </w:tcPr>
          <w:p w:rsidR="00A4605A" w:rsidRDefault="00E455A1">
            <w:pPr>
              <w:jc w:val="center"/>
            </w:pPr>
            <w:r>
              <w:rPr>
                <w:rFonts w:eastAsiaTheme="minorEastAsia"/>
                <w:color w:val="000000" w:themeColor="text1"/>
                <w:szCs w:val="21"/>
              </w:rPr>
              <w:t>3.62</w:t>
            </w:r>
          </w:p>
        </w:tc>
      </w:tr>
      <w:tr w:rsidR="00A4605A">
        <w:trPr>
          <w:jc w:val="center"/>
        </w:trPr>
        <w:tc>
          <w:tcPr>
            <w:tcW w:w="2397" w:type="dxa"/>
            <w:vAlign w:val="center"/>
          </w:tcPr>
          <w:p w:rsidR="00A4605A" w:rsidRDefault="00E455A1">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A4605A" w:rsidRDefault="00E455A1">
            <w:pPr>
              <w:jc w:val="center"/>
            </w:pPr>
            <w:r>
              <w:rPr>
                <w:rFonts w:eastAsiaTheme="minorEastAsia"/>
                <w:color w:val="000000" w:themeColor="text1"/>
                <w:szCs w:val="21"/>
              </w:rPr>
              <w:t>51,254,061.57</w:t>
            </w:r>
          </w:p>
        </w:tc>
        <w:tc>
          <w:tcPr>
            <w:tcW w:w="3118" w:type="dxa"/>
            <w:vAlign w:val="center"/>
          </w:tcPr>
          <w:p w:rsidR="00A4605A" w:rsidRDefault="00E455A1">
            <w:pPr>
              <w:jc w:val="center"/>
            </w:pPr>
            <w:r>
              <w:rPr>
                <w:rFonts w:eastAsiaTheme="minorEastAsia"/>
                <w:color w:val="000000" w:themeColor="text1"/>
                <w:szCs w:val="21"/>
              </w:rPr>
              <w:t>3.91</w:t>
            </w:r>
          </w:p>
        </w:tc>
      </w:tr>
      <w:tr w:rsidR="00A4605A">
        <w:trPr>
          <w:jc w:val="center"/>
        </w:trPr>
        <w:tc>
          <w:tcPr>
            <w:tcW w:w="2397" w:type="dxa"/>
            <w:vAlign w:val="center"/>
          </w:tcPr>
          <w:p w:rsidR="00A4605A" w:rsidRDefault="00E455A1">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A4605A" w:rsidRDefault="00E455A1">
            <w:pPr>
              <w:jc w:val="center"/>
            </w:pPr>
            <w:r>
              <w:rPr>
                <w:rFonts w:eastAsiaTheme="minorEastAsia"/>
                <w:color w:val="000000" w:themeColor="text1"/>
                <w:szCs w:val="21"/>
              </w:rPr>
              <w:t>166,476,494.03</w:t>
            </w:r>
          </w:p>
        </w:tc>
        <w:tc>
          <w:tcPr>
            <w:tcW w:w="3118" w:type="dxa"/>
            <w:vAlign w:val="center"/>
          </w:tcPr>
          <w:p w:rsidR="00A4605A" w:rsidRDefault="00E455A1">
            <w:pPr>
              <w:jc w:val="center"/>
            </w:pPr>
            <w:r>
              <w:rPr>
                <w:rFonts w:eastAsiaTheme="minorEastAsia"/>
                <w:color w:val="000000" w:themeColor="text1"/>
                <w:szCs w:val="21"/>
              </w:rPr>
              <w:t>12.69</w:t>
            </w:r>
          </w:p>
        </w:tc>
      </w:tr>
      <w:tr w:rsidR="00A4605A">
        <w:trPr>
          <w:jc w:val="center"/>
        </w:trPr>
        <w:tc>
          <w:tcPr>
            <w:tcW w:w="2397" w:type="dxa"/>
            <w:vAlign w:val="center"/>
          </w:tcPr>
          <w:p w:rsidR="00A4605A" w:rsidRDefault="00E455A1">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A4605A" w:rsidRDefault="00E455A1">
            <w:pPr>
              <w:jc w:val="center"/>
            </w:pPr>
            <w:r>
              <w:rPr>
                <w:rFonts w:eastAsiaTheme="minorEastAsia"/>
                <w:color w:val="000000" w:themeColor="text1"/>
                <w:szCs w:val="21"/>
              </w:rPr>
              <w:t>383,692,223.52</w:t>
            </w:r>
          </w:p>
        </w:tc>
        <w:tc>
          <w:tcPr>
            <w:tcW w:w="3118" w:type="dxa"/>
            <w:vAlign w:val="center"/>
          </w:tcPr>
          <w:p w:rsidR="00A4605A" w:rsidRDefault="00E455A1">
            <w:pPr>
              <w:jc w:val="center"/>
            </w:pPr>
            <w:r>
              <w:rPr>
                <w:rFonts w:eastAsiaTheme="minorEastAsia"/>
                <w:color w:val="000000" w:themeColor="text1"/>
                <w:szCs w:val="21"/>
              </w:rPr>
              <w:t>29.25</w:t>
            </w:r>
          </w:p>
        </w:tc>
      </w:tr>
      <w:tr w:rsidR="00A4605A">
        <w:trPr>
          <w:jc w:val="center"/>
        </w:trPr>
        <w:tc>
          <w:tcPr>
            <w:tcW w:w="2397" w:type="dxa"/>
            <w:vAlign w:val="center"/>
          </w:tcPr>
          <w:p w:rsidR="00A4605A" w:rsidRDefault="00E455A1">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A4605A" w:rsidRDefault="00E455A1">
            <w:pPr>
              <w:jc w:val="center"/>
            </w:pPr>
            <w:r>
              <w:rPr>
                <w:rFonts w:eastAsiaTheme="minorEastAsia"/>
                <w:color w:val="000000" w:themeColor="text1"/>
                <w:szCs w:val="21"/>
              </w:rPr>
              <w:t>16,416,859.00</w:t>
            </w:r>
          </w:p>
        </w:tc>
        <w:tc>
          <w:tcPr>
            <w:tcW w:w="3118" w:type="dxa"/>
            <w:vAlign w:val="center"/>
          </w:tcPr>
          <w:p w:rsidR="00A4605A" w:rsidRDefault="00E455A1">
            <w:pPr>
              <w:jc w:val="center"/>
            </w:pPr>
            <w:r>
              <w:rPr>
                <w:rFonts w:eastAsiaTheme="minorEastAsia"/>
                <w:color w:val="000000" w:themeColor="text1"/>
                <w:szCs w:val="21"/>
              </w:rPr>
              <w:t>1.25</w:t>
            </w:r>
          </w:p>
        </w:tc>
      </w:tr>
      <w:tr w:rsidR="00A4605A">
        <w:trPr>
          <w:jc w:val="center"/>
        </w:trPr>
        <w:tc>
          <w:tcPr>
            <w:tcW w:w="2397" w:type="dxa"/>
            <w:vAlign w:val="center"/>
          </w:tcPr>
          <w:p w:rsidR="00A4605A" w:rsidRDefault="00E455A1">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A4605A" w:rsidRDefault="00E455A1">
            <w:pPr>
              <w:jc w:val="center"/>
            </w:pPr>
            <w:r>
              <w:rPr>
                <w:rFonts w:eastAsiaTheme="minorEastAsia"/>
                <w:color w:val="000000" w:themeColor="text1"/>
                <w:szCs w:val="21"/>
              </w:rPr>
              <w:t>171,258,450.10</w:t>
            </w:r>
          </w:p>
        </w:tc>
        <w:tc>
          <w:tcPr>
            <w:tcW w:w="3118" w:type="dxa"/>
            <w:vAlign w:val="center"/>
          </w:tcPr>
          <w:p w:rsidR="00A4605A" w:rsidRDefault="00E455A1">
            <w:pPr>
              <w:jc w:val="center"/>
            </w:pPr>
            <w:r>
              <w:rPr>
                <w:rFonts w:eastAsiaTheme="minorEastAsia"/>
                <w:color w:val="000000" w:themeColor="text1"/>
                <w:szCs w:val="21"/>
              </w:rPr>
              <w:t>13.06</w:t>
            </w:r>
          </w:p>
        </w:tc>
      </w:tr>
      <w:tr w:rsidR="00A4605A">
        <w:trPr>
          <w:jc w:val="center"/>
        </w:trPr>
        <w:tc>
          <w:tcPr>
            <w:tcW w:w="2397" w:type="dxa"/>
            <w:vAlign w:val="center"/>
          </w:tcPr>
          <w:p w:rsidR="00A4605A" w:rsidRDefault="00E455A1">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A4605A" w:rsidRDefault="00E455A1">
            <w:pPr>
              <w:jc w:val="center"/>
            </w:pPr>
            <w:r>
              <w:rPr>
                <w:rFonts w:eastAsiaTheme="minorEastAsia"/>
                <w:color w:val="000000" w:themeColor="text1"/>
                <w:szCs w:val="21"/>
              </w:rPr>
              <w:t>-</w:t>
            </w:r>
          </w:p>
        </w:tc>
        <w:tc>
          <w:tcPr>
            <w:tcW w:w="3118" w:type="dxa"/>
            <w:vAlign w:val="center"/>
          </w:tcPr>
          <w:p w:rsidR="00A4605A" w:rsidRDefault="00E455A1">
            <w:pPr>
              <w:jc w:val="center"/>
            </w:pPr>
            <w:r>
              <w:rPr>
                <w:rFonts w:eastAsiaTheme="minorEastAsia"/>
                <w:color w:val="000000" w:themeColor="text1"/>
                <w:szCs w:val="21"/>
              </w:rPr>
              <w:t>-</w:t>
            </w:r>
          </w:p>
        </w:tc>
      </w:tr>
      <w:tr w:rsidR="00A4605A">
        <w:trPr>
          <w:jc w:val="center"/>
        </w:trPr>
        <w:tc>
          <w:tcPr>
            <w:tcW w:w="2397" w:type="dxa"/>
            <w:vAlign w:val="center"/>
          </w:tcPr>
          <w:p w:rsidR="00A4605A" w:rsidRDefault="00E455A1">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A4605A" w:rsidRDefault="00E455A1">
            <w:pPr>
              <w:jc w:val="center"/>
            </w:pPr>
            <w:r>
              <w:rPr>
                <w:rFonts w:eastAsiaTheme="minorEastAsia"/>
                <w:color w:val="000000" w:themeColor="text1"/>
                <w:szCs w:val="21"/>
              </w:rPr>
              <w:t>105,631,487.03</w:t>
            </w:r>
          </w:p>
        </w:tc>
        <w:tc>
          <w:tcPr>
            <w:tcW w:w="3118" w:type="dxa"/>
            <w:vAlign w:val="center"/>
          </w:tcPr>
          <w:p w:rsidR="00A4605A" w:rsidRDefault="00E455A1">
            <w:pPr>
              <w:jc w:val="center"/>
            </w:pPr>
            <w:r>
              <w:rPr>
                <w:rFonts w:eastAsiaTheme="minorEastAsia"/>
                <w:color w:val="000000" w:themeColor="text1"/>
                <w:szCs w:val="21"/>
              </w:rPr>
              <w:t>8.05</w:t>
            </w:r>
          </w:p>
        </w:tc>
      </w:tr>
      <w:tr w:rsidR="00A4605A">
        <w:trPr>
          <w:jc w:val="center"/>
        </w:trPr>
        <w:tc>
          <w:tcPr>
            <w:tcW w:w="2397" w:type="dxa"/>
            <w:vAlign w:val="center"/>
          </w:tcPr>
          <w:p w:rsidR="00A4605A" w:rsidRDefault="00E455A1">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A4605A" w:rsidRDefault="00E455A1">
            <w:pPr>
              <w:jc w:val="center"/>
            </w:pPr>
            <w:r>
              <w:rPr>
                <w:rFonts w:eastAsiaTheme="minorEastAsia"/>
                <w:color w:val="000000" w:themeColor="text1"/>
                <w:szCs w:val="21"/>
              </w:rPr>
              <w:t>139,898,043.57</w:t>
            </w:r>
          </w:p>
        </w:tc>
        <w:tc>
          <w:tcPr>
            <w:tcW w:w="3118" w:type="dxa"/>
            <w:vAlign w:val="center"/>
          </w:tcPr>
          <w:p w:rsidR="00A4605A" w:rsidRDefault="00E455A1">
            <w:pPr>
              <w:jc w:val="center"/>
            </w:pPr>
            <w:r>
              <w:rPr>
                <w:rFonts w:eastAsiaTheme="minorEastAsia"/>
                <w:color w:val="000000" w:themeColor="text1"/>
                <w:szCs w:val="21"/>
              </w:rPr>
              <w:t>10.66</w:t>
            </w:r>
          </w:p>
        </w:tc>
      </w:tr>
      <w:tr w:rsidR="00A4605A">
        <w:trPr>
          <w:jc w:val="center"/>
        </w:trPr>
        <w:tc>
          <w:tcPr>
            <w:tcW w:w="2397" w:type="dxa"/>
            <w:vAlign w:val="center"/>
          </w:tcPr>
          <w:p w:rsidR="00A4605A" w:rsidRDefault="00E455A1">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A4605A" w:rsidRDefault="00E455A1">
            <w:pPr>
              <w:jc w:val="center"/>
            </w:pPr>
            <w:r>
              <w:rPr>
                <w:rFonts w:eastAsiaTheme="minorEastAsia"/>
                <w:color w:val="000000" w:themeColor="text1"/>
                <w:szCs w:val="21"/>
              </w:rPr>
              <w:t>108,294,033.45</w:t>
            </w:r>
          </w:p>
        </w:tc>
        <w:tc>
          <w:tcPr>
            <w:tcW w:w="3118" w:type="dxa"/>
            <w:vAlign w:val="center"/>
          </w:tcPr>
          <w:p w:rsidR="00A4605A" w:rsidRDefault="00E455A1">
            <w:pPr>
              <w:jc w:val="center"/>
            </w:pPr>
            <w:r>
              <w:rPr>
                <w:rFonts w:eastAsiaTheme="minorEastAsia"/>
                <w:color w:val="000000" w:themeColor="text1"/>
                <w:szCs w:val="21"/>
              </w:rPr>
              <w:t>8.26</w:t>
            </w:r>
          </w:p>
        </w:tc>
      </w:tr>
      <w:tr w:rsidR="00881A82" w:rsidRPr="00473486">
        <w:trPr>
          <w:jc w:val="center"/>
        </w:trPr>
        <w:tc>
          <w:tcPr>
            <w:tcW w:w="239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合计</w:t>
            </w:r>
          </w:p>
        </w:tc>
        <w:tc>
          <w:tcPr>
            <w:tcW w:w="3119" w:type="dxa"/>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1,244,102,513.66</w:t>
            </w:r>
          </w:p>
        </w:tc>
        <w:tc>
          <w:tcPr>
            <w:tcW w:w="3118" w:type="dxa"/>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94.84</w:t>
            </w:r>
          </w:p>
        </w:tc>
      </w:tr>
    </w:tbl>
    <w:p w:rsidR="00881A82" w:rsidRPr="00473486" w:rsidRDefault="00881A82">
      <w:pPr>
        <w:autoSpaceDE w:val="0"/>
        <w:autoSpaceDN w:val="0"/>
        <w:adjustRightInd w:val="0"/>
        <w:spacing w:line="360" w:lineRule="auto"/>
        <w:jc w:val="left"/>
        <w:rPr>
          <w:rFonts w:eastAsiaTheme="minorEastAsia"/>
          <w:color w:val="000000" w:themeColor="text1"/>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5.3</w:t>
      </w:r>
      <w:r w:rsidRPr="00473486">
        <w:rPr>
          <w:rFonts w:eastAsiaTheme="minorEastAsia"/>
          <w:b/>
          <w:color w:val="000000" w:themeColor="text1"/>
          <w:kern w:val="0"/>
          <w:sz w:val="24"/>
        </w:rPr>
        <w:t>报告期末按公允价值占基金资产净值比例大小排序的股票投资明细</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lastRenderedPageBreak/>
        <w:t>5.3.1</w:t>
      </w:r>
      <w:r w:rsidRPr="00473486">
        <w:rPr>
          <w:rFonts w:eastAsiaTheme="minorEastAsia"/>
          <w:b/>
          <w:color w:val="000000" w:themeColor="text1"/>
          <w:kern w:val="0"/>
          <w:sz w:val="24"/>
        </w:rPr>
        <w:t>期末</w:t>
      </w:r>
      <w:r w:rsidRPr="00473486">
        <w:rPr>
          <w:rFonts w:eastAsiaTheme="minorEastAsia"/>
          <w:b/>
          <w:color w:val="000000" w:themeColor="text1"/>
          <w:sz w:val="24"/>
        </w:rPr>
        <w:t>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881A82" w:rsidRPr="00473486">
        <w:tc>
          <w:tcPr>
            <w:tcW w:w="81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127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股票代码</w:t>
            </w:r>
          </w:p>
        </w:tc>
        <w:tc>
          <w:tcPr>
            <w:tcW w:w="1701"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股票名称</w:t>
            </w:r>
          </w:p>
        </w:tc>
        <w:tc>
          <w:tcPr>
            <w:tcW w:w="127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数量</w:t>
            </w:r>
            <w:r w:rsidRPr="00473486">
              <w:rPr>
                <w:rFonts w:eastAsiaTheme="minorEastAsia"/>
                <w:color w:val="000000" w:themeColor="text1"/>
                <w:szCs w:val="21"/>
              </w:rPr>
              <w:t>(</w:t>
            </w:r>
            <w:r w:rsidRPr="00473486">
              <w:rPr>
                <w:rFonts w:eastAsiaTheme="minorEastAsia"/>
                <w:color w:val="000000" w:themeColor="text1"/>
                <w:szCs w:val="21"/>
              </w:rPr>
              <w:t>股</w:t>
            </w:r>
            <w:r w:rsidRPr="00473486">
              <w:rPr>
                <w:rFonts w:eastAsiaTheme="minorEastAsia"/>
                <w:color w:val="000000" w:themeColor="text1"/>
                <w:szCs w:val="21"/>
              </w:rPr>
              <w:t>)</w:t>
            </w:r>
          </w:p>
        </w:tc>
        <w:tc>
          <w:tcPr>
            <w:tcW w:w="1842"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公允价值</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61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占基金资产净值比例</w:t>
            </w:r>
            <w:r w:rsidRPr="00473486">
              <w:rPr>
                <w:rFonts w:eastAsiaTheme="minorEastAsia"/>
                <w:color w:val="000000" w:themeColor="text1"/>
                <w:szCs w:val="21"/>
              </w:rPr>
              <w:t>(</w:t>
            </w:r>
            <w:r w:rsidRPr="00473486">
              <w:rPr>
                <w:rFonts w:eastAsiaTheme="minorEastAsia"/>
                <w:color w:val="000000" w:themeColor="text1"/>
                <w:szCs w:val="21"/>
              </w:rPr>
              <w:t>％</w:t>
            </w:r>
            <w:r w:rsidRPr="00473486">
              <w:rPr>
                <w:rFonts w:eastAsiaTheme="minorEastAsia"/>
                <w:color w:val="000000" w:themeColor="text1"/>
                <w:szCs w:val="21"/>
              </w:rPr>
              <w:t>)</w:t>
            </w:r>
          </w:p>
        </w:tc>
      </w:tr>
      <w:tr w:rsidR="00A4605A">
        <w:tc>
          <w:tcPr>
            <w:tcW w:w="817" w:type="dxa"/>
            <w:vAlign w:val="center"/>
          </w:tcPr>
          <w:p w:rsidR="00A4605A" w:rsidRDefault="00E455A1">
            <w:pPr>
              <w:jc w:val="center"/>
            </w:pPr>
            <w:r>
              <w:rPr>
                <w:rFonts w:eastAsiaTheme="minorEastAsia"/>
                <w:color w:val="000000" w:themeColor="text1"/>
                <w:szCs w:val="21"/>
              </w:rPr>
              <w:t>1</w:t>
            </w:r>
          </w:p>
        </w:tc>
        <w:tc>
          <w:tcPr>
            <w:tcW w:w="1276" w:type="dxa"/>
            <w:vAlign w:val="center"/>
          </w:tcPr>
          <w:p w:rsidR="00A4605A" w:rsidRDefault="00E455A1">
            <w:pPr>
              <w:jc w:val="center"/>
            </w:pPr>
            <w:r>
              <w:rPr>
                <w:rFonts w:eastAsiaTheme="minorEastAsia"/>
                <w:color w:val="000000" w:themeColor="text1"/>
                <w:szCs w:val="21"/>
              </w:rPr>
              <w:t>00883</w:t>
            </w:r>
          </w:p>
        </w:tc>
        <w:tc>
          <w:tcPr>
            <w:tcW w:w="1701" w:type="dxa"/>
            <w:vAlign w:val="center"/>
          </w:tcPr>
          <w:p w:rsidR="00A4605A" w:rsidRDefault="00E455A1">
            <w:pPr>
              <w:jc w:val="center"/>
            </w:pPr>
            <w:r>
              <w:rPr>
                <w:rFonts w:eastAsiaTheme="minorEastAsia"/>
                <w:color w:val="000000" w:themeColor="text1"/>
                <w:szCs w:val="21"/>
              </w:rPr>
              <w:t>中国海洋石油</w:t>
            </w:r>
          </w:p>
        </w:tc>
        <w:tc>
          <w:tcPr>
            <w:tcW w:w="1276" w:type="dxa"/>
            <w:vAlign w:val="center"/>
          </w:tcPr>
          <w:p w:rsidR="00A4605A" w:rsidRDefault="00E455A1">
            <w:pPr>
              <w:jc w:val="right"/>
            </w:pPr>
            <w:r>
              <w:rPr>
                <w:rFonts w:eastAsiaTheme="minorEastAsia"/>
                <w:color w:val="000000" w:themeColor="text1"/>
                <w:szCs w:val="21"/>
              </w:rPr>
              <w:t>2,867,000.00</w:t>
            </w:r>
          </w:p>
        </w:tc>
        <w:tc>
          <w:tcPr>
            <w:tcW w:w="1842" w:type="dxa"/>
            <w:vAlign w:val="center"/>
          </w:tcPr>
          <w:p w:rsidR="00A4605A" w:rsidRDefault="00E455A1">
            <w:pPr>
              <w:jc w:val="right"/>
            </w:pPr>
            <w:r>
              <w:rPr>
                <w:rFonts w:eastAsiaTheme="minorEastAsia"/>
                <w:color w:val="000000" w:themeColor="text1"/>
                <w:szCs w:val="21"/>
              </w:rPr>
              <w:t>47,095,308.76</w:t>
            </w:r>
          </w:p>
        </w:tc>
        <w:tc>
          <w:tcPr>
            <w:tcW w:w="1616" w:type="dxa"/>
            <w:vAlign w:val="center"/>
          </w:tcPr>
          <w:p w:rsidR="00A4605A" w:rsidRDefault="00E455A1">
            <w:pPr>
              <w:jc w:val="right"/>
            </w:pPr>
            <w:r>
              <w:rPr>
                <w:rFonts w:eastAsiaTheme="minorEastAsia"/>
                <w:color w:val="000000" w:themeColor="text1"/>
                <w:szCs w:val="21"/>
              </w:rPr>
              <w:t>3.59</w:t>
            </w:r>
          </w:p>
        </w:tc>
      </w:tr>
      <w:tr w:rsidR="00A4605A">
        <w:tc>
          <w:tcPr>
            <w:tcW w:w="817" w:type="dxa"/>
            <w:vAlign w:val="center"/>
          </w:tcPr>
          <w:p w:rsidR="00A4605A" w:rsidRDefault="00E455A1">
            <w:pPr>
              <w:jc w:val="center"/>
            </w:pPr>
            <w:r>
              <w:rPr>
                <w:rFonts w:eastAsiaTheme="minorEastAsia"/>
                <w:color w:val="000000" w:themeColor="text1"/>
                <w:szCs w:val="21"/>
              </w:rPr>
              <w:t>2</w:t>
            </w:r>
          </w:p>
        </w:tc>
        <w:tc>
          <w:tcPr>
            <w:tcW w:w="1276" w:type="dxa"/>
            <w:vAlign w:val="center"/>
          </w:tcPr>
          <w:p w:rsidR="00A4605A" w:rsidRDefault="00E455A1">
            <w:pPr>
              <w:jc w:val="center"/>
            </w:pPr>
            <w:r>
              <w:rPr>
                <w:rFonts w:eastAsiaTheme="minorEastAsia"/>
                <w:color w:val="000000" w:themeColor="text1"/>
                <w:szCs w:val="21"/>
              </w:rPr>
              <w:t>01088</w:t>
            </w:r>
          </w:p>
        </w:tc>
        <w:tc>
          <w:tcPr>
            <w:tcW w:w="1701" w:type="dxa"/>
            <w:vAlign w:val="center"/>
          </w:tcPr>
          <w:p w:rsidR="00A4605A" w:rsidRDefault="00E455A1">
            <w:pPr>
              <w:jc w:val="center"/>
            </w:pPr>
            <w:r>
              <w:rPr>
                <w:rFonts w:eastAsiaTheme="minorEastAsia"/>
                <w:color w:val="000000" w:themeColor="text1"/>
                <w:szCs w:val="21"/>
              </w:rPr>
              <w:t>中国神华</w:t>
            </w:r>
          </w:p>
        </w:tc>
        <w:tc>
          <w:tcPr>
            <w:tcW w:w="1276" w:type="dxa"/>
            <w:vAlign w:val="center"/>
          </w:tcPr>
          <w:p w:rsidR="00A4605A" w:rsidRDefault="00E455A1">
            <w:pPr>
              <w:jc w:val="right"/>
            </w:pPr>
            <w:r>
              <w:rPr>
                <w:rFonts w:eastAsiaTheme="minorEastAsia"/>
                <w:color w:val="000000" w:themeColor="text1"/>
                <w:szCs w:val="21"/>
              </w:rPr>
              <w:t>1,489,000.00</w:t>
            </w:r>
          </w:p>
        </w:tc>
        <w:tc>
          <w:tcPr>
            <w:tcW w:w="1842" w:type="dxa"/>
            <w:vAlign w:val="center"/>
          </w:tcPr>
          <w:p w:rsidR="00A4605A" w:rsidRDefault="00E455A1">
            <w:pPr>
              <w:jc w:val="right"/>
            </w:pPr>
            <w:r>
              <w:rPr>
                <w:rFonts w:eastAsiaTheme="minorEastAsia"/>
                <w:color w:val="000000" w:themeColor="text1"/>
                <w:szCs w:val="21"/>
              </w:rPr>
              <w:t>41,507,978.21</w:t>
            </w:r>
          </w:p>
        </w:tc>
        <w:tc>
          <w:tcPr>
            <w:tcW w:w="1616" w:type="dxa"/>
            <w:vAlign w:val="center"/>
          </w:tcPr>
          <w:p w:rsidR="00A4605A" w:rsidRDefault="00E455A1">
            <w:pPr>
              <w:jc w:val="right"/>
            </w:pPr>
            <w:r>
              <w:rPr>
                <w:rFonts w:eastAsiaTheme="minorEastAsia"/>
                <w:color w:val="000000" w:themeColor="text1"/>
                <w:szCs w:val="21"/>
              </w:rPr>
              <w:t>3.16</w:t>
            </w:r>
          </w:p>
        </w:tc>
      </w:tr>
      <w:tr w:rsidR="00A4605A">
        <w:tc>
          <w:tcPr>
            <w:tcW w:w="817" w:type="dxa"/>
            <w:vAlign w:val="center"/>
          </w:tcPr>
          <w:p w:rsidR="00A4605A" w:rsidRDefault="00E455A1">
            <w:pPr>
              <w:jc w:val="center"/>
            </w:pPr>
            <w:r>
              <w:rPr>
                <w:rFonts w:eastAsiaTheme="minorEastAsia"/>
                <w:color w:val="000000" w:themeColor="text1"/>
                <w:szCs w:val="21"/>
              </w:rPr>
              <w:t>3</w:t>
            </w:r>
          </w:p>
        </w:tc>
        <w:tc>
          <w:tcPr>
            <w:tcW w:w="1276" w:type="dxa"/>
            <w:vAlign w:val="center"/>
          </w:tcPr>
          <w:p w:rsidR="00A4605A" w:rsidRDefault="00E455A1">
            <w:pPr>
              <w:jc w:val="center"/>
            </w:pPr>
            <w:r>
              <w:rPr>
                <w:rFonts w:eastAsiaTheme="minorEastAsia"/>
                <w:color w:val="000000" w:themeColor="text1"/>
                <w:szCs w:val="21"/>
              </w:rPr>
              <w:t>00857</w:t>
            </w:r>
          </w:p>
        </w:tc>
        <w:tc>
          <w:tcPr>
            <w:tcW w:w="1701" w:type="dxa"/>
            <w:vAlign w:val="center"/>
          </w:tcPr>
          <w:p w:rsidR="00A4605A" w:rsidRDefault="00E455A1">
            <w:pPr>
              <w:jc w:val="center"/>
            </w:pPr>
            <w:r>
              <w:rPr>
                <w:rFonts w:eastAsiaTheme="minorEastAsia"/>
                <w:color w:val="000000" w:themeColor="text1"/>
                <w:szCs w:val="21"/>
              </w:rPr>
              <w:t>中国石油股份</w:t>
            </w:r>
          </w:p>
        </w:tc>
        <w:tc>
          <w:tcPr>
            <w:tcW w:w="1276" w:type="dxa"/>
            <w:vAlign w:val="center"/>
          </w:tcPr>
          <w:p w:rsidR="00A4605A" w:rsidRDefault="00E455A1">
            <w:pPr>
              <w:jc w:val="right"/>
            </w:pPr>
            <w:r>
              <w:rPr>
                <w:rFonts w:eastAsiaTheme="minorEastAsia"/>
                <w:color w:val="000000" w:themeColor="text1"/>
                <w:szCs w:val="21"/>
              </w:rPr>
              <w:t>6,806,000.00</w:t>
            </w:r>
          </w:p>
        </w:tc>
        <w:tc>
          <w:tcPr>
            <w:tcW w:w="1842" w:type="dxa"/>
            <w:vAlign w:val="center"/>
          </w:tcPr>
          <w:p w:rsidR="00A4605A" w:rsidRDefault="00E455A1">
            <w:pPr>
              <w:jc w:val="right"/>
            </w:pPr>
            <w:r>
              <w:rPr>
                <w:rFonts w:eastAsiaTheme="minorEastAsia"/>
                <w:color w:val="000000" w:themeColor="text1"/>
                <w:szCs w:val="21"/>
              </w:rPr>
              <w:t>41,277,161.52</w:t>
            </w:r>
          </w:p>
        </w:tc>
        <w:tc>
          <w:tcPr>
            <w:tcW w:w="1616" w:type="dxa"/>
            <w:vAlign w:val="center"/>
          </w:tcPr>
          <w:p w:rsidR="00A4605A" w:rsidRDefault="00E455A1">
            <w:pPr>
              <w:jc w:val="right"/>
            </w:pPr>
            <w:r>
              <w:rPr>
                <w:rFonts w:eastAsiaTheme="minorEastAsia"/>
                <w:color w:val="000000" w:themeColor="text1"/>
                <w:szCs w:val="21"/>
              </w:rPr>
              <w:t>3.15</w:t>
            </w:r>
          </w:p>
        </w:tc>
      </w:tr>
      <w:tr w:rsidR="00A4605A">
        <w:tc>
          <w:tcPr>
            <w:tcW w:w="817" w:type="dxa"/>
            <w:vAlign w:val="center"/>
          </w:tcPr>
          <w:p w:rsidR="00A4605A" w:rsidRDefault="00E455A1">
            <w:pPr>
              <w:jc w:val="center"/>
            </w:pPr>
            <w:r>
              <w:rPr>
                <w:rFonts w:eastAsiaTheme="minorEastAsia"/>
                <w:color w:val="000000" w:themeColor="text1"/>
                <w:szCs w:val="21"/>
              </w:rPr>
              <w:t>4</w:t>
            </w:r>
          </w:p>
        </w:tc>
        <w:tc>
          <w:tcPr>
            <w:tcW w:w="1276" w:type="dxa"/>
            <w:vAlign w:val="center"/>
          </w:tcPr>
          <w:p w:rsidR="00A4605A" w:rsidRDefault="00E455A1">
            <w:pPr>
              <w:jc w:val="center"/>
            </w:pPr>
            <w:r>
              <w:rPr>
                <w:rFonts w:eastAsiaTheme="minorEastAsia"/>
                <w:color w:val="000000" w:themeColor="text1"/>
                <w:szCs w:val="21"/>
              </w:rPr>
              <w:t>00386</w:t>
            </w:r>
          </w:p>
        </w:tc>
        <w:tc>
          <w:tcPr>
            <w:tcW w:w="1701" w:type="dxa"/>
            <w:vAlign w:val="center"/>
          </w:tcPr>
          <w:p w:rsidR="00A4605A" w:rsidRDefault="00E455A1">
            <w:pPr>
              <w:jc w:val="center"/>
            </w:pPr>
            <w:r>
              <w:rPr>
                <w:rFonts w:eastAsiaTheme="minorEastAsia"/>
                <w:color w:val="000000" w:themeColor="text1"/>
                <w:szCs w:val="21"/>
              </w:rPr>
              <w:t>中国石油化工股份</w:t>
            </w:r>
          </w:p>
        </w:tc>
        <w:tc>
          <w:tcPr>
            <w:tcW w:w="1276" w:type="dxa"/>
            <w:vAlign w:val="center"/>
          </w:tcPr>
          <w:p w:rsidR="00A4605A" w:rsidRDefault="00E455A1">
            <w:pPr>
              <w:jc w:val="right"/>
            </w:pPr>
            <w:r>
              <w:rPr>
                <w:rFonts w:eastAsiaTheme="minorEastAsia"/>
                <w:color w:val="000000" w:themeColor="text1"/>
                <w:szCs w:val="21"/>
              </w:rPr>
              <w:t>9,092,000.00</w:t>
            </w:r>
          </w:p>
        </w:tc>
        <w:tc>
          <w:tcPr>
            <w:tcW w:w="1842" w:type="dxa"/>
            <w:vAlign w:val="center"/>
          </w:tcPr>
          <w:p w:rsidR="00A4605A" w:rsidRDefault="00E455A1">
            <w:pPr>
              <w:jc w:val="right"/>
            </w:pPr>
            <w:r>
              <w:rPr>
                <w:rFonts w:eastAsiaTheme="minorEastAsia"/>
                <w:color w:val="000000" w:themeColor="text1"/>
                <w:szCs w:val="21"/>
              </w:rPr>
              <w:t>36,596,045.54</w:t>
            </w:r>
          </w:p>
        </w:tc>
        <w:tc>
          <w:tcPr>
            <w:tcW w:w="1616" w:type="dxa"/>
            <w:vAlign w:val="center"/>
          </w:tcPr>
          <w:p w:rsidR="00A4605A" w:rsidRDefault="00E455A1">
            <w:pPr>
              <w:jc w:val="right"/>
            </w:pPr>
            <w:r>
              <w:rPr>
                <w:rFonts w:eastAsiaTheme="minorEastAsia"/>
                <w:color w:val="000000" w:themeColor="text1"/>
                <w:szCs w:val="21"/>
              </w:rPr>
              <w:t>2.79</w:t>
            </w:r>
          </w:p>
        </w:tc>
      </w:tr>
      <w:tr w:rsidR="00A4605A">
        <w:tc>
          <w:tcPr>
            <w:tcW w:w="817" w:type="dxa"/>
            <w:vAlign w:val="center"/>
          </w:tcPr>
          <w:p w:rsidR="00A4605A" w:rsidRDefault="00E455A1">
            <w:pPr>
              <w:jc w:val="center"/>
            </w:pPr>
            <w:r>
              <w:rPr>
                <w:rFonts w:eastAsiaTheme="minorEastAsia"/>
                <w:color w:val="000000" w:themeColor="text1"/>
                <w:szCs w:val="21"/>
              </w:rPr>
              <w:t>5</w:t>
            </w:r>
          </w:p>
        </w:tc>
        <w:tc>
          <w:tcPr>
            <w:tcW w:w="1276" w:type="dxa"/>
            <w:vAlign w:val="center"/>
          </w:tcPr>
          <w:p w:rsidR="00A4605A" w:rsidRDefault="00E455A1">
            <w:pPr>
              <w:jc w:val="center"/>
            </w:pPr>
            <w:r>
              <w:rPr>
                <w:rFonts w:eastAsiaTheme="minorEastAsia"/>
                <w:color w:val="000000" w:themeColor="text1"/>
                <w:szCs w:val="21"/>
              </w:rPr>
              <w:t>00998</w:t>
            </w:r>
          </w:p>
        </w:tc>
        <w:tc>
          <w:tcPr>
            <w:tcW w:w="1701" w:type="dxa"/>
            <w:vAlign w:val="center"/>
          </w:tcPr>
          <w:p w:rsidR="00A4605A" w:rsidRDefault="00E455A1">
            <w:pPr>
              <w:jc w:val="center"/>
            </w:pPr>
            <w:r>
              <w:rPr>
                <w:rFonts w:eastAsiaTheme="minorEastAsia"/>
                <w:color w:val="000000" w:themeColor="text1"/>
                <w:szCs w:val="21"/>
              </w:rPr>
              <w:t>中信银行</w:t>
            </w:r>
          </w:p>
        </w:tc>
        <w:tc>
          <w:tcPr>
            <w:tcW w:w="1276" w:type="dxa"/>
            <w:vAlign w:val="center"/>
          </w:tcPr>
          <w:p w:rsidR="00A4605A" w:rsidRDefault="00E455A1">
            <w:pPr>
              <w:jc w:val="right"/>
            </w:pPr>
            <w:r>
              <w:rPr>
                <w:rFonts w:eastAsiaTheme="minorEastAsia"/>
                <w:color w:val="000000" w:themeColor="text1"/>
                <w:szCs w:val="21"/>
              </w:rPr>
              <w:t>8,868,000.00</w:t>
            </w:r>
          </w:p>
        </w:tc>
        <w:tc>
          <w:tcPr>
            <w:tcW w:w="1842" w:type="dxa"/>
            <w:vAlign w:val="center"/>
          </w:tcPr>
          <w:p w:rsidR="00A4605A" w:rsidRDefault="00E455A1">
            <w:pPr>
              <w:jc w:val="right"/>
            </w:pPr>
            <w:r>
              <w:rPr>
                <w:rFonts w:eastAsiaTheme="minorEastAsia"/>
                <w:color w:val="000000" w:themeColor="text1"/>
                <w:szCs w:val="21"/>
              </w:rPr>
              <w:t>33,523,820.12</w:t>
            </w:r>
          </w:p>
        </w:tc>
        <w:tc>
          <w:tcPr>
            <w:tcW w:w="1616" w:type="dxa"/>
            <w:vAlign w:val="center"/>
          </w:tcPr>
          <w:p w:rsidR="00A4605A" w:rsidRDefault="00E455A1">
            <w:pPr>
              <w:jc w:val="right"/>
            </w:pPr>
            <w:r>
              <w:rPr>
                <w:rFonts w:eastAsiaTheme="minorEastAsia"/>
                <w:color w:val="000000" w:themeColor="text1"/>
                <w:szCs w:val="21"/>
              </w:rPr>
              <w:t>2.56</w:t>
            </w:r>
          </w:p>
        </w:tc>
      </w:tr>
      <w:tr w:rsidR="00A4605A">
        <w:tc>
          <w:tcPr>
            <w:tcW w:w="817" w:type="dxa"/>
            <w:vAlign w:val="center"/>
          </w:tcPr>
          <w:p w:rsidR="00A4605A" w:rsidRDefault="00E455A1">
            <w:pPr>
              <w:jc w:val="center"/>
            </w:pPr>
            <w:r>
              <w:rPr>
                <w:rFonts w:eastAsiaTheme="minorEastAsia"/>
                <w:color w:val="000000" w:themeColor="text1"/>
                <w:szCs w:val="21"/>
              </w:rPr>
              <w:t>6</w:t>
            </w:r>
          </w:p>
        </w:tc>
        <w:tc>
          <w:tcPr>
            <w:tcW w:w="1276" w:type="dxa"/>
            <w:vAlign w:val="center"/>
          </w:tcPr>
          <w:p w:rsidR="00A4605A" w:rsidRDefault="00E455A1">
            <w:pPr>
              <w:jc w:val="center"/>
            </w:pPr>
            <w:r>
              <w:rPr>
                <w:rFonts w:eastAsiaTheme="minorEastAsia"/>
                <w:color w:val="000000" w:themeColor="text1"/>
                <w:szCs w:val="21"/>
              </w:rPr>
              <w:t>03618</w:t>
            </w:r>
          </w:p>
        </w:tc>
        <w:tc>
          <w:tcPr>
            <w:tcW w:w="1701" w:type="dxa"/>
            <w:vAlign w:val="center"/>
          </w:tcPr>
          <w:p w:rsidR="00A4605A" w:rsidRDefault="00E455A1">
            <w:pPr>
              <w:jc w:val="center"/>
            </w:pPr>
            <w:r>
              <w:rPr>
                <w:rFonts w:eastAsiaTheme="minorEastAsia"/>
                <w:color w:val="000000" w:themeColor="text1"/>
                <w:szCs w:val="21"/>
              </w:rPr>
              <w:t>重庆农村商业银行</w:t>
            </w:r>
          </w:p>
        </w:tc>
        <w:tc>
          <w:tcPr>
            <w:tcW w:w="1276" w:type="dxa"/>
            <w:vAlign w:val="center"/>
          </w:tcPr>
          <w:p w:rsidR="00A4605A" w:rsidRDefault="00E455A1">
            <w:pPr>
              <w:jc w:val="right"/>
            </w:pPr>
            <w:r>
              <w:rPr>
                <w:rFonts w:eastAsiaTheme="minorEastAsia"/>
                <w:color w:val="000000" w:themeColor="text1"/>
                <w:szCs w:val="21"/>
              </w:rPr>
              <w:t>11,237,000.00</w:t>
            </w:r>
          </w:p>
        </w:tc>
        <w:tc>
          <w:tcPr>
            <w:tcW w:w="1842" w:type="dxa"/>
            <w:vAlign w:val="center"/>
          </w:tcPr>
          <w:p w:rsidR="00A4605A" w:rsidRDefault="00E455A1">
            <w:pPr>
              <w:jc w:val="right"/>
            </w:pPr>
            <w:r>
              <w:rPr>
                <w:rFonts w:eastAsiaTheme="minorEastAsia"/>
                <w:color w:val="000000" w:themeColor="text1"/>
                <w:szCs w:val="21"/>
              </w:rPr>
              <w:t>33,005,563.61</w:t>
            </w:r>
          </w:p>
        </w:tc>
        <w:tc>
          <w:tcPr>
            <w:tcW w:w="1616" w:type="dxa"/>
            <w:vAlign w:val="center"/>
          </w:tcPr>
          <w:p w:rsidR="00A4605A" w:rsidRDefault="00E455A1">
            <w:pPr>
              <w:jc w:val="right"/>
            </w:pPr>
            <w:r>
              <w:rPr>
                <w:rFonts w:eastAsiaTheme="minorEastAsia"/>
                <w:color w:val="000000" w:themeColor="text1"/>
                <w:szCs w:val="21"/>
              </w:rPr>
              <w:t>2.52</w:t>
            </w:r>
          </w:p>
        </w:tc>
      </w:tr>
      <w:tr w:rsidR="00A4605A">
        <w:tc>
          <w:tcPr>
            <w:tcW w:w="817" w:type="dxa"/>
            <w:vAlign w:val="center"/>
          </w:tcPr>
          <w:p w:rsidR="00A4605A" w:rsidRDefault="00E455A1">
            <w:pPr>
              <w:jc w:val="center"/>
            </w:pPr>
            <w:r>
              <w:rPr>
                <w:rFonts w:eastAsiaTheme="minorEastAsia"/>
                <w:color w:val="000000" w:themeColor="text1"/>
                <w:szCs w:val="21"/>
              </w:rPr>
              <w:t>7</w:t>
            </w:r>
          </w:p>
        </w:tc>
        <w:tc>
          <w:tcPr>
            <w:tcW w:w="1276" w:type="dxa"/>
            <w:vAlign w:val="center"/>
          </w:tcPr>
          <w:p w:rsidR="00A4605A" w:rsidRDefault="00E455A1">
            <w:pPr>
              <w:jc w:val="center"/>
            </w:pPr>
            <w:r>
              <w:rPr>
                <w:rFonts w:eastAsiaTheme="minorEastAsia"/>
                <w:color w:val="000000" w:themeColor="text1"/>
                <w:szCs w:val="21"/>
              </w:rPr>
              <w:t>00914</w:t>
            </w:r>
          </w:p>
        </w:tc>
        <w:tc>
          <w:tcPr>
            <w:tcW w:w="1701" w:type="dxa"/>
            <w:vAlign w:val="center"/>
          </w:tcPr>
          <w:p w:rsidR="00A4605A" w:rsidRDefault="00E455A1">
            <w:pPr>
              <w:jc w:val="center"/>
            </w:pPr>
            <w:r>
              <w:rPr>
                <w:rFonts w:eastAsiaTheme="minorEastAsia"/>
                <w:color w:val="000000" w:themeColor="text1"/>
                <w:szCs w:val="21"/>
              </w:rPr>
              <w:t>海螺水泥</w:t>
            </w:r>
          </w:p>
        </w:tc>
        <w:tc>
          <w:tcPr>
            <w:tcW w:w="1276" w:type="dxa"/>
            <w:vAlign w:val="center"/>
          </w:tcPr>
          <w:p w:rsidR="00A4605A" w:rsidRDefault="00E455A1">
            <w:pPr>
              <w:jc w:val="right"/>
            </w:pPr>
            <w:r>
              <w:rPr>
                <w:rFonts w:eastAsiaTheme="minorEastAsia"/>
                <w:color w:val="000000" w:themeColor="text1"/>
                <w:szCs w:val="21"/>
              </w:rPr>
              <w:t>2,161,500.00</w:t>
            </w:r>
          </w:p>
        </w:tc>
        <w:tc>
          <w:tcPr>
            <w:tcW w:w="1842" w:type="dxa"/>
            <w:vAlign w:val="center"/>
          </w:tcPr>
          <w:p w:rsidR="00A4605A" w:rsidRDefault="00E455A1">
            <w:pPr>
              <w:jc w:val="right"/>
            </w:pPr>
            <w:r>
              <w:rPr>
                <w:rFonts w:eastAsiaTheme="minorEastAsia"/>
                <w:color w:val="000000" w:themeColor="text1"/>
                <w:szCs w:val="21"/>
              </w:rPr>
              <w:t>31,900,787.39</w:t>
            </w:r>
          </w:p>
        </w:tc>
        <w:tc>
          <w:tcPr>
            <w:tcW w:w="1616" w:type="dxa"/>
            <w:vAlign w:val="center"/>
          </w:tcPr>
          <w:p w:rsidR="00A4605A" w:rsidRDefault="00E455A1">
            <w:pPr>
              <w:jc w:val="right"/>
            </w:pPr>
            <w:r>
              <w:rPr>
                <w:rFonts w:eastAsiaTheme="minorEastAsia"/>
                <w:color w:val="000000" w:themeColor="text1"/>
                <w:szCs w:val="21"/>
              </w:rPr>
              <w:t>2.43</w:t>
            </w:r>
          </w:p>
        </w:tc>
      </w:tr>
      <w:tr w:rsidR="00A4605A">
        <w:tc>
          <w:tcPr>
            <w:tcW w:w="817" w:type="dxa"/>
            <w:vAlign w:val="center"/>
          </w:tcPr>
          <w:p w:rsidR="00A4605A" w:rsidRDefault="00E455A1">
            <w:pPr>
              <w:jc w:val="center"/>
            </w:pPr>
            <w:r>
              <w:rPr>
                <w:rFonts w:eastAsiaTheme="minorEastAsia"/>
                <w:color w:val="000000" w:themeColor="text1"/>
                <w:szCs w:val="21"/>
              </w:rPr>
              <w:t>8</w:t>
            </w:r>
          </w:p>
        </w:tc>
        <w:tc>
          <w:tcPr>
            <w:tcW w:w="1276" w:type="dxa"/>
            <w:vAlign w:val="center"/>
          </w:tcPr>
          <w:p w:rsidR="00A4605A" w:rsidRDefault="00E455A1">
            <w:pPr>
              <w:jc w:val="center"/>
            </w:pPr>
            <w:r>
              <w:rPr>
                <w:rFonts w:eastAsiaTheme="minorEastAsia"/>
                <w:color w:val="000000" w:themeColor="text1"/>
                <w:szCs w:val="21"/>
              </w:rPr>
              <w:t>00267</w:t>
            </w:r>
          </w:p>
        </w:tc>
        <w:tc>
          <w:tcPr>
            <w:tcW w:w="1701" w:type="dxa"/>
            <w:vAlign w:val="center"/>
          </w:tcPr>
          <w:p w:rsidR="00A4605A" w:rsidRDefault="00E455A1">
            <w:pPr>
              <w:jc w:val="center"/>
            </w:pPr>
            <w:r>
              <w:rPr>
                <w:rFonts w:eastAsiaTheme="minorEastAsia"/>
                <w:color w:val="000000" w:themeColor="text1"/>
                <w:szCs w:val="21"/>
              </w:rPr>
              <w:t>中信股份</w:t>
            </w:r>
          </w:p>
        </w:tc>
        <w:tc>
          <w:tcPr>
            <w:tcW w:w="1276" w:type="dxa"/>
            <w:vAlign w:val="center"/>
          </w:tcPr>
          <w:p w:rsidR="00A4605A" w:rsidRDefault="00E455A1">
            <w:pPr>
              <w:jc w:val="right"/>
            </w:pPr>
            <w:r>
              <w:rPr>
                <w:rFonts w:eastAsiaTheme="minorEastAsia"/>
                <w:color w:val="000000" w:themeColor="text1"/>
                <w:szCs w:val="21"/>
              </w:rPr>
              <w:t>4,463,000.00</w:t>
            </w:r>
          </w:p>
        </w:tc>
        <w:tc>
          <w:tcPr>
            <w:tcW w:w="1842" w:type="dxa"/>
            <w:vAlign w:val="center"/>
          </w:tcPr>
          <w:p w:rsidR="00A4605A" w:rsidRDefault="00E455A1">
            <w:pPr>
              <w:jc w:val="right"/>
            </w:pPr>
            <w:r>
              <w:rPr>
                <w:rFonts w:eastAsiaTheme="minorEastAsia"/>
                <w:color w:val="000000" w:themeColor="text1"/>
                <w:szCs w:val="21"/>
              </w:rPr>
              <w:t>30,425,413.53</w:t>
            </w:r>
          </w:p>
        </w:tc>
        <w:tc>
          <w:tcPr>
            <w:tcW w:w="1616" w:type="dxa"/>
            <w:vAlign w:val="center"/>
          </w:tcPr>
          <w:p w:rsidR="00A4605A" w:rsidRDefault="00E455A1">
            <w:pPr>
              <w:jc w:val="right"/>
            </w:pPr>
            <w:r>
              <w:rPr>
                <w:rFonts w:eastAsiaTheme="minorEastAsia"/>
                <w:color w:val="000000" w:themeColor="text1"/>
                <w:szCs w:val="21"/>
              </w:rPr>
              <w:t>2.32</w:t>
            </w:r>
          </w:p>
        </w:tc>
      </w:tr>
      <w:tr w:rsidR="00A4605A">
        <w:tc>
          <w:tcPr>
            <w:tcW w:w="817" w:type="dxa"/>
            <w:vAlign w:val="center"/>
          </w:tcPr>
          <w:p w:rsidR="00A4605A" w:rsidRDefault="00E455A1">
            <w:pPr>
              <w:jc w:val="center"/>
            </w:pPr>
            <w:r>
              <w:rPr>
                <w:rFonts w:eastAsiaTheme="minorEastAsia"/>
                <w:color w:val="000000" w:themeColor="text1"/>
                <w:szCs w:val="21"/>
              </w:rPr>
              <w:t>9</w:t>
            </w:r>
          </w:p>
        </w:tc>
        <w:tc>
          <w:tcPr>
            <w:tcW w:w="1276" w:type="dxa"/>
            <w:vAlign w:val="center"/>
          </w:tcPr>
          <w:p w:rsidR="00A4605A" w:rsidRDefault="00E455A1">
            <w:pPr>
              <w:jc w:val="center"/>
            </w:pPr>
            <w:r>
              <w:rPr>
                <w:rFonts w:eastAsiaTheme="minorEastAsia"/>
                <w:color w:val="000000" w:themeColor="text1"/>
                <w:szCs w:val="21"/>
              </w:rPr>
              <w:t>00489</w:t>
            </w:r>
          </w:p>
        </w:tc>
        <w:tc>
          <w:tcPr>
            <w:tcW w:w="1701" w:type="dxa"/>
            <w:vAlign w:val="center"/>
          </w:tcPr>
          <w:p w:rsidR="00A4605A" w:rsidRDefault="00E455A1">
            <w:pPr>
              <w:jc w:val="center"/>
            </w:pPr>
            <w:r>
              <w:rPr>
                <w:rFonts w:eastAsiaTheme="minorEastAsia"/>
                <w:color w:val="000000" w:themeColor="text1"/>
                <w:szCs w:val="21"/>
              </w:rPr>
              <w:t>东风集团股份</w:t>
            </w:r>
          </w:p>
        </w:tc>
        <w:tc>
          <w:tcPr>
            <w:tcW w:w="1276" w:type="dxa"/>
            <w:vAlign w:val="center"/>
          </w:tcPr>
          <w:p w:rsidR="00A4605A" w:rsidRDefault="00E455A1">
            <w:pPr>
              <w:jc w:val="right"/>
            </w:pPr>
            <w:r>
              <w:rPr>
                <w:rFonts w:eastAsiaTheme="minorEastAsia"/>
                <w:color w:val="000000" w:themeColor="text1"/>
                <w:szCs w:val="21"/>
              </w:rPr>
              <w:t>10,226,000.00</w:t>
            </w:r>
          </w:p>
        </w:tc>
        <w:tc>
          <w:tcPr>
            <w:tcW w:w="1842" w:type="dxa"/>
            <w:vAlign w:val="center"/>
          </w:tcPr>
          <w:p w:rsidR="00A4605A" w:rsidRDefault="00E455A1">
            <w:pPr>
              <w:jc w:val="right"/>
            </w:pPr>
            <w:r>
              <w:rPr>
                <w:rFonts w:eastAsiaTheme="minorEastAsia"/>
                <w:color w:val="000000" w:themeColor="text1"/>
                <w:szCs w:val="21"/>
              </w:rPr>
              <w:t>30,314,143.58</w:t>
            </w:r>
          </w:p>
        </w:tc>
        <w:tc>
          <w:tcPr>
            <w:tcW w:w="1616" w:type="dxa"/>
            <w:vAlign w:val="center"/>
          </w:tcPr>
          <w:p w:rsidR="00A4605A" w:rsidRDefault="00E455A1">
            <w:pPr>
              <w:jc w:val="right"/>
            </w:pPr>
            <w:r>
              <w:rPr>
                <w:rFonts w:eastAsiaTheme="minorEastAsia"/>
                <w:color w:val="000000" w:themeColor="text1"/>
                <w:szCs w:val="21"/>
              </w:rPr>
              <w:t>2.31</w:t>
            </w:r>
          </w:p>
        </w:tc>
      </w:tr>
      <w:tr w:rsidR="00A4605A">
        <w:tc>
          <w:tcPr>
            <w:tcW w:w="817" w:type="dxa"/>
            <w:vAlign w:val="center"/>
          </w:tcPr>
          <w:p w:rsidR="00A4605A" w:rsidRDefault="00E455A1">
            <w:pPr>
              <w:jc w:val="center"/>
            </w:pPr>
            <w:r>
              <w:rPr>
                <w:rFonts w:eastAsiaTheme="minorEastAsia"/>
                <w:color w:val="000000" w:themeColor="text1"/>
                <w:szCs w:val="21"/>
              </w:rPr>
              <w:t>10</w:t>
            </w:r>
          </w:p>
        </w:tc>
        <w:tc>
          <w:tcPr>
            <w:tcW w:w="1276" w:type="dxa"/>
            <w:vAlign w:val="center"/>
          </w:tcPr>
          <w:p w:rsidR="00A4605A" w:rsidRDefault="00E455A1">
            <w:pPr>
              <w:jc w:val="center"/>
            </w:pPr>
            <w:r>
              <w:rPr>
                <w:rFonts w:eastAsiaTheme="minorEastAsia"/>
                <w:color w:val="000000" w:themeColor="text1"/>
                <w:szCs w:val="21"/>
              </w:rPr>
              <w:t>00008</w:t>
            </w:r>
          </w:p>
        </w:tc>
        <w:tc>
          <w:tcPr>
            <w:tcW w:w="1701" w:type="dxa"/>
            <w:vAlign w:val="center"/>
          </w:tcPr>
          <w:p w:rsidR="00A4605A" w:rsidRDefault="00E455A1">
            <w:pPr>
              <w:jc w:val="center"/>
            </w:pPr>
            <w:r>
              <w:rPr>
                <w:rFonts w:eastAsiaTheme="minorEastAsia"/>
                <w:color w:val="000000" w:themeColor="text1"/>
                <w:szCs w:val="21"/>
              </w:rPr>
              <w:t>电讯盈科</w:t>
            </w:r>
          </w:p>
        </w:tc>
        <w:tc>
          <w:tcPr>
            <w:tcW w:w="1276" w:type="dxa"/>
            <w:vAlign w:val="center"/>
          </w:tcPr>
          <w:p w:rsidR="00A4605A" w:rsidRDefault="00E455A1">
            <w:pPr>
              <w:jc w:val="right"/>
            </w:pPr>
            <w:r>
              <w:rPr>
                <w:rFonts w:eastAsiaTheme="minorEastAsia"/>
                <w:color w:val="000000" w:themeColor="text1"/>
                <w:szCs w:val="21"/>
              </w:rPr>
              <w:t>8,398,000.00</w:t>
            </w:r>
          </w:p>
        </w:tc>
        <w:tc>
          <w:tcPr>
            <w:tcW w:w="1842" w:type="dxa"/>
            <w:vAlign w:val="center"/>
          </w:tcPr>
          <w:p w:rsidR="00A4605A" w:rsidRDefault="00E455A1">
            <w:pPr>
              <w:jc w:val="right"/>
            </w:pPr>
            <w:r>
              <w:rPr>
                <w:rFonts w:eastAsiaTheme="minorEastAsia"/>
                <w:color w:val="000000" w:themeColor="text1"/>
                <w:szCs w:val="21"/>
              </w:rPr>
              <w:t>29,463,110.70</w:t>
            </w:r>
          </w:p>
        </w:tc>
        <w:tc>
          <w:tcPr>
            <w:tcW w:w="1616" w:type="dxa"/>
            <w:vAlign w:val="center"/>
          </w:tcPr>
          <w:p w:rsidR="00A4605A" w:rsidRDefault="00E455A1">
            <w:pPr>
              <w:jc w:val="right"/>
            </w:pPr>
            <w:r>
              <w:rPr>
                <w:rFonts w:eastAsiaTheme="minorEastAsia"/>
                <w:color w:val="000000" w:themeColor="text1"/>
                <w:szCs w:val="21"/>
              </w:rPr>
              <w:t>2.25</w:t>
            </w:r>
          </w:p>
        </w:tc>
      </w:tr>
    </w:tbl>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t>5.3.2</w:t>
      </w:r>
      <w:r w:rsidRPr="00473486">
        <w:rPr>
          <w:rFonts w:eastAsiaTheme="minorEastAsia"/>
          <w:b/>
          <w:color w:val="000000" w:themeColor="text1"/>
          <w:kern w:val="0"/>
          <w:sz w:val="24"/>
        </w:rPr>
        <w:t>期末</w:t>
      </w:r>
      <w:r w:rsidRPr="00473486">
        <w:rPr>
          <w:rFonts w:eastAsiaTheme="minorEastAsia"/>
          <w:b/>
          <w:color w:val="000000" w:themeColor="text1"/>
          <w:sz w:val="24"/>
        </w:rPr>
        <w:t>积极投资按公允价值占基金资产净值比例大小排序的前五名股票投资明细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本基金本报告期末未持有积极投资股票。</w:t>
      </w:r>
    </w:p>
    <w:p w:rsidR="00881A82" w:rsidRPr="000A0010" w:rsidRDefault="00881A82">
      <w:pPr>
        <w:autoSpaceDE w:val="0"/>
        <w:autoSpaceDN w:val="0"/>
        <w:adjustRightInd w:val="0"/>
        <w:spacing w:line="360" w:lineRule="auto"/>
        <w:jc w:val="left"/>
        <w:rPr>
          <w:rFonts w:eastAsiaTheme="minorEastAsia"/>
          <w:color w:val="000000" w:themeColor="text1"/>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5.4 </w:t>
      </w:r>
      <w:r w:rsidRPr="00473486">
        <w:rPr>
          <w:rFonts w:eastAsiaTheme="minorEastAsia"/>
          <w:b/>
          <w:color w:val="000000" w:themeColor="text1"/>
          <w:kern w:val="0"/>
          <w:sz w:val="24"/>
        </w:rPr>
        <w:t>报告期末按债券品种分类的债券投资组合</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本基金本报告期末未持有债券。</w:t>
      </w:r>
    </w:p>
    <w:p w:rsidR="00881A82" w:rsidRPr="00473486" w:rsidRDefault="00881A82">
      <w:pPr>
        <w:autoSpaceDE w:val="0"/>
        <w:autoSpaceDN w:val="0"/>
        <w:adjustRightInd w:val="0"/>
        <w:spacing w:line="360" w:lineRule="auto"/>
        <w:jc w:val="left"/>
        <w:rPr>
          <w:rFonts w:eastAsiaTheme="minorEastAsia"/>
          <w:color w:val="000000" w:themeColor="text1"/>
          <w:kern w:val="0"/>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5.5 </w:t>
      </w:r>
      <w:r w:rsidRPr="00473486">
        <w:rPr>
          <w:rFonts w:eastAsiaTheme="minorEastAsia"/>
          <w:b/>
          <w:color w:val="000000" w:themeColor="text1"/>
          <w:kern w:val="0"/>
          <w:sz w:val="24"/>
        </w:rPr>
        <w:t>报告期末按公允价值占基金资产净值比例大小排序的前五名债券投资明细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本基金本报告期末未持有债券。</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5.6</w:t>
      </w:r>
      <w:r w:rsidRPr="00473486">
        <w:rPr>
          <w:rFonts w:eastAsiaTheme="minorEastAsia"/>
          <w:b/>
          <w:color w:val="000000" w:themeColor="text1"/>
          <w:kern w:val="0"/>
          <w:sz w:val="24"/>
        </w:rPr>
        <w:t>报告期末按公允价值占基金资产净值比例大小排序的前十名资产支持证券投资明细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lastRenderedPageBreak/>
        <w:t>本基金本报告期末未持有资产支持证券。</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bCs/>
          <w:color w:val="000000" w:themeColor="text1"/>
          <w:kern w:val="0"/>
          <w:sz w:val="24"/>
        </w:rPr>
      </w:pPr>
      <w:r w:rsidRPr="00473486">
        <w:rPr>
          <w:rFonts w:eastAsiaTheme="minorEastAsia"/>
          <w:b/>
          <w:bCs/>
          <w:color w:val="000000" w:themeColor="text1"/>
          <w:kern w:val="0"/>
          <w:sz w:val="24"/>
        </w:rPr>
        <w:t xml:space="preserve">5.7 </w:t>
      </w:r>
      <w:r w:rsidRPr="00473486">
        <w:rPr>
          <w:rFonts w:eastAsiaTheme="minorEastAsia"/>
          <w:b/>
          <w:bCs/>
          <w:color w:val="000000" w:themeColor="text1"/>
          <w:kern w:val="0"/>
          <w:sz w:val="24"/>
        </w:rPr>
        <w:t>报告期末按公允价值占基金资产净值比例大小排序的前五名贵金属投资明细</w:t>
      </w:r>
    </w:p>
    <w:p w:rsidR="00881A82" w:rsidRPr="00473486" w:rsidRDefault="007D1E3A">
      <w:pPr>
        <w:widowControl/>
        <w:spacing w:line="360" w:lineRule="auto"/>
        <w:jc w:val="left"/>
        <w:rPr>
          <w:color w:val="000000" w:themeColor="text1"/>
          <w:szCs w:val="21"/>
        </w:rPr>
      </w:pPr>
      <w:r w:rsidRPr="00473486">
        <w:rPr>
          <w:color w:val="000000" w:themeColor="text1"/>
          <w:szCs w:val="21"/>
        </w:rPr>
        <w:t>本基金本报告期末未持有贵金属。</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5.8</w:t>
      </w:r>
      <w:r w:rsidRPr="00473486">
        <w:rPr>
          <w:rFonts w:eastAsiaTheme="minorEastAsia"/>
          <w:b/>
          <w:bCs/>
          <w:color w:val="000000" w:themeColor="text1"/>
          <w:sz w:val="24"/>
        </w:rPr>
        <w:t>报告期末按公允价值占基金资产净值比例大小排序的前五名权证投资明细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本基金本报告期末未持有权证。</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djustRightInd w:val="0"/>
        <w:snapToGrid w:val="0"/>
        <w:spacing w:line="360" w:lineRule="auto"/>
        <w:rPr>
          <w:rFonts w:eastAsiaTheme="minorEastAsia"/>
          <w:b/>
          <w:color w:val="000000" w:themeColor="text1"/>
          <w:sz w:val="24"/>
        </w:rPr>
      </w:pPr>
      <w:r w:rsidRPr="00473486">
        <w:rPr>
          <w:rFonts w:eastAsiaTheme="minorEastAsia"/>
          <w:b/>
          <w:color w:val="000000" w:themeColor="text1"/>
          <w:sz w:val="24"/>
        </w:rPr>
        <w:t xml:space="preserve">5.9 </w:t>
      </w:r>
      <w:r w:rsidRPr="00473486">
        <w:rPr>
          <w:rFonts w:eastAsiaTheme="minorEastAsia"/>
          <w:b/>
          <w:color w:val="000000" w:themeColor="text1"/>
          <w:sz w:val="24"/>
        </w:rPr>
        <w:t>报告期末本基金投资的股指期货交易情况说明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本基金本报告期末未持有股指期货。</w:t>
      </w:r>
    </w:p>
    <w:p w:rsidR="00881A82" w:rsidRPr="00473486" w:rsidRDefault="00881A82">
      <w:pPr>
        <w:adjustRightInd w:val="0"/>
        <w:snapToGrid w:val="0"/>
        <w:spacing w:line="360" w:lineRule="exact"/>
        <w:rPr>
          <w:rFonts w:eastAsiaTheme="minorEastAsia"/>
          <w:color w:val="000000" w:themeColor="text1"/>
          <w:sz w:val="24"/>
        </w:rPr>
      </w:pPr>
    </w:p>
    <w:p w:rsidR="00881A82" w:rsidRPr="00473486" w:rsidRDefault="007D1E3A">
      <w:pPr>
        <w:adjustRightInd w:val="0"/>
        <w:snapToGrid w:val="0"/>
        <w:spacing w:line="360" w:lineRule="auto"/>
        <w:rPr>
          <w:rFonts w:eastAsiaTheme="minorEastAsia"/>
          <w:b/>
          <w:color w:val="000000" w:themeColor="text1"/>
          <w:sz w:val="24"/>
        </w:rPr>
      </w:pPr>
      <w:r w:rsidRPr="00473486">
        <w:rPr>
          <w:rFonts w:eastAsiaTheme="minorEastAsia"/>
          <w:b/>
          <w:color w:val="000000" w:themeColor="text1"/>
          <w:sz w:val="24"/>
        </w:rPr>
        <w:t>5.10</w:t>
      </w:r>
      <w:r w:rsidRPr="00473486">
        <w:rPr>
          <w:rFonts w:eastAsiaTheme="minorEastAsia"/>
          <w:b/>
          <w:color w:val="000000" w:themeColor="text1"/>
          <w:sz w:val="24"/>
        </w:rPr>
        <w:t>报告期末本基金投资的国债期货交易情况说明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本基金本报告期末未持有国债期货。</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w:t>
      </w:r>
      <w:r w:rsidRPr="00473486">
        <w:rPr>
          <w:rFonts w:eastAsiaTheme="minorEastAsia"/>
          <w:b/>
          <w:color w:val="000000" w:themeColor="text1"/>
          <w:kern w:val="0"/>
          <w:sz w:val="24"/>
        </w:rPr>
        <w:t>投资组合报告附注</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5.11.1</w:t>
      </w:r>
      <w:r w:rsidRPr="00473486">
        <w:rPr>
          <w:rFonts w:eastAsiaTheme="minorEastAsia"/>
          <w:color w:val="000000" w:themeColor="text1"/>
          <w:szCs w:val="21"/>
        </w:rPr>
        <w:t>本基金投资的前十名证券的发行主体中，中信银行股份有限公司在报告编制日前一年内曾受到国家金融监督管理总局的处罚。本基金对上述主体所发行证券的投资决策程序符合相关法律法规、基金合同及公司投资制度的要求。</w:t>
      </w:r>
    </w:p>
    <w:p w:rsidR="00A4605A" w:rsidRDefault="00E455A1">
      <w:pPr>
        <w:spacing w:line="360" w:lineRule="auto"/>
        <w:rPr>
          <w:rFonts w:eastAsiaTheme="minorEastAsia"/>
          <w:color w:val="000000" w:themeColor="text1"/>
          <w:szCs w:val="21"/>
        </w:rPr>
      </w:pPr>
      <w:r>
        <w:rPr>
          <w:rFonts w:eastAsiaTheme="minorEastAsia"/>
          <w:color w:val="000000" w:themeColor="text1"/>
          <w:szCs w:val="21"/>
        </w:rPr>
        <w:t>除上述主体外，本基金投资的其余前十名证券的发行主体本期未出现被监管部门立案调查，或在报告编制日前一年内受到公开谴责、处罚的情形。</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5.11.2</w:t>
      </w:r>
      <w:r w:rsidRPr="00473486">
        <w:rPr>
          <w:rFonts w:eastAsiaTheme="minorEastAsia"/>
          <w:color w:val="000000" w:themeColor="text1"/>
          <w:szCs w:val="21"/>
        </w:rPr>
        <w:t>报告期内本基金投资的前十名股票中没有在基金合同规定备选股票库之外的股票。</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5.11.3</w:t>
      </w:r>
      <w:r w:rsidRPr="00473486">
        <w:rPr>
          <w:rFonts w:eastAsiaTheme="minorEastAsia"/>
          <w:b/>
          <w:color w:val="000000" w:themeColor="text1"/>
          <w:kern w:val="0"/>
          <w:sz w:val="24"/>
        </w:rPr>
        <w:t>其他资产构成</w:t>
      </w:r>
    </w:p>
    <w:tbl>
      <w:tblPr>
        <w:tblStyle w:val="afa"/>
        <w:tblW w:w="8513" w:type="dxa"/>
        <w:tblInd w:w="15" w:type="dxa"/>
        <w:tblLayout w:type="fixed"/>
        <w:tblLook w:val="04A0" w:firstRow="1" w:lastRow="0" w:firstColumn="1" w:lastColumn="0" w:noHBand="0" w:noVBand="1"/>
      </w:tblPr>
      <w:tblGrid>
        <w:gridCol w:w="944"/>
        <w:gridCol w:w="2761"/>
        <w:gridCol w:w="4808"/>
      </w:tblGrid>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序号</w:t>
            </w:r>
          </w:p>
        </w:tc>
        <w:tc>
          <w:tcPr>
            <w:tcW w:w="276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名称</w:t>
            </w:r>
          </w:p>
        </w:tc>
        <w:tc>
          <w:tcPr>
            <w:tcW w:w="4808"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金额</w:t>
            </w:r>
            <w:r w:rsidRPr="00473486">
              <w:rPr>
                <w:rFonts w:eastAsiaTheme="minorEastAsia"/>
                <w:color w:val="000000" w:themeColor="text1"/>
                <w:kern w:val="0"/>
                <w:szCs w:val="21"/>
              </w:rPr>
              <w:t>(</w:t>
            </w:r>
            <w:r w:rsidRPr="00473486">
              <w:rPr>
                <w:rFonts w:eastAsiaTheme="minorEastAsia"/>
                <w:color w:val="000000" w:themeColor="text1"/>
                <w:kern w:val="0"/>
                <w:szCs w:val="21"/>
              </w:rPr>
              <w:t>元</w:t>
            </w: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kern w:val="0"/>
                <w:szCs w:val="21"/>
              </w:rPr>
            </w:pPr>
            <w:r w:rsidRPr="00473486">
              <w:rPr>
                <w:rFonts w:eastAsiaTheme="minorEastAsia"/>
                <w:color w:val="000000" w:themeColor="text1"/>
                <w:szCs w:val="21"/>
              </w:rPr>
              <w:t>1</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存出保证金</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2</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应收证券清算款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9,755.52</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3</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应收股利</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4,732,337.26</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4</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应收利息</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5</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应收申购款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lastRenderedPageBreak/>
              <w:t>6</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其他应收款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7</w:t>
            </w:r>
          </w:p>
        </w:tc>
        <w:tc>
          <w:tcPr>
            <w:tcW w:w="2761" w:type="dxa"/>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待摊费用</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8</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其他</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9</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合计</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4,742,092.78</w:t>
            </w:r>
          </w:p>
        </w:tc>
      </w:tr>
    </w:tbl>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5.11.4</w:t>
      </w:r>
      <w:r w:rsidRPr="00473486">
        <w:rPr>
          <w:rFonts w:eastAsiaTheme="minorEastAsia"/>
          <w:b/>
          <w:color w:val="000000" w:themeColor="text1"/>
          <w:kern w:val="0"/>
          <w:sz w:val="24"/>
        </w:rPr>
        <w:t>报告期末持有的处于转股期的可转换债券明细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本基金本报告期末未持有处于转股期的可转换债券。</w:t>
      </w: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5.11.5</w:t>
      </w:r>
      <w:r w:rsidRPr="00473486">
        <w:rPr>
          <w:rFonts w:eastAsiaTheme="minorEastAsia"/>
          <w:b/>
          <w:color w:val="000000" w:themeColor="text1"/>
          <w:sz w:val="24"/>
        </w:rPr>
        <w:t>报告期末前十名股票中存在流通受限情况的说明</w:t>
      </w: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5.11.5.1</w:t>
      </w:r>
      <w:r w:rsidRPr="00473486">
        <w:rPr>
          <w:rFonts w:eastAsiaTheme="minorEastAsia"/>
          <w:b/>
          <w:color w:val="000000" w:themeColor="text1"/>
          <w:sz w:val="24"/>
        </w:rPr>
        <w:t>期末指数投资前十名股票中存在流通受限情况的说明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本基金本报告期末前十名股票中不存在流通受限情况。</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t>5.11.5.2</w:t>
      </w:r>
      <w:r w:rsidRPr="00473486">
        <w:rPr>
          <w:rFonts w:eastAsiaTheme="minorEastAsia"/>
          <w:b/>
          <w:color w:val="000000" w:themeColor="text1"/>
          <w:sz w:val="24"/>
        </w:rPr>
        <w:t>期末积极投资前五名股票中存在流通受限情况的说明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本基金本报告期末前五名积极投资中不存在流通受限情况。</w:t>
      </w:r>
    </w:p>
    <w:p w:rsidR="00881A82" w:rsidRPr="00473486" w:rsidRDefault="00881A82">
      <w:pPr>
        <w:spacing w:line="360" w:lineRule="auto"/>
        <w:rPr>
          <w:rFonts w:eastAsiaTheme="minorEastAsia"/>
          <w:bCs/>
          <w:color w:val="000000" w:themeColor="text1"/>
          <w:szCs w:val="21"/>
        </w:rPr>
      </w:pP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5.11.</w:t>
      </w:r>
      <w:r w:rsidRPr="00473486">
        <w:rPr>
          <w:rFonts w:eastAsiaTheme="minorEastAsia"/>
          <w:b/>
          <w:bCs/>
          <w:color w:val="000000" w:themeColor="text1"/>
          <w:sz w:val="24"/>
        </w:rPr>
        <w:t>6</w:t>
      </w:r>
      <w:r w:rsidRPr="00473486">
        <w:rPr>
          <w:rFonts w:eastAsiaTheme="minorEastAsia"/>
          <w:b/>
          <w:bCs/>
          <w:color w:val="000000" w:themeColor="text1"/>
          <w:kern w:val="0"/>
          <w:sz w:val="24"/>
        </w:rPr>
        <w:t>投资组合报告附注的其他文字描述部分</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因四舍五入原因，投资组合报告中分项之和与合计可能存在尾差。</w:t>
      </w:r>
    </w:p>
    <w:p w:rsidR="00881A82" w:rsidRPr="00473486" w:rsidRDefault="00881A82">
      <w:pPr>
        <w:spacing w:line="360" w:lineRule="auto"/>
        <w:ind w:firstLineChars="200" w:firstLine="420"/>
        <w:rPr>
          <w:rFonts w:eastAsiaTheme="minorEastAsia"/>
          <w:color w:val="000000" w:themeColor="text1"/>
          <w:szCs w:val="21"/>
        </w:rPr>
      </w:pP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§6  </w:t>
      </w:r>
      <w:r w:rsidRPr="00473486">
        <w:rPr>
          <w:rFonts w:eastAsiaTheme="minorEastAsia"/>
          <w:color w:val="000000" w:themeColor="text1"/>
          <w:kern w:val="0"/>
          <w:sz w:val="24"/>
          <w:szCs w:val="24"/>
        </w:rPr>
        <w:t>开放式基金份额变动</w:t>
      </w:r>
    </w:p>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单位：份</w:t>
      </w:r>
    </w:p>
    <w:tbl>
      <w:tblPr>
        <w:tblW w:w="8634" w:type="dxa"/>
        <w:tblInd w:w="-106" w:type="dxa"/>
        <w:tblLayout w:type="fixed"/>
        <w:tblLook w:val="04A0" w:firstRow="1" w:lastRow="0" w:firstColumn="1" w:lastColumn="0" w:noHBand="0" w:noVBand="1"/>
      </w:tblPr>
      <w:tblGrid>
        <w:gridCol w:w="4609"/>
        <w:gridCol w:w="4025"/>
      </w:tblGrid>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983,359,000.00</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489,000,000.00</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186,000,000.00</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1,286,359,000.00</w:t>
            </w:r>
          </w:p>
        </w:tc>
      </w:tr>
    </w:tbl>
    <w:p w:rsidR="00881A82" w:rsidRPr="00473486" w:rsidRDefault="007D1E3A">
      <w:pPr>
        <w:pStyle w:val="1"/>
        <w:tabs>
          <w:tab w:val="center" w:pos="4156"/>
          <w:tab w:val="right" w:pos="8312"/>
        </w:tabs>
        <w:spacing w:beforeLines="100" w:before="312" w:afterLines="100" w:after="312" w:line="360" w:lineRule="auto"/>
        <w:jc w:val="center"/>
        <w:rPr>
          <w:color w:val="000000" w:themeColor="text1"/>
          <w:sz w:val="24"/>
          <w:szCs w:val="24"/>
        </w:rPr>
      </w:pPr>
      <w:r w:rsidRPr="00473486">
        <w:rPr>
          <w:rFonts w:eastAsiaTheme="minorEastAsia"/>
          <w:color w:val="000000" w:themeColor="text1"/>
          <w:kern w:val="0"/>
          <w:sz w:val="24"/>
          <w:szCs w:val="24"/>
        </w:rPr>
        <w:t xml:space="preserve">§7  </w:t>
      </w:r>
      <w:r w:rsidRPr="00473486">
        <w:rPr>
          <w:color w:val="000000" w:themeColor="text1"/>
          <w:sz w:val="24"/>
          <w:szCs w:val="24"/>
        </w:rPr>
        <w:t>基金管理人运用固有资金投资本基金情况</w:t>
      </w:r>
    </w:p>
    <w:p w:rsidR="00881A82" w:rsidRPr="00473486" w:rsidRDefault="007D1E3A">
      <w:pPr>
        <w:spacing w:line="360" w:lineRule="auto"/>
        <w:jc w:val="left"/>
        <w:rPr>
          <w:color w:val="000000" w:themeColor="text1"/>
          <w:sz w:val="24"/>
        </w:rPr>
      </w:pPr>
      <w:r w:rsidRPr="00473486">
        <w:rPr>
          <w:b/>
          <w:color w:val="000000" w:themeColor="text1"/>
          <w:sz w:val="24"/>
        </w:rPr>
        <w:t xml:space="preserve">7.1 </w:t>
      </w:r>
      <w:r w:rsidRPr="00473486">
        <w:rPr>
          <w:b/>
          <w:color w:val="000000" w:themeColor="text1"/>
          <w:sz w:val="24"/>
        </w:rPr>
        <w:t>基金管理人持有本基金份额变动情况</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无。</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spacing w:line="360" w:lineRule="auto"/>
        <w:jc w:val="left"/>
        <w:rPr>
          <w:color w:val="000000" w:themeColor="text1"/>
          <w:sz w:val="24"/>
        </w:rPr>
      </w:pPr>
      <w:r w:rsidRPr="00473486">
        <w:rPr>
          <w:b/>
          <w:color w:val="000000" w:themeColor="text1"/>
          <w:sz w:val="24"/>
        </w:rPr>
        <w:t xml:space="preserve">7.2 </w:t>
      </w:r>
      <w:r w:rsidRPr="00473486">
        <w:rPr>
          <w:b/>
          <w:color w:val="000000" w:themeColor="text1"/>
          <w:sz w:val="24"/>
        </w:rPr>
        <w:t>基金管理人运用固有资金投资本基金交易明细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无。</w:t>
      </w: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§8</w:t>
      </w:r>
      <w:r w:rsidRPr="00473486">
        <w:rPr>
          <w:rFonts w:eastAsiaTheme="minorEastAsia"/>
          <w:color w:val="000000" w:themeColor="text1"/>
          <w:kern w:val="0"/>
          <w:sz w:val="24"/>
          <w:szCs w:val="24"/>
        </w:rPr>
        <w:t>备查文件目录</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 xml:space="preserve">8.1 </w:t>
      </w:r>
      <w:r w:rsidRPr="00473486">
        <w:rPr>
          <w:rFonts w:eastAsiaTheme="minorEastAsia"/>
          <w:b/>
          <w:color w:val="000000" w:themeColor="text1"/>
          <w:sz w:val="24"/>
        </w:rPr>
        <w:t>备查文件目录</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摩根标普港股通低波红利交易型开放式指数证券投资基金基金合同</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摩根标普港股通低波红利交易型开放式指数证券投资基金托管协议</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A4605A" w:rsidRDefault="00E455A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w:t>
      </w:r>
      <w:r w:rsidRPr="00473486">
        <w:rPr>
          <w:rFonts w:eastAsiaTheme="minorEastAsia"/>
          <w:color w:val="000000" w:themeColor="text1"/>
          <w:szCs w:val="21"/>
        </w:rPr>
        <w:t>八</w:t>
      </w:r>
      <w:r w:rsidRPr="00473486">
        <w:rPr>
          <w:rFonts w:eastAsiaTheme="minorEastAsia"/>
          <w:color w:val="000000" w:themeColor="text1"/>
          <w:szCs w:val="21"/>
        </w:rPr>
        <w:t>)</w:t>
      </w:r>
      <w:r w:rsidRPr="00473486">
        <w:rPr>
          <w:rFonts w:eastAsiaTheme="minorEastAsia"/>
          <w:color w:val="000000" w:themeColor="text1"/>
          <w:szCs w:val="21"/>
        </w:rPr>
        <w:t>中国证监会要求的其他文件</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 xml:space="preserve">8.2 </w:t>
      </w:r>
      <w:r w:rsidRPr="00473486">
        <w:rPr>
          <w:rFonts w:eastAsiaTheme="minorEastAsia"/>
          <w:b/>
          <w:color w:val="000000" w:themeColor="text1"/>
          <w:sz w:val="24"/>
        </w:rPr>
        <w:t>存放地点</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基金管理人或基金托管人处。</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 xml:space="preserve">8.3 </w:t>
      </w:r>
      <w:r w:rsidRPr="00473486">
        <w:rPr>
          <w:rFonts w:eastAsiaTheme="minorEastAsia"/>
          <w:b/>
          <w:color w:val="000000" w:themeColor="text1"/>
          <w:sz w:val="24"/>
        </w:rPr>
        <w:t>查阅方式</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投资者可在营业时间免费查阅，也可按工本费购买复印件。</w:t>
      </w: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7D1E3A">
      <w:pPr>
        <w:spacing w:line="360" w:lineRule="auto"/>
        <w:jc w:val="right"/>
        <w:rPr>
          <w:rFonts w:eastAsiaTheme="minorEastAsia"/>
          <w:b/>
          <w:bCs/>
          <w:color w:val="000000" w:themeColor="text1"/>
          <w:sz w:val="24"/>
        </w:rPr>
      </w:pPr>
      <w:r w:rsidRPr="00473486">
        <w:rPr>
          <w:rFonts w:eastAsiaTheme="minorEastAsia"/>
          <w:b/>
          <w:bCs/>
          <w:color w:val="000000" w:themeColor="text1"/>
          <w:sz w:val="24"/>
        </w:rPr>
        <w:t>摩根基金管理（中国）有限公司</w:t>
      </w:r>
    </w:p>
    <w:p w:rsidR="00881A82" w:rsidRPr="00473486" w:rsidRDefault="007D1E3A">
      <w:pPr>
        <w:spacing w:line="360" w:lineRule="auto"/>
        <w:jc w:val="right"/>
        <w:rPr>
          <w:rFonts w:eastAsiaTheme="minorEastAsia"/>
          <w:b/>
          <w:bCs/>
          <w:color w:val="000000" w:themeColor="text1"/>
          <w:sz w:val="24"/>
        </w:rPr>
      </w:pPr>
      <w:r w:rsidRPr="00473486">
        <w:rPr>
          <w:rFonts w:eastAsiaTheme="minorEastAsia"/>
          <w:b/>
          <w:bCs/>
          <w:color w:val="000000" w:themeColor="text1"/>
          <w:sz w:val="24"/>
        </w:rPr>
        <w:t>二〇二四年四月二十二日</w:t>
      </w:r>
    </w:p>
    <w:p w:rsidR="00881A82" w:rsidRPr="00473486" w:rsidRDefault="00881A82">
      <w:pPr>
        <w:spacing w:line="360" w:lineRule="auto"/>
        <w:ind w:firstLineChars="900" w:firstLine="2168"/>
        <w:rPr>
          <w:rFonts w:eastAsiaTheme="minorEastAsia"/>
          <w:b/>
          <w:color w:val="000000" w:themeColor="text1"/>
          <w:sz w:val="24"/>
        </w:rPr>
      </w:pPr>
    </w:p>
    <w:sectPr w:rsidR="00881A82" w:rsidRPr="00473486">
      <w:footerReference w:type="even"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DF" w:rsidRDefault="007F3EDF">
      <w:r>
        <w:separator/>
      </w:r>
    </w:p>
  </w:endnote>
  <w:endnote w:type="continuationSeparator" w:id="0">
    <w:p w:rsidR="007F3EDF" w:rsidRDefault="007F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24DC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24DCD">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81A82" w:rsidRDefault="00881A82">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24DCD">
      <w:rPr>
        <w:rStyle w:val="af5"/>
        <w:noProof/>
      </w:rPr>
      <w:t>2</w:t>
    </w:r>
    <w:r>
      <w:rPr>
        <w:rStyle w:val="af5"/>
      </w:rPr>
      <w:fldChar w:fldCharType="end"/>
    </w:r>
  </w:p>
  <w:p w:rsidR="00881A82" w:rsidRDefault="00881A8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DF" w:rsidRDefault="007F3EDF">
      <w:r>
        <w:separator/>
      </w:r>
    </w:p>
  </w:footnote>
  <w:footnote w:type="continuationSeparator" w:id="0">
    <w:p w:rsidR="007F3EDF" w:rsidRDefault="007F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f"/>
      <w:pBdr>
        <w:bottom w:val="single" w:sz="6" w:space="0" w:color="auto"/>
      </w:pBdr>
      <w:jc w:val="right"/>
    </w:pPr>
    <w:r>
      <w:t>摩根标普港股通低波红利交易型开放式指数证券投资基金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09DA"/>
    <w:rsid w:val="000020BB"/>
    <w:rsid w:val="0000403B"/>
    <w:rsid w:val="00005911"/>
    <w:rsid w:val="00010A83"/>
    <w:rsid w:val="00010A8E"/>
    <w:rsid w:val="00010AC3"/>
    <w:rsid w:val="000115A7"/>
    <w:rsid w:val="00011EB5"/>
    <w:rsid w:val="0001280C"/>
    <w:rsid w:val="00017581"/>
    <w:rsid w:val="00020583"/>
    <w:rsid w:val="00021DD4"/>
    <w:rsid w:val="00023BE7"/>
    <w:rsid w:val="00037FCF"/>
    <w:rsid w:val="000421B8"/>
    <w:rsid w:val="000433E8"/>
    <w:rsid w:val="00043ABF"/>
    <w:rsid w:val="000445E4"/>
    <w:rsid w:val="00045BEC"/>
    <w:rsid w:val="000510AB"/>
    <w:rsid w:val="00055AF1"/>
    <w:rsid w:val="000625A6"/>
    <w:rsid w:val="00064AE3"/>
    <w:rsid w:val="00066524"/>
    <w:rsid w:val="00070CD1"/>
    <w:rsid w:val="0007171B"/>
    <w:rsid w:val="00072E4F"/>
    <w:rsid w:val="00074E9F"/>
    <w:rsid w:val="0007721B"/>
    <w:rsid w:val="00081D05"/>
    <w:rsid w:val="000820A8"/>
    <w:rsid w:val="00084EE5"/>
    <w:rsid w:val="00087CF7"/>
    <w:rsid w:val="00091560"/>
    <w:rsid w:val="00093160"/>
    <w:rsid w:val="00094876"/>
    <w:rsid w:val="00095912"/>
    <w:rsid w:val="00095CE0"/>
    <w:rsid w:val="00096933"/>
    <w:rsid w:val="00097230"/>
    <w:rsid w:val="0009778D"/>
    <w:rsid w:val="000A0010"/>
    <w:rsid w:val="000A457E"/>
    <w:rsid w:val="000A53FD"/>
    <w:rsid w:val="000A549A"/>
    <w:rsid w:val="000A5F96"/>
    <w:rsid w:val="000A72F2"/>
    <w:rsid w:val="000B0C56"/>
    <w:rsid w:val="000B3E43"/>
    <w:rsid w:val="000B5CC0"/>
    <w:rsid w:val="000C1723"/>
    <w:rsid w:val="000C1B20"/>
    <w:rsid w:val="000C4107"/>
    <w:rsid w:val="000C45E7"/>
    <w:rsid w:val="000D01F4"/>
    <w:rsid w:val="000D1519"/>
    <w:rsid w:val="000D1C87"/>
    <w:rsid w:val="000E4456"/>
    <w:rsid w:val="000F175F"/>
    <w:rsid w:val="000F17D1"/>
    <w:rsid w:val="000F60FF"/>
    <w:rsid w:val="000F635F"/>
    <w:rsid w:val="000F6C61"/>
    <w:rsid w:val="00100C12"/>
    <w:rsid w:val="00101DBA"/>
    <w:rsid w:val="001049B6"/>
    <w:rsid w:val="001051C6"/>
    <w:rsid w:val="0011177A"/>
    <w:rsid w:val="00112E9B"/>
    <w:rsid w:val="00116E31"/>
    <w:rsid w:val="00122A26"/>
    <w:rsid w:val="0012304E"/>
    <w:rsid w:val="001248EF"/>
    <w:rsid w:val="001257C7"/>
    <w:rsid w:val="00126DDF"/>
    <w:rsid w:val="001270BF"/>
    <w:rsid w:val="00127BAC"/>
    <w:rsid w:val="00131D06"/>
    <w:rsid w:val="0013360F"/>
    <w:rsid w:val="00141121"/>
    <w:rsid w:val="00142A56"/>
    <w:rsid w:val="00144DF5"/>
    <w:rsid w:val="00145A97"/>
    <w:rsid w:val="00146485"/>
    <w:rsid w:val="00150AD6"/>
    <w:rsid w:val="00153B40"/>
    <w:rsid w:val="00154ADA"/>
    <w:rsid w:val="0015531A"/>
    <w:rsid w:val="001600E8"/>
    <w:rsid w:val="00162BD7"/>
    <w:rsid w:val="00163B27"/>
    <w:rsid w:val="00165317"/>
    <w:rsid w:val="00171BAD"/>
    <w:rsid w:val="00172410"/>
    <w:rsid w:val="001744B4"/>
    <w:rsid w:val="001756A1"/>
    <w:rsid w:val="001761EE"/>
    <w:rsid w:val="00176EAA"/>
    <w:rsid w:val="0017725A"/>
    <w:rsid w:val="001775F7"/>
    <w:rsid w:val="001779ED"/>
    <w:rsid w:val="00177C4B"/>
    <w:rsid w:val="00180E68"/>
    <w:rsid w:val="0018325A"/>
    <w:rsid w:val="00186199"/>
    <w:rsid w:val="001928F7"/>
    <w:rsid w:val="00194537"/>
    <w:rsid w:val="0019563C"/>
    <w:rsid w:val="00195F18"/>
    <w:rsid w:val="001A21A9"/>
    <w:rsid w:val="001A59D8"/>
    <w:rsid w:val="001A5FA6"/>
    <w:rsid w:val="001A6A3B"/>
    <w:rsid w:val="001A6F8A"/>
    <w:rsid w:val="001A7FF1"/>
    <w:rsid w:val="001B2F0C"/>
    <w:rsid w:val="001C37F6"/>
    <w:rsid w:val="001C6288"/>
    <w:rsid w:val="001D0F6A"/>
    <w:rsid w:val="001D21BC"/>
    <w:rsid w:val="001D2FA5"/>
    <w:rsid w:val="001D35E0"/>
    <w:rsid w:val="001D3711"/>
    <w:rsid w:val="001D3CDF"/>
    <w:rsid w:val="001D5045"/>
    <w:rsid w:val="001D5A44"/>
    <w:rsid w:val="001D724B"/>
    <w:rsid w:val="001E11D3"/>
    <w:rsid w:val="001E2A6A"/>
    <w:rsid w:val="001E3DC2"/>
    <w:rsid w:val="001E56FF"/>
    <w:rsid w:val="001E5C6B"/>
    <w:rsid w:val="001F03E1"/>
    <w:rsid w:val="001F3CC6"/>
    <w:rsid w:val="001F4530"/>
    <w:rsid w:val="001F5265"/>
    <w:rsid w:val="002010DE"/>
    <w:rsid w:val="00202885"/>
    <w:rsid w:val="00202968"/>
    <w:rsid w:val="00202C32"/>
    <w:rsid w:val="00203AEF"/>
    <w:rsid w:val="00211A26"/>
    <w:rsid w:val="002125F7"/>
    <w:rsid w:val="002141B6"/>
    <w:rsid w:val="00214463"/>
    <w:rsid w:val="00214756"/>
    <w:rsid w:val="00215CF2"/>
    <w:rsid w:val="00217171"/>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BE3"/>
    <w:rsid w:val="0025158D"/>
    <w:rsid w:val="0025281A"/>
    <w:rsid w:val="00253D3C"/>
    <w:rsid w:val="00255292"/>
    <w:rsid w:val="00260200"/>
    <w:rsid w:val="00263563"/>
    <w:rsid w:val="002648D8"/>
    <w:rsid w:val="00267B74"/>
    <w:rsid w:val="00270548"/>
    <w:rsid w:val="00273F86"/>
    <w:rsid w:val="002774F0"/>
    <w:rsid w:val="00283272"/>
    <w:rsid w:val="0028459B"/>
    <w:rsid w:val="00284C5F"/>
    <w:rsid w:val="002873F0"/>
    <w:rsid w:val="00287AC3"/>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1726"/>
    <w:rsid w:val="002C21A6"/>
    <w:rsid w:val="002C2610"/>
    <w:rsid w:val="002C26D5"/>
    <w:rsid w:val="002C5777"/>
    <w:rsid w:val="002D32E3"/>
    <w:rsid w:val="002E0FEB"/>
    <w:rsid w:val="002E300D"/>
    <w:rsid w:val="002F0F79"/>
    <w:rsid w:val="002F1CC8"/>
    <w:rsid w:val="002F280E"/>
    <w:rsid w:val="002F3709"/>
    <w:rsid w:val="002F3A6C"/>
    <w:rsid w:val="002F4296"/>
    <w:rsid w:val="00300951"/>
    <w:rsid w:val="003023C9"/>
    <w:rsid w:val="00302CA8"/>
    <w:rsid w:val="00302DE9"/>
    <w:rsid w:val="00305084"/>
    <w:rsid w:val="00310086"/>
    <w:rsid w:val="00312FE8"/>
    <w:rsid w:val="0031358C"/>
    <w:rsid w:val="00313AE2"/>
    <w:rsid w:val="0031630D"/>
    <w:rsid w:val="003204E9"/>
    <w:rsid w:val="00321690"/>
    <w:rsid w:val="00321E8C"/>
    <w:rsid w:val="00322A86"/>
    <w:rsid w:val="00323AE8"/>
    <w:rsid w:val="00324548"/>
    <w:rsid w:val="003251F4"/>
    <w:rsid w:val="003303E3"/>
    <w:rsid w:val="00331FA4"/>
    <w:rsid w:val="003329EA"/>
    <w:rsid w:val="003347EF"/>
    <w:rsid w:val="00337293"/>
    <w:rsid w:val="003407A5"/>
    <w:rsid w:val="00341188"/>
    <w:rsid w:val="0034147B"/>
    <w:rsid w:val="00343F87"/>
    <w:rsid w:val="00345AA8"/>
    <w:rsid w:val="00350238"/>
    <w:rsid w:val="0035109C"/>
    <w:rsid w:val="00351F0A"/>
    <w:rsid w:val="0035432B"/>
    <w:rsid w:val="00357172"/>
    <w:rsid w:val="003613A8"/>
    <w:rsid w:val="00361E7E"/>
    <w:rsid w:val="0036360E"/>
    <w:rsid w:val="00364504"/>
    <w:rsid w:val="003666D2"/>
    <w:rsid w:val="00370AA4"/>
    <w:rsid w:val="00371FF4"/>
    <w:rsid w:val="00376C39"/>
    <w:rsid w:val="00377520"/>
    <w:rsid w:val="00380D36"/>
    <w:rsid w:val="003822D3"/>
    <w:rsid w:val="003834E0"/>
    <w:rsid w:val="00386630"/>
    <w:rsid w:val="00390B25"/>
    <w:rsid w:val="00397156"/>
    <w:rsid w:val="00397960"/>
    <w:rsid w:val="003A0A94"/>
    <w:rsid w:val="003A3BC4"/>
    <w:rsid w:val="003A458A"/>
    <w:rsid w:val="003B2DA8"/>
    <w:rsid w:val="003B2F13"/>
    <w:rsid w:val="003B405E"/>
    <w:rsid w:val="003B57D3"/>
    <w:rsid w:val="003C1A49"/>
    <w:rsid w:val="003C1F58"/>
    <w:rsid w:val="003C6C58"/>
    <w:rsid w:val="003C792F"/>
    <w:rsid w:val="003D124B"/>
    <w:rsid w:val="003D18F3"/>
    <w:rsid w:val="003D78B5"/>
    <w:rsid w:val="003D7922"/>
    <w:rsid w:val="003E244F"/>
    <w:rsid w:val="003E62A6"/>
    <w:rsid w:val="003E695F"/>
    <w:rsid w:val="003E6C9B"/>
    <w:rsid w:val="003E709C"/>
    <w:rsid w:val="003E712B"/>
    <w:rsid w:val="003E7B89"/>
    <w:rsid w:val="003F4241"/>
    <w:rsid w:val="003F7040"/>
    <w:rsid w:val="003F7C45"/>
    <w:rsid w:val="0040132C"/>
    <w:rsid w:val="00405085"/>
    <w:rsid w:val="004066FC"/>
    <w:rsid w:val="00407C10"/>
    <w:rsid w:val="004113B4"/>
    <w:rsid w:val="00413689"/>
    <w:rsid w:val="004143D6"/>
    <w:rsid w:val="00414827"/>
    <w:rsid w:val="00416C10"/>
    <w:rsid w:val="00420355"/>
    <w:rsid w:val="00424EF3"/>
    <w:rsid w:val="004268BB"/>
    <w:rsid w:val="00431047"/>
    <w:rsid w:val="004318F0"/>
    <w:rsid w:val="00431B86"/>
    <w:rsid w:val="00435368"/>
    <w:rsid w:val="004408EC"/>
    <w:rsid w:val="004419E2"/>
    <w:rsid w:val="00441E6A"/>
    <w:rsid w:val="0044398D"/>
    <w:rsid w:val="00443C8F"/>
    <w:rsid w:val="00452481"/>
    <w:rsid w:val="00455317"/>
    <w:rsid w:val="004575E9"/>
    <w:rsid w:val="004576F2"/>
    <w:rsid w:val="00457804"/>
    <w:rsid w:val="004646BF"/>
    <w:rsid w:val="00464744"/>
    <w:rsid w:val="004665E3"/>
    <w:rsid w:val="00467683"/>
    <w:rsid w:val="004731F1"/>
    <w:rsid w:val="00473486"/>
    <w:rsid w:val="00480BC8"/>
    <w:rsid w:val="00481265"/>
    <w:rsid w:val="004814BF"/>
    <w:rsid w:val="004845B9"/>
    <w:rsid w:val="0048587E"/>
    <w:rsid w:val="00486CB7"/>
    <w:rsid w:val="00487C2B"/>
    <w:rsid w:val="0049297D"/>
    <w:rsid w:val="004929F2"/>
    <w:rsid w:val="00495A03"/>
    <w:rsid w:val="004967FC"/>
    <w:rsid w:val="00497079"/>
    <w:rsid w:val="004A00BD"/>
    <w:rsid w:val="004A1BBA"/>
    <w:rsid w:val="004A3E3C"/>
    <w:rsid w:val="004B0E6D"/>
    <w:rsid w:val="004B16E8"/>
    <w:rsid w:val="004B2015"/>
    <w:rsid w:val="004B2DB9"/>
    <w:rsid w:val="004B5E54"/>
    <w:rsid w:val="004B6250"/>
    <w:rsid w:val="004B76B1"/>
    <w:rsid w:val="004C0057"/>
    <w:rsid w:val="004C03A7"/>
    <w:rsid w:val="004C0541"/>
    <w:rsid w:val="004C2C46"/>
    <w:rsid w:val="004C5189"/>
    <w:rsid w:val="004C7235"/>
    <w:rsid w:val="004C7955"/>
    <w:rsid w:val="004D047F"/>
    <w:rsid w:val="004D1A45"/>
    <w:rsid w:val="004D3D96"/>
    <w:rsid w:val="004D417D"/>
    <w:rsid w:val="004D650F"/>
    <w:rsid w:val="004E2133"/>
    <w:rsid w:val="004E5AB9"/>
    <w:rsid w:val="004E60FB"/>
    <w:rsid w:val="004F4EA9"/>
    <w:rsid w:val="004F759F"/>
    <w:rsid w:val="004F779C"/>
    <w:rsid w:val="004F7846"/>
    <w:rsid w:val="004F7A0E"/>
    <w:rsid w:val="005000D4"/>
    <w:rsid w:val="00500F1D"/>
    <w:rsid w:val="00504285"/>
    <w:rsid w:val="00504432"/>
    <w:rsid w:val="00505EE0"/>
    <w:rsid w:val="0050638D"/>
    <w:rsid w:val="00510CAF"/>
    <w:rsid w:val="00511B6A"/>
    <w:rsid w:val="005128C5"/>
    <w:rsid w:val="00514754"/>
    <w:rsid w:val="0051478B"/>
    <w:rsid w:val="0051566A"/>
    <w:rsid w:val="00515D7B"/>
    <w:rsid w:val="005166E9"/>
    <w:rsid w:val="0052009E"/>
    <w:rsid w:val="00521065"/>
    <w:rsid w:val="00525E59"/>
    <w:rsid w:val="005318CC"/>
    <w:rsid w:val="00531D1B"/>
    <w:rsid w:val="005349B1"/>
    <w:rsid w:val="005374BC"/>
    <w:rsid w:val="00543188"/>
    <w:rsid w:val="00543367"/>
    <w:rsid w:val="00543BFA"/>
    <w:rsid w:val="00547D9C"/>
    <w:rsid w:val="00547DA1"/>
    <w:rsid w:val="00551CED"/>
    <w:rsid w:val="00554EAB"/>
    <w:rsid w:val="0055513C"/>
    <w:rsid w:val="00560ABC"/>
    <w:rsid w:val="00560C94"/>
    <w:rsid w:val="0056291C"/>
    <w:rsid w:val="00565A63"/>
    <w:rsid w:val="00566588"/>
    <w:rsid w:val="00570B1A"/>
    <w:rsid w:val="00572736"/>
    <w:rsid w:val="0057275D"/>
    <w:rsid w:val="00577214"/>
    <w:rsid w:val="005800A9"/>
    <w:rsid w:val="00580488"/>
    <w:rsid w:val="0058074D"/>
    <w:rsid w:val="00580FD1"/>
    <w:rsid w:val="00582FAD"/>
    <w:rsid w:val="00583489"/>
    <w:rsid w:val="00583A98"/>
    <w:rsid w:val="005858C4"/>
    <w:rsid w:val="00590FE4"/>
    <w:rsid w:val="00591D9C"/>
    <w:rsid w:val="00597057"/>
    <w:rsid w:val="00597D8B"/>
    <w:rsid w:val="005A1C30"/>
    <w:rsid w:val="005A1C43"/>
    <w:rsid w:val="005A2DCB"/>
    <w:rsid w:val="005A3295"/>
    <w:rsid w:val="005A46FF"/>
    <w:rsid w:val="005B011E"/>
    <w:rsid w:val="005B1C7D"/>
    <w:rsid w:val="005B1DEC"/>
    <w:rsid w:val="005B2E84"/>
    <w:rsid w:val="005B7B0E"/>
    <w:rsid w:val="005C0A04"/>
    <w:rsid w:val="005C5409"/>
    <w:rsid w:val="005C69AC"/>
    <w:rsid w:val="005C722E"/>
    <w:rsid w:val="005D01A4"/>
    <w:rsid w:val="005D14DE"/>
    <w:rsid w:val="005D3F12"/>
    <w:rsid w:val="005D44E4"/>
    <w:rsid w:val="005D45B3"/>
    <w:rsid w:val="005D4CEB"/>
    <w:rsid w:val="005E491F"/>
    <w:rsid w:val="005E58CE"/>
    <w:rsid w:val="005E59E9"/>
    <w:rsid w:val="005F04E6"/>
    <w:rsid w:val="005F43B9"/>
    <w:rsid w:val="005F68CB"/>
    <w:rsid w:val="005F6A4A"/>
    <w:rsid w:val="00602154"/>
    <w:rsid w:val="006033E3"/>
    <w:rsid w:val="006054E4"/>
    <w:rsid w:val="0061321C"/>
    <w:rsid w:val="00620DB0"/>
    <w:rsid w:val="0062386E"/>
    <w:rsid w:val="00623D9A"/>
    <w:rsid w:val="00623F01"/>
    <w:rsid w:val="006242FB"/>
    <w:rsid w:val="00624E5B"/>
    <w:rsid w:val="00626E2D"/>
    <w:rsid w:val="00627D94"/>
    <w:rsid w:val="00630B42"/>
    <w:rsid w:val="00636CDE"/>
    <w:rsid w:val="00637BA7"/>
    <w:rsid w:val="00642072"/>
    <w:rsid w:val="00643330"/>
    <w:rsid w:val="006440ED"/>
    <w:rsid w:val="00645293"/>
    <w:rsid w:val="00651B78"/>
    <w:rsid w:val="00652263"/>
    <w:rsid w:val="00652881"/>
    <w:rsid w:val="00652DDE"/>
    <w:rsid w:val="0065417D"/>
    <w:rsid w:val="00661974"/>
    <w:rsid w:val="00664551"/>
    <w:rsid w:val="00664E44"/>
    <w:rsid w:val="00665677"/>
    <w:rsid w:val="0066704D"/>
    <w:rsid w:val="006676A0"/>
    <w:rsid w:val="00670857"/>
    <w:rsid w:val="00671124"/>
    <w:rsid w:val="006727B0"/>
    <w:rsid w:val="0067307E"/>
    <w:rsid w:val="00677AC6"/>
    <w:rsid w:val="00687AD5"/>
    <w:rsid w:val="00691AFA"/>
    <w:rsid w:val="0069335C"/>
    <w:rsid w:val="00695251"/>
    <w:rsid w:val="00695ADE"/>
    <w:rsid w:val="00695C0D"/>
    <w:rsid w:val="00696356"/>
    <w:rsid w:val="006A72C6"/>
    <w:rsid w:val="006B02DA"/>
    <w:rsid w:val="006B2065"/>
    <w:rsid w:val="006B3940"/>
    <w:rsid w:val="006B6C3A"/>
    <w:rsid w:val="006C168D"/>
    <w:rsid w:val="006C1D5C"/>
    <w:rsid w:val="006C3C80"/>
    <w:rsid w:val="006C3F43"/>
    <w:rsid w:val="006C642C"/>
    <w:rsid w:val="006C6FC6"/>
    <w:rsid w:val="006D6A40"/>
    <w:rsid w:val="006D7693"/>
    <w:rsid w:val="006E231B"/>
    <w:rsid w:val="006E346E"/>
    <w:rsid w:val="006E34B7"/>
    <w:rsid w:val="006F0F87"/>
    <w:rsid w:val="006F2F3E"/>
    <w:rsid w:val="006F4CD8"/>
    <w:rsid w:val="006F53D9"/>
    <w:rsid w:val="006F6A94"/>
    <w:rsid w:val="007004DC"/>
    <w:rsid w:val="00701575"/>
    <w:rsid w:val="00703E8A"/>
    <w:rsid w:val="00711522"/>
    <w:rsid w:val="007124FE"/>
    <w:rsid w:val="00713186"/>
    <w:rsid w:val="00713757"/>
    <w:rsid w:val="0071379B"/>
    <w:rsid w:val="0071497D"/>
    <w:rsid w:val="00717772"/>
    <w:rsid w:val="00721AF1"/>
    <w:rsid w:val="0072280F"/>
    <w:rsid w:val="00722B5E"/>
    <w:rsid w:val="00723845"/>
    <w:rsid w:val="0072708F"/>
    <w:rsid w:val="00732D1D"/>
    <w:rsid w:val="00736034"/>
    <w:rsid w:val="0073681C"/>
    <w:rsid w:val="00741EBE"/>
    <w:rsid w:val="00746130"/>
    <w:rsid w:val="00746A40"/>
    <w:rsid w:val="007479DC"/>
    <w:rsid w:val="00750358"/>
    <w:rsid w:val="00755CDF"/>
    <w:rsid w:val="00757A4C"/>
    <w:rsid w:val="00760FFC"/>
    <w:rsid w:val="0076110A"/>
    <w:rsid w:val="00764A94"/>
    <w:rsid w:val="00764DC3"/>
    <w:rsid w:val="007651E5"/>
    <w:rsid w:val="007670DC"/>
    <w:rsid w:val="00767239"/>
    <w:rsid w:val="00770601"/>
    <w:rsid w:val="0077111A"/>
    <w:rsid w:val="00772272"/>
    <w:rsid w:val="007756ED"/>
    <w:rsid w:val="00777CC9"/>
    <w:rsid w:val="007869A0"/>
    <w:rsid w:val="00786A23"/>
    <w:rsid w:val="007870FC"/>
    <w:rsid w:val="00787CD0"/>
    <w:rsid w:val="00791053"/>
    <w:rsid w:val="00791A3A"/>
    <w:rsid w:val="00794196"/>
    <w:rsid w:val="00797637"/>
    <w:rsid w:val="00797D95"/>
    <w:rsid w:val="007A2E54"/>
    <w:rsid w:val="007A3680"/>
    <w:rsid w:val="007A59B8"/>
    <w:rsid w:val="007B2862"/>
    <w:rsid w:val="007B662A"/>
    <w:rsid w:val="007C1A93"/>
    <w:rsid w:val="007C751E"/>
    <w:rsid w:val="007D021A"/>
    <w:rsid w:val="007D1E3A"/>
    <w:rsid w:val="007D28C9"/>
    <w:rsid w:val="007D3CC8"/>
    <w:rsid w:val="007D62F9"/>
    <w:rsid w:val="007D63A4"/>
    <w:rsid w:val="007E1AA2"/>
    <w:rsid w:val="007E4C1F"/>
    <w:rsid w:val="007F0746"/>
    <w:rsid w:val="007F0759"/>
    <w:rsid w:val="007F25C0"/>
    <w:rsid w:val="007F3EDF"/>
    <w:rsid w:val="007F456A"/>
    <w:rsid w:val="007F4C9B"/>
    <w:rsid w:val="007F5F52"/>
    <w:rsid w:val="007F77C6"/>
    <w:rsid w:val="008003A1"/>
    <w:rsid w:val="008006B7"/>
    <w:rsid w:val="00800FDB"/>
    <w:rsid w:val="00802081"/>
    <w:rsid w:val="008020B5"/>
    <w:rsid w:val="008021E8"/>
    <w:rsid w:val="008034CF"/>
    <w:rsid w:val="008063D8"/>
    <w:rsid w:val="00806461"/>
    <w:rsid w:val="00806722"/>
    <w:rsid w:val="0081096D"/>
    <w:rsid w:val="00810EAD"/>
    <w:rsid w:val="00811833"/>
    <w:rsid w:val="008174D4"/>
    <w:rsid w:val="00820FE6"/>
    <w:rsid w:val="00821A66"/>
    <w:rsid w:val="00822476"/>
    <w:rsid w:val="00822882"/>
    <w:rsid w:val="00824CB2"/>
    <w:rsid w:val="00824DCD"/>
    <w:rsid w:val="00825F68"/>
    <w:rsid w:val="00835408"/>
    <w:rsid w:val="008359DA"/>
    <w:rsid w:val="00837CEF"/>
    <w:rsid w:val="00840035"/>
    <w:rsid w:val="00840220"/>
    <w:rsid w:val="008428A9"/>
    <w:rsid w:val="00844112"/>
    <w:rsid w:val="008456C9"/>
    <w:rsid w:val="0084611D"/>
    <w:rsid w:val="00847BEF"/>
    <w:rsid w:val="00847D9E"/>
    <w:rsid w:val="00850C62"/>
    <w:rsid w:val="00863011"/>
    <w:rsid w:val="00865075"/>
    <w:rsid w:val="0086748F"/>
    <w:rsid w:val="00872CE4"/>
    <w:rsid w:val="00874F4B"/>
    <w:rsid w:val="0087539B"/>
    <w:rsid w:val="00877B62"/>
    <w:rsid w:val="00880199"/>
    <w:rsid w:val="00881015"/>
    <w:rsid w:val="008810B0"/>
    <w:rsid w:val="008813D6"/>
    <w:rsid w:val="008819B6"/>
    <w:rsid w:val="00881A82"/>
    <w:rsid w:val="00881AAC"/>
    <w:rsid w:val="008836B7"/>
    <w:rsid w:val="008841D3"/>
    <w:rsid w:val="0088709F"/>
    <w:rsid w:val="00887DE6"/>
    <w:rsid w:val="00894C2A"/>
    <w:rsid w:val="00897708"/>
    <w:rsid w:val="00897D88"/>
    <w:rsid w:val="008A2F16"/>
    <w:rsid w:val="008B1823"/>
    <w:rsid w:val="008B203C"/>
    <w:rsid w:val="008B6E16"/>
    <w:rsid w:val="008B7110"/>
    <w:rsid w:val="008C2029"/>
    <w:rsid w:val="008C61D6"/>
    <w:rsid w:val="008C64F1"/>
    <w:rsid w:val="008D1531"/>
    <w:rsid w:val="008D1BB0"/>
    <w:rsid w:val="008D20FF"/>
    <w:rsid w:val="008D3DE6"/>
    <w:rsid w:val="008D4223"/>
    <w:rsid w:val="008D44CC"/>
    <w:rsid w:val="008D46E3"/>
    <w:rsid w:val="008D6709"/>
    <w:rsid w:val="008D7EF7"/>
    <w:rsid w:val="008E083A"/>
    <w:rsid w:val="008E1338"/>
    <w:rsid w:val="008E2450"/>
    <w:rsid w:val="008E7896"/>
    <w:rsid w:val="008F2477"/>
    <w:rsid w:val="008F2F2B"/>
    <w:rsid w:val="008F385C"/>
    <w:rsid w:val="008F3EF6"/>
    <w:rsid w:val="008F4AAB"/>
    <w:rsid w:val="008F60C5"/>
    <w:rsid w:val="009010F0"/>
    <w:rsid w:val="00901162"/>
    <w:rsid w:val="0090223A"/>
    <w:rsid w:val="009028E2"/>
    <w:rsid w:val="00914EAB"/>
    <w:rsid w:val="00916597"/>
    <w:rsid w:val="00922D49"/>
    <w:rsid w:val="009259CF"/>
    <w:rsid w:val="00925E37"/>
    <w:rsid w:val="00925EDD"/>
    <w:rsid w:val="00927D0E"/>
    <w:rsid w:val="009309DA"/>
    <w:rsid w:val="00936688"/>
    <w:rsid w:val="00937CFA"/>
    <w:rsid w:val="009406B3"/>
    <w:rsid w:val="00945CF5"/>
    <w:rsid w:val="009500A1"/>
    <w:rsid w:val="0095037E"/>
    <w:rsid w:val="0095267E"/>
    <w:rsid w:val="00952AAD"/>
    <w:rsid w:val="00954567"/>
    <w:rsid w:val="009547A9"/>
    <w:rsid w:val="009548FE"/>
    <w:rsid w:val="00956F0B"/>
    <w:rsid w:val="00957466"/>
    <w:rsid w:val="00957C7C"/>
    <w:rsid w:val="0096260B"/>
    <w:rsid w:val="009664D5"/>
    <w:rsid w:val="00970C69"/>
    <w:rsid w:val="00971DF7"/>
    <w:rsid w:val="00971F1C"/>
    <w:rsid w:val="0097211D"/>
    <w:rsid w:val="00972E10"/>
    <w:rsid w:val="009746CA"/>
    <w:rsid w:val="00974975"/>
    <w:rsid w:val="00974EA8"/>
    <w:rsid w:val="00981963"/>
    <w:rsid w:val="00983C82"/>
    <w:rsid w:val="00984520"/>
    <w:rsid w:val="0098545C"/>
    <w:rsid w:val="00992BA2"/>
    <w:rsid w:val="00992F83"/>
    <w:rsid w:val="0099508A"/>
    <w:rsid w:val="009974EB"/>
    <w:rsid w:val="009A037F"/>
    <w:rsid w:val="009A1126"/>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1EA4"/>
    <w:rsid w:val="009D27AA"/>
    <w:rsid w:val="009D38BA"/>
    <w:rsid w:val="009D4991"/>
    <w:rsid w:val="009D5BB5"/>
    <w:rsid w:val="009D696D"/>
    <w:rsid w:val="009D6ED2"/>
    <w:rsid w:val="009E0F1A"/>
    <w:rsid w:val="009E140D"/>
    <w:rsid w:val="009E348F"/>
    <w:rsid w:val="009E4465"/>
    <w:rsid w:val="009E6401"/>
    <w:rsid w:val="009E6C54"/>
    <w:rsid w:val="009F2261"/>
    <w:rsid w:val="009F2A25"/>
    <w:rsid w:val="009F4CB1"/>
    <w:rsid w:val="009F5235"/>
    <w:rsid w:val="009F531A"/>
    <w:rsid w:val="009F6550"/>
    <w:rsid w:val="009F786E"/>
    <w:rsid w:val="00A00902"/>
    <w:rsid w:val="00A039FF"/>
    <w:rsid w:val="00A05ACE"/>
    <w:rsid w:val="00A078CB"/>
    <w:rsid w:val="00A14AE3"/>
    <w:rsid w:val="00A16675"/>
    <w:rsid w:val="00A22CD6"/>
    <w:rsid w:val="00A234EC"/>
    <w:rsid w:val="00A2417A"/>
    <w:rsid w:val="00A26668"/>
    <w:rsid w:val="00A27804"/>
    <w:rsid w:val="00A348F0"/>
    <w:rsid w:val="00A36822"/>
    <w:rsid w:val="00A36AB5"/>
    <w:rsid w:val="00A411D1"/>
    <w:rsid w:val="00A428A4"/>
    <w:rsid w:val="00A42CE1"/>
    <w:rsid w:val="00A43389"/>
    <w:rsid w:val="00A43E71"/>
    <w:rsid w:val="00A45753"/>
    <w:rsid w:val="00A4605A"/>
    <w:rsid w:val="00A47B15"/>
    <w:rsid w:val="00A52F84"/>
    <w:rsid w:val="00A56B05"/>
    <w:rsid w:val="00A57678"/>
    <w:rsid w:val="00A60E2F"/>
    <w:rsid w:val="00A618F3"/>
    <w:rsid w:val="00A63284"/>
    <w:rsid w:val="00A64CB8"/>
    <w:rsid w:val="00A67018"/>
    <w:rsid w:val="00A672F3"/>
    <w:rsid w:val="00A673DC"/>
    <w:rsid w:val="00A7076E"/>
    <w:rsid w:val="00A709BE"/>
    <w:rsid w:val="00A7162E"/>
    <w:rsid w:val="00A7195A"/>
    <w:rsid w:val="00A72D71"/>
    <w:rsid w:val="00A75705"/>
    <w:rsid w:val="00A77C69"/>
    <w:rsid w:val="00A829DE"/>
    <w:rsid w:val="00A83953"/>
    <w:rsid w:val="00A85AF5"/>
    <w:rsid w:val="00A903B6"/>
    <w:rsid w:val="00A90F4F"/>
    <w:rsid w:val="00A92C40"/>
    <w:rsid w:val="00A947AA"/>
    <w:rsid w:val="00A968D2"/>
    <w:rsid w:val="00AA0AC5"/>
    <w:rsid w:val="00AA19FE"/>
    <w:rsid w:val="00AA1B53"/>
    <w:rsid w:val="00AA3556"/>
    <w:rsid w:val="00AA35FD"/>
    <w:rsid w:val="00AA3DB7"/>
    <w:rsid w:val="00AB3012"/>
    <w:rsid w:val="00AB321C"/>
    <w:rsid w:val="00AB5B99"/>
    <w:rsid w:val="00AB688F"/>
    <w:rsid w:val="00AB75EA"/>
    <w:rsid w:val="00AB7AA2"/>
    <w:rsid w:val="00AC44D9"/>
    <w:rsid w:val="00AC4BC1"/>
    <w:rsid w:val="00AD04BD"/>
    <w:rsid w:val="00AD25F6"/>
    <w:rsid w:val="00AD67CB"/>
    <w:rsid w:val="00AD7214"/>
    <w:rsid w:val="00AE1066"/>
    <w:rsid w:val="00AE4518"/>
    <w:rsid w:val="00AE5D7F"/>
    <w:rsid w:val="00AE79F0"/>
    <w:rsid w:val="00AF2DAE"/>
    <w:rsid w:val="00AF5585"/>
    <w:rsid w:val="00AF6EC1"/>
    <w:rsid w:val="00B00331"/>
    <w:rsid w:val="00B01A80"/>
    <w:rsid w:val="00B06D4D"/>
    <w:rsid w:val="00B07C27"/>
    <w:rsid w:val="00B10017"/>
    <w:rsid w:val="00B10DE1"/>
    <w:rsid w:val="00B10FF8"/>
    <w:rsid w:val="00B203C4"/>
    <w:rsid w:val="00B22E81"/>
    <w:rsid w:val="00B23996"/>
    <w:rsid w:val="00B23CB2"/>
    <w:rsid w:val="00B2561A"/>
    <w:rsid w:val="00B25A64"/>
    <w:rsid w:val="00B32AB3"/>
    <w:rsid w:val="00B34E7C"/>
    <w:rsid w:val="00B368EA"/>
    <w:rsid w:val="00B37EEF"/>
    <w:rsid w:val="00B51D20"/>
    <w:rsid w:val="00B5298E"/>
    <w:rsid w:val="00B54370"/>
    <w:rsid w:val="00B54B5F"/>
    <w:rsid w:val="00B55185"/>
    <w:rsid w:val="00B55BB5"/>
    <w:rsid w:val="00B60D38"/>
    <w:rsid w:val="00B61923"/>
    <w:rsid w:val="00B621D6"/>
    <w:rsid w:val="00B63EF5"/>
    <w:rsid w:val="00B65D6F"/>
    <w:rsid w:val="00B677E1"/>
    <w:rsid w:val="00B67C23"/>
    <w:rsid w:val="00B7090F"/>
    <w:rsid w:val="00B70DC7"/>
    <w:rsid w:val="00B73042"/>
    <w:rsid w:val="00B75283"/>
    <w:rsid w:val="00B75735"/>
    <w:rsid w:val="00B77142"/>
    <w:rsid w:val="00B80A2C"/>
    <w:rsid w:val="00B81F60"/>
    <w:rsid w:val="00B841AC"/>
    <w:rsid w:val="00B865B0"/>
    <w:rsid w:val="00B90780"/>
    <w:rsid w:val="00B91F9C"/>
    <w:rsid w:val="00B9240D"/>
    <w:rsid w:val="00BA22A8"/>
    <w:rsid w:val="00BA285B"/>
    <w:rsid w:val="00BA3E48"/>
    <w:rsid w:val="00BA4BD3"/>
    <w:rsid w:val="00BA7473"/>
    <w:rsid w:val="00BB0187"/>
    <w:rsid w:val="00BB1EB3"/>
    <w:rsid w:val="00BB22CA"/>
    <w:rsid w:val="00BB2678"/>
    <w:rsid w:val="00BC013A"/>
    <w:rsid w:val="00BC2343"/>
    <w:rsid w:val="00BC23F8"/>
    <w:rsid w:val="00BC56FA"/>
    <w:rsid w:val="00BD30C8"/>
    <w:rsid w:val="00BD3EB4"/>
    <w:rsid w:val="00BD5C65"/>
    <w:rsid w:val="00BD7DB4"/>
    <w:rsid w:val="00BE1A80"/>
    <w:rsid w:val="00BE2F07"/>
    <w:rsid w:val="00BE5751"/>
    <w:rsid w:val="00BE5CAB"/>
    <w:rsid w:val="00BE6018"/>
    <w:rsid w:val="00BF0F8F"/>
    <w:rsid w:val="00BF1F57"/>
    <w:rsid w:val="00BF4086"/>
    <w:rsid w:val="00BF426C"/>
    <w:rsid w:val="00BF47C9"/>
    <w:rsid w:val="00BF58D0"/>
    <w:rsid w:val="00BF7D6A"/>
    <w:rsid w:val="00C013E1"/>
    <w:rsid w:val="00C01611"/>
    <w:rsid w:val="00C02D59"/>
    <w:rsid w:val="00C030B6"/>
    <w:rsid w:val="00C03284"/>
    <w:rsid w:val="00C050D7"/>
    <w:rsid w:val="00C05B5F"/>
    <w:rsid w:val="00C104CC"/>
    <w:rsid w:val="00C152FE"/>
    <w:rsid w:val="00C16739"/>
    <w:rsid w:val="00C21C43"/>
    <w:rsid w:val="00C22C7D"/>
    <w:rsid w:val="00C22CCE"/>
    <w:rsid w:val="00C231D6"/>
    <w:rsid w:val="00C23BA2"/>
    <w:rsid w:val="00C32AF2"/>
    <w:rsid w:val="00C33204"/>
    <w:rsid w:val="00C338EB"/>
    <w:rsid w:val="00C3465D"/>
    <w:rsid w:val="00C379E9"/>
    <w:rsid w:val="00C439FB"/>
    <w:rsid w:val="00C43F23"/>
    <w:rsid w:val="00C47790"/>
    <w:rsid w:val="00C50011"/>
    <w:rsid w:val="00C5274B"/>
    <w:rsid w:val="00C55A77"/>
    <w:rsid w:val="00C645E6"/>
    <w:rsid w:val="00C64D82"/>
    <w:rsid w:val="00C64FBC"/>
    <w:rsid w:val="00C65A83"/>
    <w:rsid w:val="00C721F2"/>
    <w:rsid w:val="00C72C6F"/>
    <w:rsid w:val="00C75BB1"/>
    <w:rsid w:val="00C76CF1"/>
    <w:rsid w:val="00C80F23"/>
    <w:rsid w:val="00C81151"/>
    <w:rsid w:val="00C82CC6"/>
    <w:rsid w:val="00C8434E"/>
    <w:rsid w:val="00C850A3"/>
    <w:rsid w:val="00C85C32"/>
    <w:rsid w:val="00C87568"/>
    <w:rsid w:val="00C905A7"/>
    <w:rsid w:val="00C909E1"/>
    <w:rsid w:val="00C90DB6"/>
    <w:rsid w:val="00C9394F"/>
    <w:rsid w:val="00C93B1A"/>
    <w:rsid w:val="00C96A14"/>
    <w:rsid w:val="00C96F5F"/>
    <w:rsid w:val="00CA21B5"/>
    <w:rsid w:val="00CA5927"/>
    <w:rsid w:val="00CA79EC"/>
    <w:rsid w:val="00CB26A5"/>
    <w:rsid w:val="00CB39C2"/>
    <w:rsid w:val="00CB4664"/>
    <w:rsid w:val="00CB4C8C"/>
    <w:rsid w:val="00CB6782"/>
    <w:rsid w:val="00CC080A"/>
    <w:rsid w:val="00CC52E1"/>
    <w:rsid w:val="00CD319D"/>
    <w:rsid w:val="00CD6BC3"/>
    <w:rsid w:val="00CD72D0"/>
    <w:rsid w:val="00CE3519"/>
    <w:rsid w:val="00CE5277"/>
    <w:rsid w:val="00CE6358"/>
    <w:rsid w:val="00CF2D54"/>
    <w:rsid w:val="00CF3CDE"/>
    <w:rsid w:val="00CF6570"/>
    <w:rsid w:val="00D03538"/>
    <w:rsid w:val="00D049B8"/>
    <w:rsid w:val="00D0516C"/>
    <w:rsid w:val="00D05EE7"/>
    <w:rsid w:val="00D068D0"/>
    <w:rsid w:val="00D078D1"/>
    <w:rsid w:val="00D129A8"/>
    <w:rsid w:val="00D12FB9"/>
    <w:rsid w:val="00D148B5"/>
    <w:rsid w:val="00D200BD"/>
    <w:rsid w:val="00D22399"/>
    <w:rsid w:val="00D26460"/>
    <w:rsid w:val="00D33751"/>
    <w:rsid w:val="00D33924"/>
    <w:rsid w:val="00D36F6E"/>
    <w:rsid w:val="00D37343"/>
    <w:rsid w:val="00D4205E"/>
    <w:rsid w:val="00D42507"/>
    <w:rsid w:val="00D5574C"/>
    <w:rsid w:val="00D61982"/>
    <w:rsid w:val="00D6267A"/>
    <w:rsid w:val="00D67D12"/>
    <w:rsid w:val="00D7585A"/>
    <w:rsid w:val="00D80618"/>
    <w:rsid w:val="00D81A17"/>
    <w:rsid w:val="00D82494"/>
    <w:rsid w:val="00D84A4B"/>
    <w:rsid w:val="00D92168"/>
    <w:rsid w:val="00D940A9"/>
    <w:rsid w:val="00D940B5"/>
    <w:rsid w:val="00D95CB0"/>
    <w:rsid w:val="00D977C0"/>
    <w:rsid w:val="00DA00A3"/>
    <w:rsid w:val="00DA13F3"/>
    <w:rsid w:val="00DA2DE3"/>
    <w:rsid w:val="00DA7146"/>
    <w:rsid w:val="00DA716A"/>
    <w:rsid w:val="00DB1F4F"/>
    <w:rsid w:val="00DB37EE"/>
    <w:rsid w:val="00DB4450"/>
    <w:rsid w:val="00DB7895"/>
    <w:rsid w:val="00DB7B69"/>
    <w:rsid w:val="00DC02EC"/>
    <w:rsid w:val="00DC234A"/>
    <w:rsid w:val="00DC41E4"/>
    <w:rsid w:val="00DC5116"/>
    <w:rsid w:val="00DC77DD"/>
    <w:rsid w:val="00DC7C77"/>
    <w:rsid w:val="00DD2417"/>
    <w:rsid w:val="00DD7EA2"/>
    <w:rsid w:val="00DE00F2"/>
    <w:rsid w:val="00DE117F"/>
    <w:rsid w:val="00DE401C"/>
    <w:rsid w:val="00DE4CDE"/>
    <w:rsid w:val="00DF1ED6"/>
    <w:rsid w:val="00DF63FA"/>
    <w:rsid w:val="00E00A1C"/>
    <w:rsid w:val="00E012CC"/>
    <w:rsid w:val="00E02B71"/>
    <w:rsid w:val="00E02DEB"/>
    <w:rsid w:val="00E042A1"/>
    <w:rsid w:val="00E04CE6"/>
    <w:rsid w:val="00E104FA"/>
    <w:rsid w:val="00E1082A"/>
    <w:rsid w:val="00E11166"/>
    <w:rsid w:val="00E13182"/>
    <w:rsid w:val="00E15383"/>
    <w:rsid w:val="00E1738C"/>
    <w:rsid w:val="00E22D28"/>
    <w:rsid w:val="00E230E3"/>
    <w:rsid w:val="00E23611"/>
    <w:rsid w:val="00E25852"/>
    <w:rsid w:val="00E30EDF"/>
    <w:rsid w:val="00E31FBA"/>
    <w:rsid w:val="00E36AAE"/>
    <w:rsid w:val="00E41773"/>
    <w:rsid w:val="00E427F2"/>
    <w:rsid w:val="00E455A1"/>
    <w:rsid w:val="00E513F6"/>
    <w:rsid w:val="00E52F3B"/>
    <w:rsid w:val="00E53D94"/>
    <w:rsid w:val="00E53DEA"/>
    <w:rsid w:val="00E55A61"/>
    <w:rsid w:val="00E57F92"/>
    <w:rsid w:val="00E616DB"/>
    <w:rsid w:val="00E627A4"/>
    <w:rsid w:val="00E630ED"/>
    <w:rsid w:val="00E70C95"/>
    <w:rsid w:val="00E74EC5"/>
    <w:rsid w:val="00E75FDC"/>
    <w:rsid w:val="00E76B86"/>
    <w:rsid w:val="00E833B9"/>
    <w:rsid w:val="00E8342F"/>
    <w:rsid w:val="00E8375E"/>
    <w:rsid w:val="00E847A7"/>
    <w:rsid w:val="00E85F25"/>
    <w:rsid w:val="00E86E79"/>
    <w:rsid w:val="00E906B4"/>
    <w:rsid w:val="00E9095B"/>
    <w:rsid w:val="00E926B8"/>
    <w:rsid w:val="00E92E98"/>
    <w:rsid w:val="00E9399B"/>
    <w:rsid w:val="00E94008"/>
    <w:rsid w:val="00E94762"/>
    <w:rsid w:val="00E96B52"/>
    <w:rsid w:val="00EA2244"/>
    <w:rsid w:val="00EA4C93"/>
    <w:rsid w:val="00EA6FA7"/>
    <w:rsid w:val="00EB067F"/>
    <w:rsid w:val="00EB0BF5"/>
    <w:rsid w:val="00EB1F02"/>
    <w:rsid w:val="00EB5BC5"/>
    <w:rsid w:val="00EC086C"/>
    <w:rsid w:val="00EC42D0"/>
    <w:rsid w:val="00EC5CE0"/>
    <w:rsid w:val="00EC638F"/>
    <w:rsid w:val="00ED48AC"/>
    <w:rsid w:val="00EE224C"/>
    <w:rsid w:val="00EE4874"/>
    <w:rsid w:val="00EE4A8C"/>
    <w:rsid w:val="00EE674E"/>
    <w:rsid w:val="00EE79A6"/>
    <w:rsid w:val="00EF0C36"/>
    <w:rsid w:val="00EF2689"/>
    <w:rsid w:val="00EF454D"/>
    <w:rsid w:val="00EF6111"/>
    <w:rsid w:val="00F005A0"/>
    <w:rsid w:val="00F0225B"/>
    <w:rsid w:val="00F06616"/>
    <w:rsid w:val="00F11352"/>
    <w:rsid w:val="00F1498D"/>
    <w:rsid w:val="00F14DDF"/>
    <w:rsid w:val="00F152AD"/>
    <w:rsid w:val="00F20DFE"/>
    <w:rsid w:val="00F2285F"/>
    <w:rsid w:val="00F23155"/>
    <w:rsid w:val="00F24236"/>
    <w:rsid w:val="00F24E0E"/>
    <w:rsid w:val="00F26693"/>
    <w:rsid w:val="00F36130"/>
    <w:rsid w:val="00F40444"/>
    <w:rsid w:val="00F423BD"/>
    <w:rsid w:val="00F432FF"/>
    <w:rsid w:val="00F4715C"/>
    <w:rsid w:val="00F54869"/>
    <w:rsid w:val="00F556B2"/>
    <w:rsid w:val="00F5754B"/>
    <w:rsid w:val="00F576DE"/>
    <w:rsid w:val="00F57CE6"/>
    <w:rsid w:val="00F63BF7"/>
    <w:rsid w:val="00F65617"/>
    <w:rsid w:val="00F710BE"/>
    <w:rsid w:val="00F723CF"/>
    <w:rsid w:val="00F736D2"/>
    <w:rsid w:val="00F7564C"/>
    <w:rsid w:val="00F76220"/>
    <w:rsid w:val="00F769BE"/>
    <w:rsid w:val="00F82E6B"/>
    <w:rsid w:val="00F8677B"/>
    <w:rsid w:val="00F97B71"/>
    <w:rsid w:val="00FA1EC5"/>
    <w:rsid w:val="00FA2DDA"/>
    <w:rsid w:val="00FA34CA"/>
    <w:rsid w:val="00FA4A55"/>
    <w:rsid w:val="00FA4D4F"/>
    <w:rsid w:val="00FA54E8"/>
    <w:rsid w:val="00FA57F6"/>
    <w:rsid w:val="00FA7193"/>
    <w:rsid w:val="00FB2D17"/>
    <w:rsid w:val="00FB2F69"/>
    <w:rsid w:val="00FB368B"/>
    <w:rsid w:val="00FB45FF"/>
    <w:rsid w:val="00FB5D97"/>
    <w:rsid w:val="00FB6DE6"/>
    <w:rsid w:val="00FC023D"/>
    <w:rsid w:val="00FC1CA5"/>
    <w:rsid w:val="00FC2979"/>
    <w:rsid w:val="00FD1C3C"/>
    <w:rsid w:val="00FD38A8"/>
    <w:rsid w:val="00FD5477"/>
    <w:rsid w:val="00FD6AC8"/>
    <w:rsid w:val="00FE3EA1"/>
    <w:rsid w:val="00FE4818"/>
    <w:rsid w:val="00FE5D80"/>
    <w:rsid w:val="00FF1577"/>
    <w:rsid w:val="00FF6ADB"/>
    <w:rsid w:val="2FA972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BE9B9F7-3084-4E23-82E2-17FB52A4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footnote text" w:semiHidden="1" w:qFormat="1"/>
    <w:lsdException w:name="annotation text" w:semiHidden="1" w:qFormat="1"/>
    <w:lsdException w:name="header" w:uiPriority="99"/>
    <w:lsdException w:name="caption" w:semiHidden="1" w:unhideWhenUsed="1" w:qFormat="1"/>
    <w:lsdException w:name="footnote reference" w:semiHidden="1" w:qFormat="1"/>
    <w:lsdException w:name="annotation reference" w:semiHidden="1"/>
    <w:lsdException w:name="Title" w:qFormat="1"/>
    <w:lsdException w:name="Default Paragraph Font" w:semiHidden="1" w:uiPriority="1" w:unhideWhenUsed="1"/>
    <w:lsdException w:name="Subtitle" w:qFormat="1"/>
    <w:lsdException w:name="Date" w:uiPriority="99"/>
    <w:lsdException w:name="Body Text Indent 3" w:qFormat="1"/>
    <w:lsdException w:name="Hyperlink" w:qFormat="1"/>
    <w:lsdException w:name="Strong" w:uiPriority="22"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annotation subject"/>
    <w:basedOn w:val="a5"/>
    <w:next w:val="a5"/>
    <w:semiHidden/>
    <w:rPr>
      <w:b/>
      <w:bCs/>
    </w:rPr>
  </w:style>
  <w:style w:type="paragraph" w:styleId="a5">
    <w:name w:val="annotation text"/>
    <w:basedOn w:val="a"/>
    <w:semiHidden/>
    <w:qFormat/>
    <w:pPr>
      <w:jc w:val="left"/>
    </w:pPr>
  </w:style>
  <w:style w:type="paragraph" w:styleId="a6">
    <w:name w:val="Document Map"/>
    <w:basedOn w:val="a"/>
    <w:semiHidden/>
    <w:pPr>
      <w:shd w:val="clear" w:color="auto" w:fill="000080"/>
    </w:pPr>
  </w:style>
  <w:style w:type="paragraph" w:styleId="a7">
    <w:name w:val="Body Text"/>
    <w:basedOn w:val="a"/>
    <w:pPr>
      <w:spacing w:after="120"/>
    </w:pPr>
  </w:style>
  <w:style w:type="paragraph" w:styleId="a8">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rPr>
      <w:rFonts w:ascii="宋体" w:hAnsi="Courier New"/>
      <w:szCs w:val="21"/>
    </w:rPr>
  </w:style>
  <w:style w:type="paragraph" w:styleId="ab">
    <w:name w:val="Date"/>
    <w:basedOn w:val="a"/>
    <w:next w:val="a"/>
    <w:link w:val="ac"/>
    <w:uiPriority w:val="99"/>
    <w:rPr>
      <w:sz w:val="24"/>
      <w:szCs w:val="20"/>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d">
    <w:name w:val="Balloon Text"/>
    <w:basedOn w:val="a"/>
    <w:semiHidden/>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qFormat/>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rPr>
      <w:sz w:val="21"/>
      <w:szCs w:val="21"/>
    </w:rPr>
  </w:style>
  <w:style w:type="character" w:styleId="af9">
    <w:name w:val="footnote reference"/>
    <w:basedOn w:val="a1"/>
    <w:semiHidden/>
    <w:qFormat/>
    <w:rPr>
      <w:vertAlign w:val="superscript"/>
    </w:rPr>
  </w:style>
  <w:style w:type="table" w:styleId="afa">
    <w:name w:val="Table Grid"/>
    <w:basedOn w:val="a2"/>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qFormat/>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ac">
    <w:name w:val="日期 字符"/>
    <w:basedOn w:val="a1"/>
    <w:link w:val="ab"/>
    <w:uiPriority w:val="99"/>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19917">
      <w:bodyDiv w:val="1"/>
      <w:marLeft w:val="0"/>
      <w:marRight w:val="0"/>
      <w:marTop w:val="0"/>
      <w:marBottom w:val="0"/>
      <w:divBdr>
        <w:top w:val="none" w:sz="0" w:space="0" w:color="auto"/>
        <w:left w:val="none" w:sz="0" w:space="0" w:color="auto"/>
        <w:bottom w:val="none" w:sz="0" w:space="0" w:color="auto"/>
        <w:right w:val="none" w:sz="0" w:space="0" w:color="auto"/>
      </w:divBdr>
    </w:div>
    <w:div w:id="189033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1081</Words>
  <Characters>6164</Characters>
  <Application>Microsoft Office Word</Application>
  <DocSecurity>0</DocSecurity>
  <Lines>51</Lines>
  <Paragraphs>14</Paragraphs>
  <ScaleCrop>false</ScaleCrop>
  <Company>TRT. Ltd. Co.</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159</cp:revision>
  <cp:lastPrinted>2007-07-19T00:46:00Z</cp:lastPrinted>
  <dcterms:created xsi:type="dcterms:W3CDTF">2012-11-21T04:46:00Z</dcterms:created>
  <dcterms:modified xsi:type="dcterms:W3CDTF">2024-04-19T02:39:00Z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