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hint="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摩根双核平衡混合型证券投资基金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4</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12</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bookmarkStart w:id="0" w:name="_GoBack"/>
      <w:bookmarkEnd w:id="0"/>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基金托管人：中国工商银行股份有限公司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报告送出日期：二〇二四年一月二十二日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EA29B9" w:rsidRDefault="0006623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EA29B9" w:rsidRDefault="0006623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基金托管人中国工商银行股份有限公司根据本基金合同规定，于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EA29B9" w:rsidRDefault="0006623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EA29B9" w:rsidRDefault="0006623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EA29B9" w:rsidRDefault="00066239">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摩根双核平衡混合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373020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2008</w:t>
            </w:r>
            <w:r w:rsidRPr="00B27A29">
              <w:rPr>
                <w:rFonts w:eastAsiaTheme="minorEastAsia"/>
                <w:color w:val="000000" w:themeColor="text1"/>
                <w:kern w:val="0"/>
                <w:szCs w:val="21"/>
              </w:rPr>
              <w:t>年</w:t>
            </w:r>
            <w:r w:rsidRPr="00B27A29">
              <w:rPr>
                <w:rFonts w:eastAsiaTheme="minorEastAsia"/>
                <w:color w:val="000000" w:themeColor="text1"/>
                <w:kern w:val="0"/>
                <w:szCs w:val="21"/>
              </w:rPr>
              <w:t>5</w:t>
            </w:r>
            <w:r w:rsidRPr="00B27A29">
              <w:rPr>
                <w:rFonts w:eastAsiaTheme="minorEastAsia"/>
                <w:color w:val="000000" w:themeColor="text1"/>
                <w:kern w:val="0"/>
                <w:szCs w:val="21"/>
              </w:rPr>
              <w:t>月</w:t>
            </w:r>
            <w:r w:rsidRPr="00B27A29">
              <w:rPr>
                <w:rFonts w:eastAsiaTheme="minorEastAsia"/>
                <w:color w:val="000000" w:themeColor="text1"/>
                <w:kern w:val="0"/>
                <w:szCs w:val="21"/>
              </w:rPr>
              <w:t>21</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176,684,825.86</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本基金深化价值投资理念，精选具备较高估值优势的上市公司股票与优质债券等，持续优化投资风险与收益的动态匹配，通过积极主动的组合管理，追求基金资产的长期稳定增值。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EA29B9" w:rsidRDefault="0006623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、股票投资策略</w:t>
            </w:r>
          </w:p>
          <w:p w:rsidR="00EA29B9" w:rsidRDefault="0006623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价值投资注重股票内在价值的发现。在内在价值确定以后，通过股票市场价格和内在价值的比较，就可以明确投资方向。特别当股票的价格低于它的内在价值时，就存在一个正的安全边际。足够的安全边际使投资拥有更容易取胜的优势，因为在价值引力作用下，股票价格更倾向于上涨。所以，安全边际越高，投资风险就会相对较低。</w:t>
            </w:r>
          </w:p>
          <w:p w:rsidR="00EA29B9" w:rsidRDefault="0006623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运用安全边际策略有效挖掘价值低估的股票类投资品种。在控制宏观经济趋势、产业发展周期等宏观经济环境变量基础上，考察上市公司的商业模式、管理能力、财务状况等影响企业持续经营的因素，然后综合运用量化价值模型来衡量股票价格是高估还是低估。根据不同的产业和行业特征，本基金将有针对性地选用不同的</w:t>
            </w:r>
            <w:r>
              <w:rPr>
                <w:rFonts w:eastAsiaTheme="minorEastAsia"/>
                <w:color w:val="000000" w:themeColor="text1"/>
                <w:kern w:val="0"/>
                <w:szCs w:val="21"/>
              </w:rPr>
              <w:t>P/E</w:t>
            </w:r>
            <w:r>
              <w:rPr>
                <w:rFonts w:eastAsiaTheme="minorEastAsia"/>
                <w:color w:val="000000" w:themeColor="text1"/>
                <w:kern w:val="0"/>
                <w:szCs w:val="21"/>
              </w:rPr>
              <w:t>、</w:t>
            </w:r>
            <w:r>
              <w:rPr>
                <w:rFonts w:eastAsiaTheme="minorEastAsia"/>
                <w:color w:val="000000" w:themeColor="text1"/>
                <w:kern w:val="0"/>
                <w:szCs w:val="21"/>
              </w:rPr>
              <w:t>P/CFPS</w:t>
            </w:r>
            <w:r>
              <w:rPr>
                <w:rFonts w:eastAsiaTheme="minorEastAsia"/>
                <w:color w:val="000000" w:themeColor="text1"/>
                <w:kern w:val="0"/>
                <w:szCs w:val="21"/>
              </w:rPr>
              <w:t>、</w:t>
            </w:r>
            <w:r>
              <w:rPr>
                <w:rFonts w:eastAsiaTheme="minorEastAsia"/>
                <w:color w:val="000000" w:themeColor="text1"/>
                <w:kern w:val="0"/>
                <w:szCs w:val="21"/>
              </w:rPr>
              <w:t>P/S</w:t>
            </w:r>
            <w:r>
              <w:rPr>
                <w:rFonts w:eastAsiaTheme="minorEastAsia"/>
                <w:color w:val="000000" w:themeColor="text1"/>
                <w:kern w:val="0"/>
                <w:szCs w:val="21"/>
              </w:rPr>
              <w:t>、</w:t>
            </w:r>
            <w:r>
              <w:rPr>
                <w:rFonts w:eastAsiaTheme="minorEastAsia"/>
                <w:color w:val="000000" w:themeColor="text1"/>
                <w:kern w:val="0"/>
                <w:szCs w:val="21"/>
              </w:rPr>
              <w:t>P/B</w:t>
            </w:r>
            <w:r>
              <w:rPr>
                <w:rFonts w:eastAsiaTheme="minorEastAsia"/>
                <w:color w:val="000000" w:themeColor="text1"/>
                <w:kern w:val="0"/>
                <w:szCs w:val="21"/>
              </w:rPr>
              <w:t>等乘数法和</w:t>
            </w:r>
            <w:r>
              <w:rPr>
                <w:rFonts w:eastAsiaTheme="minorEastAsia"/>
                <w:color w:val="000000" w:themeColor="text1"/>
                <w:kern w:val="0"/>
                <w:szCs w:val="21"/>
              </w:rPr>
              <w:t>DCF</w:t>
            </w:r>
            <w:r>
              <w:rPr>
                <w:rFonts w:eastAsiaTheme="minorEastAsia"/>
                <w:color w:val="000000" w:themeColor="text1"/>
                <w:kern w:val="0"/>
                <w:szCs w:val="21"/>
              </w:rPr>
              <w:t>增长模型建立股票选择池。</w:t>
            </w:r>
          </w:p>
          <w:p w:rsidR="00EA29B9" w:rsidRDefault="0006623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1</w:t>
            </w:r>
            <w:r>
              <w:rPr>
                <w:rFonts w:eastAsiaTheme="minorEastAsia"/>
                <w:color w:val="000000" w:themeColor="text1"/>
                <w:kern w:val="0"/>
                <w:szCs w:val="21"/>
              </w:rPr>
              <w:t>）宏观经济分析</w:t>
            </w:r>
          </w:p>
          <w:p w:rsidR="00EA29B9" w:rsidRDefault="0006623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本基金基于对宏观经济运行状况及政策分析、财政政策与货币政策运行状况分析、行业运行景气状况分析的基础上，重点判断宏观经济周期</w:t>
            </w:r>
            <w:r>
              <w:rPr>
                <w:rFonts w:eastAsiaTheme="minorEastAsia"/>
                <w:color w:val="000000" w:themeColor="text1"/>
                <w:kern w:val="0"/>
                <w:szCs w:val="21"/>
              </w:rPr>
              <w:t>对市场不同行业的影响，作为资产配置的依据。同时根据宏观经济对市场影响的分析，初步判断市场的多空方向，决定大类资产配置。</w:t>
            </w:r>
          </w:p>
          <w:p w:rsidR="00EA29B9" w:rsidRDefault="0006623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2</w:t>
            </w:r>
            <w:r>
              <w:rPr>
                <w:rFonts w:eastAsiaTheme="minorEastAsia"/>
                <w:color w:val="000000" w:themeColor="text1"/>
                <w:kern w:val="0"/>
                <w:szCs w:val="21"/>
              </w:rPr>
              <w:t>）行业分析</w:t>
            </w:r>
          </w:p>
          <w:p w:rsidR="00EA29B9" w:rsidRDefault="0006623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根据各行业所处生命周期、产业竞争结构、近期发展趋势等方面因素对各行业的相对盈利能力及投资吸引力进行评价，考察净资产收益率、营运周期、销售收入、净利润等指标，对各行业投资机会进行评估，并根据行业综合评价结果确定股票资产中各行业的权重。</w:t>
            </w:r>
          </w:p>
          <w:p w:rsidR="00EA29B9" w:rsidRDefault="0006623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3</w:t>
            </w:r>
            <w:r>
              <w:rPr>
                <w:rFonts w:eastAsiaTheme="minorEastAsia"/>
                <w:color w:val="000000" w:themeColor="text1"/>
                <w:kern w:val="0"/>
                <w:szCs w:val="21"/>
              </w:rPr>
              <w:t>）公司质地分析</w:t>
            </w:r>
          </w:p>
          <w:p w:rsidR="00EA29B9" w:rsidRDefault="0006623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企业在行业中的相对竞争力是决定企业成败和投资价值的关键，本基金将根据公司质地对上市公司当前和未来的竞争优势加以评估</w:t>
            </w:r>
            <w:r>
              <w:rPr>
                <w:rFonts w:eastAsiaTheme="minorEastAsia"/>
                <w:color w:val="000000" w:themeColor="text1"/>
                <w:kern w:val="0"/>
                <w:szCs w:val="21"/>
              </w:rPr>
              <w:t>。公司质地良好的企业通常具备以下特征：企业在管理、品牌、资源、技术、创新能力中的某一方面或多个方面具有竞争对手在短时间内难以模仿的显著优势，从而能够获得超越行业平均的盈利水平和增长速度。本基金将通过包括实际调研在内的多种分析手段，对上市公司质地进行判断。</w:t>
            </w:r>
          </w:p>
          <w:p w:rsidR="00EA29B9" w:rsidRDefault="0006623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4</w:t>
            </w:r>
            <w:r>
              <w:rPr>
                <w:rFonts w:eastAsiaTheme="minorEastAsia"/>
                <w:color w:val="000000" w:themeColor="text1"/>
                <w:kern w:val="0"/>
                <w:szCs w:val="21"/>
              </w:rPr>
              <w:t>）股票估值水平分析</w:t>
            </w:r>
          </w:p>
          <w:p w:rsidR="00EA29B9" w:rsidRDefault="0006623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的战略目标是构造可以创造主动管理报酬的投资组合，上市公司经过竞争优势指标筛选之后，将由研究团队进行估值水平考察。通过基本面和估值指标筛选的基础组合即被纳入摩根基金管理（中国）有限公司策略性评价体系。本基金在对股票进行估值时，首</w:t>
            </w:r>
            <w:r>
              <w:rPr>
                <w:rFonts w:eastAsiaTheme="minorEastAsia"/>
                <w:color w:val="000000" w:themeColor="text1"/>
                <w:kern w:val="0"/>
                <w:szCs w:val="21"/>
              </w:rPr>
              <w:t>先采用现金流折现模型（</w:t>
            </w:r>
            <w:r>
              <w:rPr>
                <w:rFonts w:eastAsiaTheme="minorEastAsia"/>
                <w:color w:val="000000" w:themeColor="text1"/>
                <w:kern w:val="0"/>
                <w:szCs w:val="21"/>
              </w:rPr>
              <w:t>DCF</w:t>
            </w:r>
            <w:r>
              <w:rPr>
                <w:rFonts w:eastAsiaTheme="minorEastAsia"/>
                <w:color w:val="000000" w:themeColor="text1"/>
                <w:kern w:val="0"/>
                <w:szCs w:val="21"/>
              </w:rPr>
              <w:t>）计算出股票的内在价值，然后在第二阶段采用乘数估值法（</w:t>
            </w:r>
            <w:r>
              <w:rPr>
                <w:rFonts w:eastAsiaTheme="minorEastAsia"/>
                <w:color w:val="000000" w:themeColor="text1"/>
                <w:kern w:val="0"/>
                <w:szCs w:val="21"/>
              </w:rPr>
              <w:t>Multiple</w:t>
            </w:r>
            <w:r>
              <w:rPr>
                <w:rFonts w:eastAsiaTheme="minorEastAsia"/>
                <w:color w:val="000000" w:themeColor="text1"/>
                <w:kern w:val="0"/>
                <w:szCs w:val="21"/>
              </w:rPr>
              <w:t>），通过对对同行业公司的情况对样本公司价值进行比较修正，使得对于股票价值的评估更加准确可靠。</w:t>
            </w:r>
          </w:p>
          <w:p w:rsidR="00EA29B9" w:rsidRDefault="0006623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、固定收益类投资策略</w:t>
            </w:r>
          </w:p>
          <w:p w:rsidR="00EA29B9" w:rsidRDefault="0006623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的债券投资策略是建立在对债券核心内在价值的认识上。我们将采用更为有效的债券估值模型，同时综合考虑宏观经济运行状况、金融市场环境及利率走势，采取至上而下和至下而上结合的投资策略积极配置资产。在控制利率风险、信用风险以及流动性风险的基础上，通过组合投资为投资者创造长期回报。具体而言，我们将运用</w:t>
            </w:r>
            <w:r>
              <w:rPr>
                <w:rFonts w:eastAsiaTheme="minorEastAsia"/>
                <w:color w:val="000000" w:themeColor="text1"/>
                <w:kern w:val="0"/>
                <w:szCs w:val="21"/>
              </w:rPr>
              <w:t>利率预期策略、骑乘收益曲线策略和类属资产配置策略等积极策略配置各类债券资产。</w:t>
            </w:r>
          </w:p>
          <w:p w:rsidR="00EA29B9" w:rsidRDefault="0006623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1</w:t>
            </w:r>
            <w:r>
              <w:rPr>
                <w:rFonts w:eastAsiaTheme="minorEastAsia"/>
                <w:color w:val="000000" w:themeColor="text1"/>
                <w:kern w:val="0"/>
                <w:szCs w:val="21"/>
              </w:rPr>
              <w:t>）利率预期策略：本基金将首先根据对国内外经济形势的预测，分析市场投资环境的变化趋势，重点关注利率趋势变化。通过全面分析宏观经济、货币政策与财政政策、物价水平变化趋势等因素，对利率走势形成合理预期。</w:t>
            </w:r>
          </w:p>
          <w:p w:rsidR="00EA29B9" w:rsidRDefault="0006623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2</w:t>
            </w:r>
            <w:r>
              <w:rPr>
                <w:rFonts w:eastAsiaTheme="minorEastAsia"/>
                <w:color w:val="000000" w:themeColor="text1"/>
                <w:kern w:val="0"/>
                <w:szCs w:val="21"/>
              </w:rPr>
              <w:t>）骑乘收益率曲线策略：骑乘收益率曲线策略是短期货币市场证券管理中流行的一种策略。具体操作时买入收益率曲线最突起部位所在剩余期限的债券，这一期限的收益率水平此时处于相对较高的位置，随着一段时间的持有，当收益率下降时，对应的将是债券</w:t>
            </w:r>
            <w:r>
              <w:rPr>
                <w:rFonts w:eastAsiaTheme="minorEastAsia"/>
                <w:color w:val="000000" w:themeColor="text1"/>
                <w:kern w:val="0"/>
                <w:szCs w:val="21"/>
              </w:rPr>
              <w:t>价格的走高，而这一期限债券的涨幅将会高于其他期限，这样就可以获得更好的价差收益。</w:t>
            </w:r>
          </w:p>
          <w:p w:rsidR="00EA29B9" w:rsidRDefault="0006623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3</w:t>
            </w:r>
            <w:r>
              <w:rPr>
                <w:rFonts w:eastAsiaTheme="minorEastAsia"/>
                <w:color w:val="000000" w:themeColor="text1"/>
                <w:kern w:val="0"/>
                <w:szCs w:val="21"/>
              </w:rPr>
              <w:t>）类属资产配置：在类属资产配置层次，本基金根据市场和类属资产的风险收益特征，在判断各类属的利率期限结构与交易活跃的国家信用等级短期券利率期限结构应具有的合理利差水平基础上，将市场细分为交易所国债、交易所企业债、银行间国债、银行间金融债等子市场。结合各类属资产的市场容量、信用等级和流动性特点，在此基础上运用修正的均值</w:t>
            </w:r>
            <w:r>
              <w:rPr>
                <w:rFonts w:eastAsiaTheme="minorEastAsia"/>
                <w:color w:val="000000" w:themeColor="text1"/>
                <w:kern w:val="0"/>
                <w:szCs w:val="21"/>
              </w:rPr>
              <w:t>-</w:t>
            </w:r>
            <w:r>
              <w:rPr>
                <w:rFonts w:eastAsiaTheme="minorEastAsia"/>
                <w:color w:val="000000" w:themeColor="text1"/>
                <w:kern w:val="0"/>
                <w:szCs w:val="21"/>
              </w:rPr>
              <w:t>方差等模型，定期对投资组合类属资产进行最优化配置和调整，确定类属资产的最优权重。</w:t>
            </w:r>
          </w:p>
          <w:p w:rsidR="00EA29B9" w:rsidRDefault="0006623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、权证投资策略</w:t>
            </w:r>
          </w:p>
          <w:p w:rsidR="00EA29B9" w:rsidRDefault="0006623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w:t>
            </w:r>
            <w:r>
              <w:rPr>
                <w:rFonts w:eastAsiaTheme="minorEastAsia"/>
                <w:color w:val="000000" w:themeColor="text1"/>
                <w:kern w:val="0"/>
                <w:szCs w:val="21"/>
              </w:rPr>
              <w:t>在法律法规及基金合同规定的范围内，采取积极的态度进行权证投资。权证投资的主要目的在于对冲组合中证券的持有风险，及在正确估值标的证券的基础上获取权证投资收益。本基金将采用业界广泛应用的</w:t>
            </w:r>
            <w:r>
              <w:rPr>
                <w:rFonts w:eastAsiaTheme="minorEastAsia"/>
                <w:color w:val="000000" w:themeColor="text1"/>
                <w:kern w:val="0"/>
                <w:szCs w:val="21"/>
              </w:rPr>
              <w:t>Black-Scholes Pricing Model(BSPM)</w:t>
            </w:r>
            <w:r>
              <w:rPr>
                <w:rFonts w:eastAsiaTheme="minorEastAsia"/>
                <w:color w:val="000000" w:themeColor="text1"/>
                <w:kern w:val="0"/>
                <w:szCs w:val="21"/>
              </w:rPr>
              <w:t>对权证进行估价。对于股票基本面和投资价值的判断一贯是本公司投资的重要依据。在投资权证前，基金管理人员和研究员应对标的股票的基本面和内在价值作出分析判断。</w:t>
            </w:r>
          </w:p>
          <w:p w:rsidR="00EA29B9" w:rsidRDefault="0006623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、资产支持证券投资策略</w:t>
            </w:r>
          </w:p>
          <w:p w:rsidR="00EA29B9" w:rsidRDefault="0006623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本基金投资资产支持证券时，将综合运用久期管理、收益率曲线、个券选择和把握市场交易机会</w:t>
            </w:r>
            <w:r>
              <w:rPr>
                <w:rFonts w:eastAsiaTheme="minorEastAsia"/>
                <w:color w:val="000000" w:themeColor="text1"/>
                <w:kern w:val="0"/>
                <w:szCs w:val="21"/>
              </w:rPr>
              <w:t>等积极策略，在严格控制风险的情况下，通过信用研究和对个案的具体分析，确定资产合理配置比例，在保证资产安全性的前提条件下，以期获得长期稳定收益。</w:t>
            </w:r>
          </w:p>
          <w:p w:rsidR="00EA29B9" w:rsidRDefault="0006623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5</w:t>
            </w:r>
            <w:r>
              <w:rPr>
                <w:rFonts w:eastAsiaTheme="minorEastAsia"/>
                <w:color w:val="000000" w:themeColor="text1"/>
                <w:kern w:val="0"/>
                <w:szCs w:val="21"/>
              </w:rPr>
              <w:t>、资产配置策略</w:t>
            </w:r>
          </w:p>
          <w:p w:rsidR="00EA29B9" w:rsidRDefault="0006623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资产配置是本基金资产管理的重要环节。本基金是一只注重价值投资的平衡型基金，资产配置策略依据对宏观经济、股市政策、市场趋势等因素的判断，对股票市场和债券市场的风险收益特征进行科学的评估后，在本基金投资范围内，将基金资产主要分配在权益类、固定收益类之间，并根据投资环境的实际变化情况，在各类金融资产之间进行实时动态配置，以期承受尽量小的投资风险，并取得尽</w:t>
            </w:r>
            <w:r>
              <w:rPr>
                <w:rFonts w:eastAsiaTheme="minorEastAsia"/>
                <w:color w:val="000000" w:themeColor="text1"/>
                <w:kern w:val="0"/>
                <w:szCs w:val="21"/>
              </w:rPr>
              <w:t>可能大的主动管理回报。</w:t>
            </w:r>
          </w:p>
          <w:p w:rsidR="00EA29B9" w:rsidRDefault="0006623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具体而言，在正常的市场环境下，本基金将保持不同类型资产配置比例的相对稳定。如果出现股票市场整体估值水平较大程度偏离企业基本面的情况，会对权益类和固定收益类资产的配置比例做出相应的调整，以减少投资风险。在股票市场安全边际降低，且综合考虑收益风险后投资吸引力低于固定收益资产时，本基金将降低权益类资产的配置比例；相反，在股票市场安全边际增厚时，本基金将相应增加权益类资产的配置比例。</w:t>
            </w:r>
          </w:p>
          <w:p w:rsidR="00EA29B9" w:rsidRDefault="0006623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6</w:t>
            </w:r>
            <w:r>
              <w:rPr>
                <w:rFonts w:eastAsiaTheme="minorEastAsia"/>
                <w:color w:val="000000" w:themeColor="text1"/>
                <w:kern w:val="0"/>
                <w:szCs w:val="21"/>
              </w:rPr>
              <w:t>、存托凭证投资策略</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本基金将根据本基金的投资目标和股票投资策略，基于对基础证券投资价值的深入研究判断，进行存托凭证的投资。</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×50%</w:t>
            </w:r>
            <w:r w:rsidRPr="00B27A29">
              <w:rPr>
                <w:rFonts w:eastAsiaTheme="minorEastAsia"/>
                <w:color w:val="000000" w:themeColor="text1"/>
                <w:kern w:val="0"/>
                <w:szCs w:val="21"/>
              </w:rPr>
              <w:t>＋上证国债指数收益率</w:t>
            </w:r>
            <w:r w:rsidRPr="00B27A29">
              <w:rPr>
                <w:rFonts w:eastAsiaTheme="minorEastAsia"/>
                <w:color w:val="000000" w:themeColor="text1"/>
                <w:kern w:val="0"/>
                <w:szCs w:val="21"/>
              </w:rPr>
              <w:t>×50</w:t>
            </w:r>
            <w:r w:rsidRPr="00B27A29">
              <w:rPr>
                <w:rFonts w:eastAsiaTheme="minorEastAsia"/>
                <w:color w:val="000000" w:themeColor="text1"/>
                <w:kern w:val="0"/>
                <w:szCs w:val="21"/>
              </w:rPr>
              <w:t>％</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EA29B9" w:rsidRDefault="0006623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本基金是混合型基金，在证券投资基金中属于中高风险品种，其预期风险收益水平低于股票型基金，高于债券基金与货币市场基金。</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中国工商银行股份有限公司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摩根双核平衡混合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摩根双核平衡混合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373020</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015174</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176,550,346.76</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134,479.10</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摩根双核平衡混合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摩根双核平衡混合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-13,433,887.55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-11,480.24</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-9,966,042.54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-9,026.98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-0.0559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-0.0609</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234,657,940.15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177,235.91</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1.3291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1.3179</w:t>
            </w:r>
          </w:p>
        </w:tc>
      </w:tr>
    </w:tbl>
    <w:p w:rsidR="00EA29B9" w:rsidRDefault="0006623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摩根双核平衡混合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EA29B9">
        <w:tc>
          <w:tcPr>
            <w:tcW w:w="1290" w:type="dxa"/>
            <w:vAlign w:val="center"/>
          </w:tcPr>
          <w:p w:rsidR="00EA29B9" w:rsidRDefault="00066239">
            <w:pPr>
              <w:jc w:val="left"/>
            </w:pPr>
            <w:r>
              <w:rPr>
                <w:rFonts w:eastAsiaTheme="minorEastAsia"/>
                <w:color w:val="000000" w:themeColor="text1"/>
                <w:szCs w:val="21"/>
              </w:rPr>
              <w:t>过去三个月</w:t>
            </w:r>
          </w:p>
        </w:tc>
        <w:tc>
          <w:tcPr>
            <w:tcW w:w="1291" w:type="dxa"/>
            <w:vAlign w:val="center"/>
          </w:tcPr>
          <w:p w:rsidR="00EA29B9" w:rsidRDefault="00066239">
            <w:pPr>
              <w:jc w:val="right"/>
            </w:pPr>
            <w:r>
              <w:rPr>
                <w:rFonts w:eastAsiaTheme="minorEastAsia"/>
                <w:color w:val="000000" w:themeColor="text1"/>
                <w:szCs w:val="21"/>
              </w:rPr>
              <w:t>-4.01%</w:t>
            </w:r>
          </w:p>
        </w:tc>
        <w:tc>
          <w:tcPr>
            <w:tcW w:w="1291" w:type="dxa"/>
            <w:vAlign w:val="center"/>
          </w:tcPr>
          <w:p w:rsidR="00EA29B9" w:rsidRDefault="00066239">
            <w:pPr>
              <w:jc w:val="right"/>
            </w:pPr>
            <w:r>
              <w:rPr>
                <w:rFonts w:eastAsiaTheme="minorEastAsia"/>
                <w:color w:val="000000" w:themeColor="text1"/>
                <w:szCs w:val="21"/>
              </w:rPr>
              <w:t>0.40%</w:t>
            </w:r>
          </w:p>
        </w:tc>
        <w:tc>
          <w:tcPr>
            <w:tcW w:w="1291" w:type="dxa"/>
            <w:vAlign w:val="center"/>
          </w:tcPr>
          <w:p w:rsidR="00EA29B9" w:rsidRDefault="00066239">
            <w:pPr>
              <w:jc w:val="right"/>
            </w:pPr>
            <w:r>
              <w:rPr>
                <w:rFonts w:eastAsiaTheme="minorEastAsia"/>
                <w:color w:val="000000" w:themeColor="text1"/>
                <w:szCs w:val="21"/>
              </w:rPr>
              <w:t>-3.11%</w:t>
            </w:r>
          </w:p>
        </w:tc>
        <w:tc>
          <w:tcPr>
            <w:tcW w:w="1291" w:type="dxa"/>
            <w:vAlign w:val="center"/>
          </w:tcPr>
          <w:p w:rsidR="00EA29B9" w:rsidRDefault="00066239">
            <w:pPr>
              <w:jc w:val="right"/>
            </w:pPr>
            <w:r>
              <w:rPr>
                <w:rFonts w:eastAsiaTheme="minorEastAsia"/>
                <w:color w:val="000000" w:themeColor="text1"/>
                <w:szCs w:val="21"/>
              </w:rPr>
              <w:t>0.39%</w:t>
            </w:r>
          </w:p>
        </w:tc>
        <w:tc>
          <w:tcPr>
            <w:tcW w:w="1291" w:type="dxa"/>
            <w:vAlign w:val="center"/>
          </w:tcPr>
          <w:p w:rsidR="00EA29B9" w:rsidRDefault="00066239">
            <w:pPr>
              <w:jc w:val="right"/>
            </w:pPr>
            <w:r>
              <w:rPr>
                <w:rFonts w:eastAsiaTheme="minorEastAsia"/>
                <w:color w:val="000000" w:themeColor="text1"/>
                <w:szCs w:val="21"/>
              </w:rPr>
              <w:t>-0.90%</w:t>
            </w:r>
          </w:p>
        </w:tc>
        <w:tc>
          <w:tcPr>
            <w:tcW w:w="1291" w:type="dxa"/>
            <w:vAlign w:val="center"/>
          </w:tcPr>
          <w:p w:rsidR="00EA29B9" w:rsidRDefault="00066239">
            <w:pPr>
              <w:jc w:val="right"/>
            </w:pPr>
            <w:r>
              <w:rPr>
                <w:rFonts w:eastAsiaTheme="minorEastAsia"/>
                <w:color w:val="000000" w:themeColor="text1"/>
                <w:szCs w:val="21"/>
              </w:rPr>
              <w:t>0.01%</w:t>
            </w:r>
          </w:p>
        </w:tc>
      </w:tr>
      <w:tr w:rsidR="00EA29B9">
        <w:tc>
          <w:tcPr>
            <w:tcW w:w="1290" w:type="dxa"/>
            <w:vAlign w:val="center"/>
          </w:tcPr>
          <w:p w:rsidR="00EA29B9" w:rsidRDefault="00066239">
            <w:pPr>
              <w:jc w:val="left"/>
            </w:pPr>
            <w:r>
              <w:rPr>
                <w:rFonts w:eastAsiaTheme="minorEastAsia"/>
                <w:color w:val="000000" w:themeColor="text1"/>
                <w:szCs w:val="21"/>
              </w:rPr>
              <w:t>过去六个月</w:t>
            </w:r>
          </w:p>
        </w:tc>
        <w:tc>
          <w:tcPr>
            <w:tcW w:w="1291" w:type="dxa"/>
            <w:vAlign w:val="center"/>
          </w:tcPr>
          <w:p w:rsidR="00EA29B9" w:rsidRDefault="00066239">
            <w:pPr>
              <w:jc w:val="right"/>
            </w:pPr>
            <w:r>
              <w:rPr>
                <w:rFonts w:eastAsiaTheme="minorEastAsia"/>
                <w:color w:val="000000" w:themeColor="text1"/>
                <w:szCs w:val="21"/>
              </w:rPr>
              <w:t>-13.40%</w:t>
            </w:r>
          </w:p>
        </w:tc>
        <w:tc>
          <w:tcPr>
            <w:tcW w:w="1291" w:type="dxa"/>
            <w:vAlign w:val="center"/>
          </w:tcPr>
          <w:p w:rsidR="00EA29B9" w:rsidRDefault="00066239">
            <w:pPr>
              <w:jc w:val="right"/>
            </w:pPr>
            <w:r>
              <w:rPr>
                <w:rFonts w:eastAsiaTheme="minorEastAsia"/>
                <w:color w:val="000000" w:themeColor="text1"/>
                <w:szCs w:val="21"/>
              </w:rPr>
              <w:t>0.49%</w:t>
            </w:r>
          </w:p>
        </w:tc>
        <w:tc>
          <w:tcPr>
            <w:tcW w:w="1291" w:type="dxa"/>
            <w:vAlign w:val="center"/>
          </w:tcPr>
          <w:p w:rsidR="00EA29B9" w:rsidRDefault="00066239">
            <w:pPr>
              <w:jc w:val="right"/>
            </w:pPr>
            <w:r>
              <w:rPr>
                <w:rFonts w:eastAsiaTheme="minorEastAsia"/>
                <w:color w:val="000000" w:themeColor="text1"/>
                <w:szCs w:val="21"/>
              </w:rPr>
              <w:t>-4.55%</w:t>
            </w:r>
          </w:p>
        </w:tc>
        <w:tc>
          <w:tcPr>
            <w:tcW w:w="1291" w:type="dxa"/>
            <w:vAlign w:val="center"/>
          </w:tcPr>
          <w:p w:rsidR="00EA29B9" w:rsidRDefault="00066239">
            <w:pPr>
              <w:jc w:val="right"/>
            </w:pPr>
            <w:r>
              <w:rPr>
                <w:rFonts w:eastAsiaTheme="minorEastAsia"/>
                <w:color w:val="000000" w:themeColor="text1"/>
                <w:szCs w:val="21"/>
              </w:rPr>
              <w:t>0.42%</w:t>
            </w:r>
          </w:p>
        </w:tc>
        <w:tc>
          <w:tcPr>
            <w:tcW w:w="1291" w:type="dxa"/>
            <w:vAlign w:val="center"/>
          </w:tcPr>
          <w:p w:rsidR="00EA29B9" w:rsidRDefault="00066239">
            <w:pPr>
              <w:jc w:val="right"/>
            </w:pPr>
            <w:r>
              <w:rPr>
                <w:rFonts w:eastAsiaTheme="minorEastAsia"/>
                <w:color w:val="000000" w:themeColor="text1"/>
                <w:szCs w:val="21"/>
              </w:rPr>
              <w:t>-8.85%</w:t>
            </w:r>
          </w:p>
        </w:tc>
        <w:tc>
          <w:tcPr>
            <w:tcW w:w="1291" w:type="dxa"/>
            <w:vAlign w:val="center"/>
          </w:tcPr>
          <w:p w:rsidR="00EA29B9" w:rsidRDefault="00066239">
            <w:pPr>
              <w:jc w:val="right"/>
            </w:pPr>
            <w:r>
              <w:rPr>
                <w:rFonts w:eastAsiaTheme="minorEastAsia"/>
                <w:color w:val="000000" w:themeColor="text1"/>
                <w:szCs w:val="21"/>
              </w:rPr>
              <w:t>0.07%</w:t>
            </w:r>
          </w:p>
        </w:tc>
      </w:tr>
      <w:tr w:rsidR="00EA29B9">
        <w:tc>
          <w:tcPr>
            <w:tcW w:w="1290" w:type="dxa"/>
            <w:vAlign w:val="center"/>
          </w:tcPr>
          <w:p w:rsidR="00EA29B9" w:rsidRDefault="00066239">
            <w:pPr>
              <w:jc w:val="left"/>
            </w:pPr>
            <w:r>
              <w:rPr>
                <w:rFonts w:eastAsiaTheme="minorEastAsia"/>
                <w:color w:val="000000" w:themeColor="text1"/>
                <w:szCs w:val="21"/>
              </w:rPr>
              <w:t>过去一年</w:t>
            </w:r>
          </w:p>
        </w:tc>
        <w:tc>
          <w:tcPr>
            <w:tcW w:w="1291" w:type="dxa"/>
            <w:vAlign w:val="center"/>
          </w:tcPr>
          <w:p w:rsidR="00EA29B9" w:rsidRDefault="00066239">
            <w:pPr>
              <w:jc w:val="right"/>
            </w:pPr>
            <w:r>
              <w:rPr>
                <w:rFonts w:eastAsiaTheme="minorEastAsia"/>
                <w:color w:val="000000" w:themeColor="text1"/>
                <w:szCs w:val="21"/>
              </w:rPr>
              <w:t>-20.69%</w:t>
            </w:r>
          </w:p>
        </w:tc>
        <w:tc>
          <w:tcPr>
            <w:tcW w:w="1291" w:type="dxa"/>
            <w:vAlign w:val="center"/>
          </w:tcPr>
          <w:p w:rsidR="00EA29B9" w:rsidRDefault="00066239">
            <w:pPr>
              <w:jc w:val="right"/>
            </w:pPr>
            <w:r>
              <w:rPr>
                <w:rFonts w:eastAsiaTheme="minorEastAsia"/>
                <w:color w:val="000000" w:themeColor="text1"/>
                <w:szCs w:val="21"/>
              </w:rPr>
              <w:t>0.61%</w:t>
            </w:r>
          </w:p>
        </w:tc>
        <w:tc>
          <w:tcPr>
            <w:tcW w:w="1291" w:type="dxa"/>
            <w:vAlign w:val="center"/>
          </w:tcPr>
          <w:p w:rsidR="00EA29B9" w:rsidRDefault="00066239">
            <w:pPr>
              <w:jc w:val="right"/>
            </w:pPr>
            <w:r>
              <w:rPr>
                <w:rFonts w:eastAsiaTheme="minorEastAsia"/>
                <w:color w:val="000000" w:themeColor="text1"/>
                <w:szCs w:val="21"/>
              </w:rPr>
              <w:t>-3.79%</w:t>
            </w:r>
          </w:p>
        </w:tc>
        <w:tc>
          <w:tcPr>
            <w:tcW w:w="1291" w:type="dxa"/>
            <w:vAlign w:val="center"/>
          </w:tcPr>
          <w:p w:rsidR="00EA29B9" w:rsidRDefault="00066239">
            <w:pPr>
              <w:jc w:val="right"/>
            </w:pPr>
            <w:r>
              <w:rPr>
                <w:rFonts w:eastAsiaTheme="minorEastAsia"/>
                <w:color w:val="000000" w:themeColor="text1"/>
                <w:szCs w:val="21"/>
              </w:rPr>
              <w:t>0.42%</w:t>
            </w:r>
          </w:p>
        </w:tc>
        <w:tc>
          <w:tcPr>
            <w:tcW w:w="1291" w:type="dxa"/>
            <w:vAlign w:val="center"/>
          </w:tcPr>
          <w:p w:rsidR="00EA29B9" w:rsidRDefault="00066239">
            <w:pPr>
              <w:jc w:val="right"/>
            </w:pPr>
            <w:r>
              <w:rPr>
                <w:rFonts w:eastAsiaTheme="minorEastAsia"/>
                <w:color w:val="000000" w:themeColor="text1"/>
                <w:szCs w:val="21"/>
              </w:rPr>
              <w:t>-16.90%</w:t>
            </w:r>
          </w:p>
        </w:tc>
        <w:tc>
          <w:tcPr>
            <w:tcW w:w="1291" w:type="dxa"/>
            <w:vAlign w:val="center"/>
          </w:tcPr>
          <w:p w:rsidR="00EA29B9" w:rsidRDefault="00066239">
            <w:pPr>
              <w:jc w:val="right"/>
            </w:pPr>
            <w:r>
              <w:rPr>
                <w:rFonts w:eastAsiaTheme="minorEastAsia"/>
                <w:color w:val="000000" w:themeColor="text1"/>
                <w:szCs w:val="21"/>
              </w:rPr>
              <w:t>0.19%</w:t>
            </w:r>
          </w:p>
        </w:tc>
      </w:tr>
      <w:tr w:rsidR="00EA29B9">
        <w:tc>
          <w:tcPr>
            <w:tcW w:w="1290" w:type="dxa"/>
            <w:vAlign w:val="center"/>
          </w:tcPr>
          <w:p w:rsidR="00EA29B9" w:rsidRDefault="00066239">
            <w:pPr>
              <w:jc w:val="left"/>
            </w:pPr>
            <w:r>
              <w:rPr>
                <w:rFonts w:eastAsiaTheme="minorEastAsia"/>
                <w:color w:val="000000" w:themeColor="text1"/>
                <w:szCs w:val="21"/>
              </w:rPr>
              <w:t>过去三年</w:t>
            </w:r>
          </w:p>
        </w:tc>
        <w:tc>
          <w:tcPr>
            <w:tcW w:w="1291" w:type="dxa"/>
            <w:vAlign w:val="center"/>
          </w:tcPr>
          <w:p w:rsidR="00EA29B9" w:rsidRDefault="00066239">
            <w:pPr>
              <w:jc w:val="right"/>
            </w:pPr>
            <w:r>
              <w:rPr>
                <w:rFonts w:eastAsiaTheme="minorEastAsia"/>
                <w:color w:val="000000" w:themeColor="text1"/>
                <w:szCs w:val="21"/>
              </w:rPr>
              <w:t>-37.99%</w:t>
            </w:r>
          </w:p>
        </w:tc>
        <w:tc>
          <w:tcPr>
            <w:tcW w:w="1291" w:type="dxa"/>
            <w:vAlign w:val="center"/>
          </w:tcPr>
          <w:p w:rsidR="00EA29B9" w:rsidRDefault="00066239">
            <w:pPr>
              <w:jc w:val="right"/>
            </w:pPr>
            <w:r>
              <w:rPr>
                <w:rFonts w:eastAsiaTheme="minorEastAsia"/>
                <w:color w:val="000000" w:themeColor="text1"/>
                <w:szCs w:val="21"/>
              </w:rPr>
              <w:t>1.22%</w:t>
            </w:r>
          </w:p>
        </w:tc>
        <w:tc>
          <w:tcPr>
            <w:tcW w:w="1291" w:type="dxa"/>
            <w:vAlign w:val="center"/>
          </w:tcPr>
          <w:p w:rsidR="00EA29B9" w:rsidRDefault="00066239">
            <w:pPr>
              <w:jc w:val="right"/>
            </w:pPr>
            <w:r>
              <w:rPr>
                <w:rFonts w:eastAsiaTheme="minorEastAsia"/>
                <w:color w:val="000000" w:themeColor="text1"/>
                <w:szCs w:val="21"/>
              </w:rPr>
              <w:t>-11.02%</w:t>
            </w:r>
          </w:p>
        </w:tc>
        <w:tc>
          <w:tcPr>
            <w:tcW w:w="1291" w:type="dxa"/>
            <w:vAlign w:val="center"/>
          </w:tcPr>
          <w:p w:rsidR="00EA29B9" w:rsidRDefault="00066239">
            <w:pPr>
              <w:jc w:val="right"/>
            </w:pPr>
            <w:r>
              <w:rPr>
                <w:rFonts w:eastAsiaTheme="minorEastAsia"/>
                <w:color w:val="000000" w:themeColor="text1"/>
                <w:szCs w:val="21"/>
              </w:rPr>
              <w:t>0.56%</w:t>
            </w:r>
          </w:p>
        </w:tc>
        <w:tc>
          <w:tcPr>
            <w:tcW w:w="1291" w:type="dxa"/>
            <w:vAlign w:val="center"/>
          </w:tcPr>
          <w:p w:rsidR="00EA29B9" w:rsidRDefault="00066239">
            <w:pPr>
              <w:jc w:val="right"/>
            </w:pPr>
            <w:r>
              <w:rPr>
                <w:rFonts w:eastAsiaTheme="minorEastAsia"/>
                <w:color w:val="000000" w:themeColor="text1"/>
                <w:szCs w:val="21"/>
              </w:rPr>
              <w:t>-26.97%</w:t>
            </w:r>
          </w:p>
        </w:tc>
        <w:tc>
          <w:tcPr>
            <w:tcW w:w="1291" w:type="dxa"/>
            <w:vAlign w:val="center"/>
          </w:tcPr>
          <w:p w:rsidR="00EA29B9" w:rsidRDefault="00066239">
            <w:pPr>
              <w:jc w:val="right"/>
            </w:pPr>
            <w:r>
              <w:rPr>
                <w:rFonts w:eastAsiaTheme="minorEastAsia"/>
                <w:color w:val="000000" w:themeColor="text1"/>
                <w:szCs w:val="21"/>
              </w:rPr>
              <w:t>0.66%</w:t>
            </w:r>
          </w:p>
        </w:tc>
      </w:tr>
      <w:tr w:rsidR="00EA29B9">
        <w:tc>
          <w:tcPr>
            <w:tcW w:w="1290" w:type="dxa"/>
            <w:vAlign w:val="center"/>
          </w:tcPr>
          <w:p w:rsidR="00EA29B9" w:rsidRDefault="00066239">
            <w:pPr>
              <w:jc w:val="left"/>
            </w:pPr>
            <w:r>
              <w:rPr>
                <w:rFonts w:eastAsiaTheme="minorEastAsia"/>
                <w:color w:val="000000" w:themeColor="text1"/>
                <w:szCs w:val="21"/>
              </w:rPr>
              <w:t>过去五年</w:t>
            </w:r>
          </w:p>
        </w:tc>
        <w:tc>
          <w:tcPr>
            <w:tcW w:w="1291" w:type="dxa"/>
            <w:vAlign w:val="center"/>
          </w:tcPr>
          <w:p w:rsidR="00EA29B9" w:rsidRDefault="00066239">
            <w:pPr>
              <w:jc w:val="right"/>
            </w:pPr>
            <w:r>
              <w:rPr>
                <w:rFonts w:eastAsiaTheme="minorEastAsia"/>
                <w:color w:val="000000" w:themeColor="text1"/>
                <w:szCs w:val="21"/>
              </w:rPr>
              <w:t>57.71%</w:t>
            </w:r>
          </w:p>
        </w:tc>
        <w:tc>
          <w:tcPr>
            <w:tcW w:w="1291" w:type="dxa"/>
            <w:vAlign w:val="center"/>
          </w:tcPr>
          <w:p w:rsidR="00EA29B9" w:rsidRDefault="00066239">
            <w:pPr>
              <w:jc w:val="right"/>
            </w:pPr>
            <w:r>
              <w:rPr>
                <w:rFonts w:eastAsiaTheme="minorEastAsia"/>
                <w:color w:val="000000" w:themeColor="text1"/>
                <w:szCs w:val="21"/>
              </w:rPr>
              <w:t>1.23%</w:t>
            </w:r>
          </w:p>
        </w:tc>
        <w:tc>
          <w:tcPr>
            <w:tcW w:w="1291" w:type="dxa"/>
            <w:vAlign w:val="center"/>
          </w:tcPr>
          <w:p w:rsidR="00EA29B9" w:rsidRDefault="00066239">
            <w:pPr>
              <w:jc w:val="right"/>
            </w:pPr>
            <w:r>
              <w:rPr>
                <w:rFonts w:eastAsiaTheme="minorEastAsia"/>
                <w:color w:val="000000" w:themeColor="text1"/>
                <w:szCs w:val="21"/>
              </w:rPr>
              <w:t>17.62%</w:t>
            </w:r>
          </w:p>
        </w:tc>
        <w:tc>
          <w:tcPr>
            <w:tcW w:w="1291" w:type="dxa"/>
            <w:vAlign w:val="center"/>
          </w:tcPr>
          <w:p w:rsidR="00EA29B9" w:rsidRDefault="00066239">
            <w:pPr>
              <w:jc w:val="right"/>
            </w:pPr>
            <w:r>
              <w:rPr>
                <w:rFonts w:eastAsiaTheme="minorEastAsia"/>
                <w:color w:val="000000" w:themeColor="text1"/>
                <w:szCs w:val="21"/>
              </w:rPr>
              <w:t>0.60%</w:t>
            </w:r>
          </w:p>
        </w:tc>
        <w:tc>
          <w:tcPr>
            <w:tcW w:w="1291" w:type="dxa"/>
            <w:vAlign w:val="center"/>
          </w:tcPr>
          <w:p w:rsidR="00EA29B9" w:rsidRDefault="00066239">
            <w:pPr>
              <w:jc w:val="right"/>
            </w:pPr>
            <w:r>
              <w:rPr>
                <w:rFonts w:eastAsiaTheme="minorEastAsia"/>
                <w:color w:val="000000" w:themeColor="text1"/>
                <w:szCs w:val="21"/>
              </w:rPr>
              <w:t>40.09%</w:t>
            </w:r>
          </w:p>
        </w:tc>
        <w:tc>
          <w:tcPr>
            <w:tcW w:w="1291" w:type="dxa"/>
            <w:vAlign w:val="center"/>
          </w:tcPr>
          <w:p w:rsidR="00EA29B9" w:rsidRDefault="00066239">
            <w:pPr>
              <w:jc w:val="right"/>
            </w:pPr>
            <w:r>
              <w:rPr>
                <w:rFonts w:eastAsiaTheme="minorEastAsia"/>
                <w:color w:val="000000" w:themeColor="text1"/>
                <w:szCs w:val="21"/>
              </w:rPr>
              <w:t>0.63%</w:t>
            </w:r>
          </w:p>
        </w:tc>
      </w:tr>
      <w:tr w:rsidR="00EA29B9">
        <w:tc>
          <w:tcPr>
            <w:tcW w:w="1290" w:type="dxa"/>
            <w:vAlign w:val="center"/>
          </w:tcPr>
          <w:p w:rsidR="00EA29B9" w:rsidRDefault="00066239">
            <w:pPr>
              <w:jc w:val="left"/>
            </w:pPr>
            <w:r>
              <w:rPr>
                <w:rFonts w:eastAsiaTheme="minorEastAsia"/>
                <w:color w:val="000000" w:themeColor="text1"/>
                <w:szCs w:val="21"/>
              </w:rPr>
              <w:t>自基金合同生效起至今</w:t>
            </w:r>
          </w:p>
        </w:tc>
        <w:tc>
          <w:tcPr>
            <w:tcW w:w="1291" w:type="dxa"/>
            <w:vAlign w:val="center"/>
          </w:tcPr>
          <w:p w:rsidR="00EA29B9" w:rsidRDefault="00066239">
            <w:pPr>
              <w:jc w:val="right"/>
            </w:pPr>
            <w:r>
              <w:rPr>
                <w:rFonts w:eastAsiaTheme="minorEastAsia"/>
                <w:color w:val="000000" w:themeColor="text1"/>
                <w:szCs w:val="21"/>
              </w:rPr>
              <w:t>216.73%</w:t>
            </w:r>
          </w:p>
        </w:tc>
        <w:tc>
          <w:tcPr>
            <w:tcW w:w="1291" w:type="dxa"/>
            <w:vAlign w:val="center"/>
          </w:tcPr>
          <w:p w:rsidR="00EA29B9" w:rsidRDefault="00066239">
            <w:pPr>
              <w:jc w:val="right"/>
            </w:pPr>
            <w:r>
              <w:rPr>
                <w:rFonts w:eastAsiaTheme="minorEastAsia"/>
                <w:color w:val="000000" w:themeColor="text1"/>
                <w:szCs w:val="21"/>
              </w:rPr>
              <w:t>1.21%</w:t>
            </w:r>
          </w:p>
        </w:tc>
        <w:tc>
          <w:tcPr>
            <w:tcW w:w="1291" w:type="dxa"/>
            <w:vAlign w:val="center"/>
          </w:tcPr>
          <w:p w:rsidR="00EA29B9" w:rsidRDefault="00066239">
            <w:pPr>
              <w:jc w:val="right"/>
            </w:pPr>
            <w:r>
              <w:rPr>
                <w:rFonts w:eastAsiaTheme="minorEastAsia"/>
                <w:color w:val="000000" w:themeColor="text1"/>
                <w:szCs w:val="21"/>
              </w:rPr>
              <w:t>37.13%</w:t>
            </w:r>
          </w:p>
        </w:tc>
        <w:tc>
          <w:tcPr>
            <w:tcW w:w="1291" w:type="dxa"/>
            <w:vAlign w:val="center"/>
          </w:tcPr>
          <w:p w:rsidR="00EA29B9" w:rsidRDefault="00066239">
            <w:pPr>
              <w:jc w:val="right"/>
            </w:pPr>
            <w:r>
              <w:rPr>
                <w:rFonts w:eastAsiaTheme="minorEastAsia"/>
                <w:color w:val="000000" w:themeColor="text1"/>
                <w:szCs w:val="21"/>
              </w:rPr>
              <w:t>0.77%</w:t>
            </w:r>
          </w:p>
        </w:tc>
        <w:tc>
          <w:tcPr>
            <w:tcW w:w="1291" w:type="dxa"/>
            <w:vAlign w:val="center"/>
          </w:tcPr>
          <w:p w:rsidR="00EA29B9" w:rsidRDefault="00066239">
            <w:pPr>
              <w:jc w:val="right"/>
            </w:pPr>
            <w:r>
              <w:rPr>
                <w:rFonts w:eastAsiaTheme="minorEastAsia"/>
                <w:color w:val="000000" w:themeColor="text1"/>
                <w:szCs w:val="21"/>
              </w:rPr>
              <w:t>179.60%</w:t>
            </w:r>
          </w:p>
        </w:tc>
        <w:tc>
          <w:tcPr>
            <w:tcW w:w="1291" w:type="dxa"/>
            <w:vAlign w:val="center"/>
          </w:tcPr>
          <w:p w:rsidR="00EA29B9" w:rsidRDefault="00066239">
            <w:pPr>
              <w:jc w:val="right"/>
            </w:pPr>
            <w:r>
              <w:rPr>
                <w:rFonts w:eastAsiaTheme="minorEastAsia"/>
                <w:color w:val="000000" w:themeColor="text1"/>
                <w:szCs w:val="21"/>
              </w:rPr>
              <w:t>0.44%</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摩根双核平衡混合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EA29B9">
        <w:tc>
          <w:tcPr>
            <w:tcW w:w="1290" w:type="dxa"/>
            <w:vAlign w:val="center"/>
          </w:tcPr>
          <w:p w:rsidR="00EA29B9" w:rsidRDefault="00066239">
            <w:pPr>
              <w:jc w:val="left"/>
            </w:pPr>
            <w:r>
              <w:rPr>
                <w:rFonts w:eastAsiaTheme="minorEastAsia"/>
                <w:color w:val="000000" w:themeColor="text1"/>
                <w:szCs w:val="21"/>
              </w:rPr>
              <w:t>过去三个月</w:t>
            </w:r>
          </w:p>
        </w:tc>
        <w:tc>
          <w:tcPr>
            <w:tcW w:w="1291" w:type="dxa"/>
            <w:vAlign w:val="center"/>
          </w:tcPr>
          <w:p w:rsidR="00EA29B9" w:rsidRDefault="00066239">
            <w:pPr>
              <w:jc w:val="right"/>
            </w:pPr>
            <w:r>
              <w:rPr>
                <w:rFonts w:eastAsiaTheme="minorEastAsia"/>
                <w:color w:val="000000" w:themeColor="text1"/>
                <w:szCs w:val="21"/>
              </w:rPr>
              <w:t>-4.13%</w:t>
            </w:r>
          </w:p>
        </w:tc>
        <w:tc>
          <w:tcPr>
            <w:tcW w:w="1291" w:type="dxa"/>
            <w:vAlign w:val="center"/>
          </w:tcPr>
          <w:p w:rsidR="00EA29B9" w:rsidRDefault="00066239">
            <w:pPr>
              <w:jc w:val="right"/>
            </w:pPr>
            <w:r>
              <w:rPr>
                <w:rFonts w:eastAsiaTheme="minorEastAsia"/>
                <w:color w:val="000000" w:themeColor="text1"/>
                <w:szCs w:val="21"/>
              </w:rPr>
              <w:t>0.40%</w:t>
            </w:r>
          </w:p>
        </w:tc>
        <w:tc>
          <w:tcPr>
            <w:tcW w:w="1291" w:type="dxa"/>
            <w:vAlign w:val="center"/>
          </w:tcPr>
          <w:p w:rsidR="00EA29B9" w:rsidRDefault="00066239">
            <w:pPr>
              <w:jc w:val="right"/>
            </w:pPr>
            <w:r>
              <w:rPr>
                <w:rFonts w:eastAsiaTheme="minorEastAsia"/>
                <w:color w:val="000000" w:themeColor="text1"/>
                <w:szCs w:val="21"/>
              </w:rPr>
              <w:t>-3.11%</w:t>
            </w:r>
          </w:p>
        </w:tc>
        <w:tc>
          <w:tcPr>
            <w:tcW w:w="1291" w:type="dxa"/>
            <w:vAlign w:val="center"/>
          </w:tcPr>
          <w:p w:rsidR="00EA29B9" w:rsidRDefault="00066239">
            <w:pPr>
              <w:jc w:val="right"/>
            </w:pPr>
            <w:r>
              <w:rPr>
                <w:rFonts w:eastAsiaTheme="minorEastAsia"/>
                <w:color w:val="000000" w:themeColor="text1"/>
                <w:szCs w:val="21"/>
              </w:rPr>
              <w:t>0.39%</w:t>
            </w:r>
          </w:p>
        </w:tc>
        <w:tc>
          <w:tcPr>
            <w:tcW w:w="1291" w:type="dxa"/>
            <w:vAlign w:val="center"/>
          </w:tcPr>
          <w:p w:rsidR="00EA29B9" w:rsidRDefault="00066239">
            <w:pPr>
              <w:jc w:val="right"/>
            </w:pPr>
            <w:r>
              <w:rPr>
                <w:rFonts w:eastAsiaTheme="minorEastAsia"/>
                <w:color w:val="000000" w:themeColor="text1"/>
                <w:szCs w:val="21"/>
              </w:rPr>
              <w:t>-1.02%</w:t>
            </w:r>
          </w:p>
        </w:tc>
        <w:tc>
          <w:tcPr>
            <w:tcW w:w="1291" w:type="dxa"/>
            <w:vAlign w:val="center"/>
          </w:tcPr>
          <w:p w:rsidR="00EA29B9" w:rsidRDefault="00066239">
            <w:pPr>
              <w:jc w:val="right"/>
            </w:pPr>
            <w:r>
              <w:rPr>
                <w:rFonts w:eastAsiaTheme="minorEastAsia"/>
                <w:color w:val="000000" w:themeColor="text1"/>
                <w:szCs w:val="21"/>
              </w:rPr>
              <w:t>0.01%</w:t>
            </w:r>
          </w:p>
        </w:tc>
      </w:tr>
      <w:tr w:rsidR="00EA29B9">
        <w:tc>
          <w:tcPr>
            <w:tcW w:w="1290" w:type="dxa"/>
            <w:vAlign w:val="center"/>
          </w:tcPr>
          <w:p w:rsidR="00EA29B9" w:rsidRDefault="00066239">
            <w:pPr>
              <w:jc w:val="left"/>
            </w:pPr>
            <w:r>
              <w:rPr>
                <w:rFonts w:eastAsiaTheme="minorEastAsia"/>
                <w:color w:val="000000" w:themeColor="text1"/>
                <w:szCs w:val="21"/>
              </w:rPr>
              <w:t>过去六个月</w:t>
            </w:r>
          </w:p>
        </w:tc>
        <w:tc>
          <w:tcPr>
            <w:tcW w:w="1291" w:type="dxa"/>
            <w:vAlign w:val="center"/>
          </w:tcPr>
          <w:p w:rsidR="00EA29B9" w:rsidRDefault="00066239">
            <w:pPr>
              <w:jc w:val="right"/>
            </w:pPr>
            <w:r>
              <w:rPr>
                <w:rFonts w:eastAsiaTheme="minorEastAsia"/>
                <w:color w:val="000000" w:themeColor="text1"/>
                <w:szCs w:val="21"/>
              </w:rPr>
              <w:t>-13.62%</w:t>
            </w:r>
          </w:p>
        </w:tc>
        <w:tc>
          <w:tcPr>
            <w:tcW w:w="1291" w:type="dxa"/>
            <w:vAlign w:val="center"/>
          </w:tcPr>
          <w:p w:rsidR="00EA29B9" w:rsidRDefault="00066239">
            <w:pPr>
              <w:jc w:val="right"/>
            </w:pPr>
            <w:r>
              <w:rPr>
                <w:rFonts w:eastAsiaTheme="minorEastAsia"/>
                <w:color w:val="000000" w:themeColor="text1"/>
                <w:szCs w:val="21"/>
              </w:rPr>
              <w:t>0.49%</w:t>
            </w:r>
          </w:p>
        </w:tc>
        <w:tc>
          <w:tcPr>
            <w:tcW w:w="1291" w:type="dxa"/>
            <w:vAlign w:val="center"/>
          </w:tcPr>
          <w:p w:rsidR="00EA29B9" w:rsidRDefault="00066239">
            <w:pPr>
              <w:jc w:val="right"/>
            </w:pPr>
            <w:r>
              <w:rPr>
                <w:rFonts w:eastAsiaTheme="minorEastAsia"/>
                <w:color w:val="000000" w:themeColor="text1"/>
                <w:szCs w:val="21"/>
              </w:rPr>
              <w:t>-4.55%</w:t>
            </w:r>
          </w:p>
        </w:tc>
        <w:tc>
          <w:tcPr>
            <w:tcW w:w="1291" w:type="dxa"/>
            <w:vAlign w:val="center"/>
          </w:tcPr>
          <w:p w:rsidR="00EA29B9" w:rsidRDefault="00066239">
            <w:pPr>
              <w:jc w:val="right"/>
            </w:pPr>
            <w:r>
              <w:rPr>
                <w:rFonts w:eastAsiaTheme="minorEastAsia"/>
                <w:color w:val="000000" w:themeColor="text1"/>
                <w:szCs w:val="21"/>
              </w:rPr>
              <w:t>0.42%</w:t>
            </w:r>
          </w:p>
        </w:tc>
        <w:tc>
          <w:tcPr>
            <w:tcW w:w="1291" w:type="dxa"/>
            <w:vAlign w:val="center"/>
          </w:tcPr>
          <w:p w:rsidR="00EA29B9" w:rsidRDefault="00066239">
            <w:pPr>
              <w:jc w:val="right"/>
            </w:pPr>
            <w:r>
              <w:rPr>
                <w:rFonts w:eastAsiaTheme="minorEastAsia"/>
                <w:color w:val="000000" w:themeColor="text1"/>
                <w:szCs w:val="21"/>
              </w:rPr>
              <w:t>-9.07%</w:t>
            </w:r>
          </w:p>
        </w:tc>
        <w:tc>
          <w:tcPr>
            <w:tcW w:w="1291" w:type="dxa"/>
            <w:vAlign w:val="center"/>
          </w:tcPr>
          <w:p w:rsidR="00EA29B9" w:rsidRDefault="00066239">
            <w:pPr>
              <w:jc w:val="right"/>
            </w:pPr>
            <w:r>
              <w:rPr>
                <w:rFonts w:eastAsiaTheme="minorEastAsia"/>
                <w:color w:val="000000" w:themeColor="text1"/>
                <w:szCs w:val="21"/>
              </w:rPr>
              <w:t>0.07%</w:t>
            </w:r>
          </w:p>
        </w:tc>
      </w:tr>
      <w:tr w:rsidR="00EA29B9">
        <w:tc>
          <w:tcPr>
            <w:tcW w:w="1290" w:type="dxa"/>
            <w:vAlign w:val="center"/>
          </w:tcPr>
          <w:p w:rsidR="00EA29B9" w:rsidRDefault="00066239">
            <w:pPr>
              <w:jc w:val="left"/>
            </w:pPr>
            <w:r>
              <w:rPr>
                <w:rFonts w:eastAsiaTheme="minorEastAsia"/>
                <w:color w:val="000000" w:themeColor="text1"/>
                <w:szCs w:val="21"/>
              </w:rPr>
              <w:t>过去一年</w:t>
            </w:r>
          </w:p>
        </w:tc>
        <w:tc>
          <w:tcPr>
            <w:tcW w:w="1291" w:type="dxa"/>
            <w:vAlign w:val="center"/>
          </w:tcPr>
          <w:p w:rsidR="00EA29B9" w:rsidRDefault="00066239">
            <w:pPr>
              <w:jc w:val="right"/>
            </w:pPr>
            <w:r>
              <w:rPr>
                <w:rFonts w:eastAsiaTheme="minorEastAsia"/>
                <w:color w:val="000000" w:themeColor="text1"/>
                <w:szCs w:val="21"/>
              </w:rPr>
              <w:t>-21.09%</w:t>
            </w:r>
          </w:p>
        </w:tc>
        <w:tc>
          <w:tcPr>
            <w:tcW w:w="1291" w:type="dxa"/>
            <w:vAlign w:val="center"/>
          </w:tcPr>
          <w:p w:rsidR="00EA29B9" w:rsidRDefault="00066239">
            <w:pPr>
              <w:jc w:val="right"/>
            </w:pPr>
            <w:r>
              <w:rPr>
                <w:rFonts w:eastAsiaTheme="minorEastAsia"/>
                <w:color w:val="000000" w:themeColor="text1"/>
                <w:szCs w:val="21"/>
              </w:rPr>
              <w:t>0.61%</w:t>
            </w:r>
          </w:p>
        </w:tc>
        <w:tc>
          <w:tcPr>
            <w:tcW w:w="1291" w:type="dxa"/>
            <w:vAlign w:val="center"/>
          </w:tcPr>
          <w:p w:rsidR="00EA29B9" w:rsidRDefault="00066239">
            <w:pPr>
              <w:jc w:val="right"/>
            </w:pPr>
            <w:r>
              <w:rPr>
                <w:rFonts w:eastAsiaTheme="minorEastAsia"/>
                <w:color w:val="000000" w:themeColor="text1"/>
                <w:szCs w:val="21"/>
              </w:rPr>
              <w:t>-3.79%</w:t>
            </w:r>
          </w:p>
        </w:tc>
        <w:tc>
          <w:tcPr>
            <w:tcW w:w="1291" w:type="dxa"/>
            <w:vAlign w:val="center"/>
          </w:tcPr>
          <w:p w:rsidR="00EA29B9" w:rsidRDefault="00066239">
            <w:pPr>
              <w:jc w:val="right"/>
            </w:pPr>
            <w:r>
              <w:rPr>
                <w:rFonts w:eastAsiaTheme="minorEastAsia"/>
                <w:color w:val="000000" w:themeColor="text1"/>
                <w:szCs w:val="21"/>
              </w:rPr>
              <w:t>0.42%</w:t>
            </w:r>
          </w:p>
        </w:tc>
        <w:tc>
          <w:tcPr>
            <w:tcW w:w="1291" w:type="dxa"/>
            <w:vAlign w:val="center"/>
          </w:tcPr>
          <w:p w:rsidR="00EA29B9" w:rsidRDefault="00066239">
            <w:pPr>
              <w:jc w:val="right"/>
            </w:pPr>
            <w:r>
              <w:rPr>
                <w:rFonts w:eastAsiaTheme="minorEastAsia"/>
                <w:color w:val="000000" w:themeColor="text1"/>
                <w:szCs w:val="21"/>
              </w:rPr>
              <w:t>-17.30%</w:t>
            </w:r>
          </w:p>
        </w:tc>
        <w:tc>
          <w:tcPr>
            <w:tcW w:w="1291" w:type="dxa"/>
            <w:vAlign w:val="center"/>
          </w:tcPr>
          <w:p w:rsidR="00EA29B9" w:rsidRDefault="00066239">
            <w:pPr>
              <w:jc w:val="right"/>
            </w:pPr>
            <w:r>
              <w:rPr>
                <w:rFonts w:eastAsiaTheme="minorEastAsia"/>
                <w:color w:val="000000" w:themeColor="text1"/>
                <w:szCs w:val="21"/>
              </w:rPr>
              <w:t>0.19%</w:t>
            </w:r>
          </w:p>
        </w:tc>
      </w:tr>
      <w:tr w:rsidR="00EA29B9">
        <w:tc>
          <w:tcPr>
            <w:tcW w:w="1290" w:type="dxa"/>
            <w:vAlign w:val="center"/>
          </w:tcPr>
          <w:p w:rsidR="00EA29B9" w:rsidRDefault="00066239">
            <w:pPr>
              <w:jc w:val="left"/>
            </w:pPr>
            <w:r>
              <w:rPr>
                <w:rFonts w:eastAsiaTheme="minorEastAsia"/>
                <w:color w:val="000000" w:themeColor="text1"/>
                <w:szCs w:val="21"/>
              </w:rPr>
              <w:t>过去三年</w:t>
            </w:r>
          </w:p>
        </w:tc>
        <w:tc>
          <w:tcPr>
            <w:tcW w:w="1291" w:type="dxa"/>
            <w:vAlign w:val="center"/>
          </w:tcPr>
          <w:p w:rsidR="00EA29B9" w:rsidRDefault="00066239">
            <w:pPr>
              <w:jc w:val="right"/>
            </w:pPr>
            <w:r>
              <w:rPr>
                <w:rFonts w:eastAsiaTheme="minorEastAsia"/>
                <w:color w:val="000000" w:themeColor="text1"/>
                <w:szCs w:val="21"/>
              </w:rPr>
              <w:t>-</w:t>
            </w:r>
          </w:p>
        </w:tc>
        <w:tc>
          <w:tcPr>
            <w:tcW w:w="1291" w:type="dxa"/>
            <w:vAlign w:val="center"/>
          </w:tcPr>
          <w:p w:rsidR="00EA29B9" w:rsidRDefault="00066239">
            <w:pPr>
              <w:jc w:val="right"/>
            </w:pPr>
            <w:r>
              <w:rPr>
                <w:rFonts w:eastAsiaTheme="minorEastAsia"/>
                <w:color w:val="000000" w:themeColor="text1"/>
                <w:szCs w:val="21"/>
              </w:rPr>
              <w:t>-</w:t>
            </w:r>
          </w:p>
        </w:tc>
        <w:tc>
          <w:tcPr>
            <w:tcW w:w="1291" w:type="dxa"/>
            <w:vAlign w:val="center"/>
          </w:tcPr>
          <w:p w:rsidR="00EA29B9" w:rsidRDefault="00066239">
            <w:pPr>
              <w:jc w:val="right"/>
            </w:pPr>
            <w:r>
              <w:rPr>
                <w:rFonts w:eastAsiaTheme="minorEastAsia"/>
                <w:color w:val="000000" w:themeColor="text1"/>
                <w:szCs w:val="21"/>
              </w:rPr>
              <w:t>-</w:t>
            </w:r>
          </w:p>
        </w:tc>
        <w:tc>
          <w:tcPr>
            <w:tcW w:w="1291" w:type="dxa"/>
            <w:vAlign w:val="center"/>
          </w:tcPr>
          <w:p w:rsidR="00EA29B9" w:rsidRDefault="00066239">
            <w:pPr>
              <w:jc w:val="right"/>
            </w:pPr>
            <w:r>
              <w:rPr>
                <w:rFonts w:eastAsiaTheme="minorEastAsia"/>
                <w:color w:val="000000" w:themeColor="text1"/>
                <w:szCs w:val="21"/>
              </w:rPr>
              <w:t>-</w:t>
            </w:r>
          </w:p>
        </w:tc>
        <w:tc>
          <w:tcPr>
            <w:tcW w:w="1291" w:type="dxa"/>
            <w:vAlign w:val="center"/>
          </w:tcPr>
          <w:p w:rsidR="00EA29B9" w:rsidRDefault="00066239">
            <w:pPr>
              <w:jc w:val="right"/>
            </w:pPr>
            <w:r>
              <w:rPr>
                <w:rFonts w:eastAsiaTheme="minorEastAsia"/>
                <w:color w:val="000000" w:themeColor="text1"/>
                <w:szCs w:val="21"/>
              </w:rPr>
              <w:t>-</w:t>
            </w:r>
          </w:p>
        </w:tc>
        <w:tc>
          <w:tcPr>
            <w:tcW w:w="1291" w:type="dxa"/>
            <w:vAlign w:val="center"/>
          </w:tcPr>
          <w:p w:rsidR="00EA29B9" w:rsidRDefault="00066239">
            <w:pPr>
              <w:jc w:val="right"/>
            </w:pPr>
            <w:r>
              <w:rPr>
                <w:rFonts w:eastAsiaTheme="minorEastAsia"/>
                <w:color w:val="000000" w:themeColor="text1"/>
                <w:szCs w:val="21"/>
              </w:rPr>
              <w:t>-</w:t>
            </w:r>
          </w:p>
        </w:tc>
      </w:tr>
      <w:tr w:rsidR="00EA29B9">
        <w:tc>
          <w:tcPr>
            <w:tcW w:w="1290" w:type="dxa"/>
            <w:vAlign w:val="center"/>
          </w:tcPr>
          <w:p w:rsidR="00EA29B9" w:rsidRDefault="00066239">
            <w:pPr>
              <w:jc w:val="left"/>
            </w:pPr>
            <w:r>
              <w:rPr>
                <w:rFonts w:eastAsiaTheme="minorEastAsia"/>
                <w:color w:val="000000" w:themeColor="text1"/>
                <w:szCs w:val="21"/>
              </w:rPr>
              <w:t>过去五年</w:t>
            </w:r>
          </w:p>
        </w:tc>
        <w:tc>
          <w:tcPr>
            <w:tcW w:w="1291" w:type="dxa"/>
            <w:vAlign w:val="center"/>
          </w:tcPr>
          <w:p w:rsidR="00EA29B9" w:rsidRDefault="00066239">
            <w:pPr>
              <w:jc w:val="right"/>
            </w:pPr>
            <w:r>
              <w:rPr>
                <w:rFonts w:eastAsiaTheme="minorEastAsia"/>
                <w:color w:val="000000" w:themeColor="text1"/>
                <w:szCs w:val="21"/>
              </w:rPr>
              <w:t>-</w:t>
            </w:r>
          </w:p>
        </w:tc>
        <w:tc>
          <w:tcPr>
            <w:tcW w:w="1291" w:type="dxa"/>
            <w:vAlign w:val="center"/>
          </w:tcPr>
          <w:p w:rsidR="00EA29B9" w:rsidRDefault="00066239">
            <w:pPr>
              <w:jc w:val="right"/>
            </w:pPr>
            <w:r>
              <w:rPr>
                <w:rFonts w:eastAsiaTheme="minorEastAsia"/>
                <w:color w:val="000000" w:themeColor="text1"/>
                <w:szCs w:val="21"/>
              </w:rPr>
              <w:t>-</w:t>
            </w:r>
          </w:p>
        </w:tc>
        <w:tc>
          <w:tcPr>
            <w:tcW w:w="1291" w:type="dxa"/>
            <w:vAlign w:val="center"/>
          </w:tcPr>
          <w:p w:rsidR="00EA29B9" w:rsidRDefault="00066239">
            <w:pPr>
              <w:jc w:val="right"/>
            </w:pPr>
            <w:r>
              <w:rPr>
                <w:rFonts w:eastAsiaTheme="minorEastAsia"/>
                <w:color w:val="000000" w:themeColor="text1"/>
                <w:szCs w:val="21"/>
              </w:rPr>
              <w:t>-</w:t>
            </w:r>
          </w:p>
        </w:tc>
        <w:tc>
          <w:tcPr>
            <w:tcW w:w="1291" w:type="dxa"/>
            <w:vAlign w:val="center"/>
          </w:tcPr>
          <w:p w:rsidR="00EA29B9" w:rsidRDefault="00066239">
            <w:pPr>
              <w:jc w:val="right"/>
            </w:pPr>
            <w:r>
              <w:rPr>
                <w:rFonts w:eastAsiaTheme="minorEastAsia"/>
                <w:color w:val="000000" w:themeColor="text1"/>
                <w:szCs w:val="21"/>
              </w:rPr>
              <w:t>-</w:t>
            </w:r>
          </w:p>
        </w:tc>
        <w:tc>
          <w:tcPr>
            <w:tcW w:w="1291" w:type="dxa"/>
            <w:vAlign w:val="center"/>
          </w:tcPr>
          <w:p w:rsidR="00EA29B9" w:rsidRDefault="00066239">
            <w:pPr>
              <w:jc w:val="right"/>
            </w:pPr>
            <w:r>
              <w:rPr>
                <w:rFonts w:eastAsiaTheme="minorEastAsia"/>
                <w:color w:val="000000" w:themeColor="text1"/>
                <w:szCs w:val="21"/>
              </w:rPr>
              <w:t>-</w:t>
            </w:r>
          </w:p>
        </w:tc>
        <w:tc>
          <w:tcPr>
            <w:tcW w:w="1291" w:type="dxa"/>
            <w:vAlign w:val="center"/>
          </w:tcPr>
          <w:p w:rsidR="00EA29B9" w:rsidRDefault="00066239">
            <w:pPr>
              <w:jc w:val="right"/>
            </w:pPr>
            <w:r>
              <w:rPr>
                <w:rFonts w:eastAsiaTheme="minorEastAsia"/>
                <w:color w:val="000000" w:themeColor="text1"/>
                <w:szCs w:val="21"/>
              </w:rPr>
              <w:t>-</w:t>
            </w:r>
          </w:p>
        </w:tc>
      </w:tr>
      <w:tr w:rsidR="00EA29B9">
        <w:tc>
          <w:tcPr>
            <w:tcW w:w="1290" w:type="dxa"/>
            <w:vAlign w:val="center"/>
          </w:tcPr>
          <w:p w:rsidR="00EA29B9" w:rsidRDefault="00066239">
            <w:pPr>
              <w:jc w:val="left"/>
            </w:pPr>
            <w:r>
              <w:rPr>
                <w:rFonts w:eastAsiaTheme="minorEastAsia"/>
                <w:color w:val="000000" w:themeColor="text1"/>
                <w:szCs w:val="21"/>
              </w:rPr>
              <w:t>自基金合同生效起至今</w:t>
            </w:r>
          </w:p>
        </w:tc>
        <w:tc>
          <w:tcPr>
            <w:tcW w:w="1291" w:type="dxa"/>
            <w:vAlign w:val="center"/>
          </w:tcPr>
          <w:p w:rsidR="00EA29B9" w:rsidRDefault="00066239">
            <w:pPr>
              <w:jc w:val="right"/>
            </w:pPr>
            <w:r>
              <w:rPr>
                <w:rFonts w:eastAsiaTheme="minorEastAsia"/>
                <w:color w:val="000000" w:themeColor="text1"/>
                <w:szCs w:val="21"/>
              </w:rPr>
              <w:t>-31.46%</w:t>
            </w:r>
          </w:p>
        </w:tc>
        <w:tc>
          <w:tcPr>
            <w:tcW w:w="1291" w:type="dxa"/>
            <w:vAlign w:val="center"/>
          </w:tcPr>
          <w:p w:rsidR="00EA29B9" w:rsidRDefault="00066239">
            <w:pPr>
              <w:jc w:val="right"/>
            </w:pPr>
            <w:r>
              <w:rPr>
                <w:rFonts w:eastAsiaTheme="minorEastAsia"/>
                <w:color w:val="000000" w:themeColor="text1"/>
                <w:szCs w:val="21"/>
              </w:rPr>
              <w:t>1.04%</w:t>
            </w:r>
          </w:p>
        </w:tc>
        <w:tc>
          <w:tcPr>
            <w:tcW w:w="1291" w:type="dxa"/>
            <w:vAlign w:val="center"/>
          </w:tcPr>
          <w:p w:rsidR="00EA29B9" w:rsidRDefault="00066239">
            <w:pPr>
              <w:jc w:val="right"/>
            </w:pPr>
            <w:r>
              <w:rPr>
                <w:rFonts w:eastAsiaTheme="minorEastAsia"/>
                <w:color w:val="000000" w:themeColor="text1"/>
                <w:szCs w:val="21"/>
              </w:rPr>
              <w:t>-6.82%</w:t>
            </w:r>
          </w:p>
        </w:tc>
        <w:tc>
          <w:tcPr>
            <w:tcW w:w="1291" w:type="dxa"/>
            <w:vAlign w:val="center"/>
          </w:tcPr>
          <w:p w:rsidR="00EA29B9" w:rsidRDefault="00066239">
            <w:pPr>
              <w:jc w:val="right"/>
            </w:pPr>
            <w:r>
              <w:rPr>
                <w:rFonts w:eastAsiaTheme="minorEastAsia"/>
                <w:color w:val="000000" w:themeColor="text1"/>
                <w:szCs w:val="21"/>
              </w:rPr>
              <w:t>0.54%</w:t>
            </w:r>
          </w:p>
        </w:tc>
        <w:tc>
          <w:tcPr>
            <w:tcW w:w="1291" w:type="dxa"/>
            <w:vAlign w:val="center"/>
          </w:tcPr>
          <w:p w:rsidR="00EA29B9" w:rsidRDefault="00066239">
            <w:pPr>
              <w:jc w:val="right"/>
            </w:pPr>
            <w:r>
              <w:rPr>
                <w:rFonts w:eastAsiaTheme="minorEastAsia"/>
                <w:color w:val="000000" w:themeColor="text1"/>
                <w:szCs w:val="21"/>
              </w:rPr>
              <w:t>-24.64%</w:t>
            </w:r>
          </w:p>
        </w:tc>
        <w:tc>
          <w:tcPr>
            <w:tcW w:w="1291" w:type="dxa"/>
            <w:vAlign w:val="center"/>
          </w:tcPr>
          <w:p w:rsidR="00EA29B9" w:rsidRDefault="00066239">
            <w:pPr>
              <w:jc w:val="right"/>
            </w:pPr>
            <w:r>
              <w:rPr>
                <w:rFonts w:eastAsiaTheme="minorEastAsia"/>
                <w:color w:val="000000" w:themeColor="text1"/>
                <w:szCs w:val="21"/>
              </w:rPr>
              <w:t>0.50%</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摩根双核平衡混合型证券投资基金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(2008</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5</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21</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．摩根双核平衡混合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EA29B9" w:rsidRDefault="00066239">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21</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．摩根双核平衡混合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EA29B9" w:rsidRDefault="00066239">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2022 </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22</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r>
        <w:rPr>
          <w:rFonts w:eastAsiaTheme="minorEastAsia"/>
          <w:color w:val="000000" w:themeColor="text1"/>
          <w:szCs w:val="21"/>
        </w:rPr>
        <w:t xml:space="preserve"> </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EA29B9">
        <w:tc>
          <w:tcPr>
            <w:tcW w:w="952" w:type="dxa"/>
            <w:vAlign w:val="center"/>
          </w:tcPr>
          <w:p w:rsidR="00EA29B9" w:rsidRDefault="00066239">
            <w:pPr>
              <w:jc w:val="center"/>
            </w:pPr>
            <w:r>
              <w:rPr>
                <w:rFonts w:eastAsiaTheme="minorEastAsia"/>
                <w:color w:val="000000" w:themeColor="text1"/>
                <w:szCs w:val="21"/>
              </w:rPr>
              <w:t>陈思郁</w:t>
            </w:r>
          </w:p>
        </w:tc>
        <w:tc>
          <w:tcPr>
            <w:tcW w:w="930" w:type="dxa"/>
            <w:vAlign w:val="center"/>
          </w:tcPr>
          <w:p w:rsidR="00EA29B9" w:rsidRDefault="00066239">
            <w:pPr>
              <w:jc w:val="center"/>
            </w:pPr>
            <w:r>
              <w:rPr>
                <w:rFonts w:eastAsiaTheme="minorEastAsia"/>
                <w:color w:val="000000" w:themeColor="text1"/>
                <w:szCs w:val="21"/>
              </w:rPr>
              <w:t>本基金基金经理</w:t>
            </w:r>
          </w:p>
        </w:tc>
        <w:tc>
          <w:tcPr>
            <w:tcW w:w="1210" w:type="dxa"/>
            <w:vAlign w:val="center"/>
          </w:tcPr>
          <w:p w:rsidR="00EA29B9" w:rsidRDefault="00066239">
            <w:pPr>
              <w:jc w:val="center"/>
            </w:pPr>
            <w:r>
              <w:rPr>
                <w:rFonts w:eastAsiaTheme="minorEastAsia"/>
                <w:color w:val="000000" w:themeColor="text1"/>
                <w:szCs w:val="21"/>
              </w:rPr>
              <w:t>2015-08-04</w:t>
            </w:r>
          </w:p>
        </w:tc>
        <w:tc>
          <w:tcPr>
            <w:tcW w:w="1309" w:type="dxa"/>
            <w:vAlign w:val="center"/>
          </w:tcPr>
          <w:p w:rsidR="00EA29B9" w:rsidRDefault="00066239">
            <w:pPr>
              <w:jc w:val="center"/>
            </w:pPr>
            <w:r>
              <w:rPr>
                <w:rFonts w:eastAsiaTheme="minorEastAsia"/>
                <w:color w:val="000000" w:themeColor="text1"/>
                <w:szCs w:val="21"/>
              </w:rPr>
              <w:t>-</w:t>
            </w:r>
          </w:p>
        </w:tc>
        <w:tc>
          <w:tcPr>
            <w:tcW w:w="1254" w:type="dxa"/>
            <w:vAlign w:val="center"/>
          </w:tcPr>
          <w:p w:rsidR="00EA29B9" w:rsidRDefault="00066239">
            <w:pPr>
              <w:jc w:val="center"/>
            </w:pPr>
            <w:r>
              <w:rPr>
                <w:rFonts w:eastAsiaTheme="minorEastAsia"/>
                <w:color w:val="000000" w:themeColor="text1"/>
                <w:szCs w:val="21"/>
              </w:rPr>
              <w:t>17</w:t>
            </w:r>
            <w:r>
              <w:rPr>
                <w:rFonts w:eastAsiaTheme="minorEastAsia"/>
                <w:color w:val="000000" w:themeColor="text1"/>
                <w:szCs w:val="21"/>
              </w:rPr>
              <w:t>年</w:t>
            </w:r>
          </w:p>
        </w:tc>
        <w:tc>
          <w:tcPr>
            <w:tcW w:w="3276" w:type="dxa"/>
            <w:vAlign w:val="center"/>
          </w:tcPr>
          <w:p w:rsidR="00EA29B9" w:rsidRDefault="00066239">
            <w:r>
              <w:rPr>
                <w:rFonts w:eastAsiaTheme="minorEastAsia"/>
                <w:color w:val="000000" w:themeColor="text1"/>
                <w:szCs w:val="21"/>
              </w:rPr>
              <w:t>陈思郁女士曾任国泰君安研究所研究员。</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月加入摩根基金管理（中国）有限公司（原上投摩根基金管理有限公司），历任行业专家、基金经理助理、基金经理，现任高级基金经理。</w:t>
            </w:r>
          </w:p>
        </w:tc>
      </w:tr>
    </w:tbl>
    <w:p w:rsidR="00EA29B9" w:rsidRDefault="0006623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C671B" w:rsidRPr="00B27A29" w:rsidRDefault="005C671B" w:rsidP="005C671B">
      <w:pPr>
        <w:autoSpaceDE w:val="0"/>
        <w:autoSpaceDN w:val="0"/>
        <w:adjustRightInd w:val="0"/>
        <w:spacing w:line="360" w:lineRule="auto"/>
        <w:jc w:val="left"/>
        <w:rPr>
          <w:rFonts w:eastAsia="Times New Roman"/>
          <w:b/>
          <w:color w:val="000000"/>
          <w:kern w:val="0"/>
          <w:sz w:val="24"/>
          <w:szCs w:val="21"/>
        </w:rPr>
      </w:pPr>
      <w:bookmarkStart w:id="1" w:name="_Hlk44921484"/>
      <w:r w:rsidRPr="00B27A29">
        <w:rPr>
          <w:b/>
          <w:color w:val="000000"/>
          <w:kern w:val="0"/>
          <w:sz w:val="24"/>
        </w:rPr>
        <w:t>4</w:t>
      </w:r>
      <w:r w:rsidRPr="00B27A29">
        <w:rPr>
          <w:rFonts w:eastAsia="Times New Roman"/>
          <w:b/>
          <w:color w:val="000000"/>
          <w:kern w:val="0"/>
          <w:sz w:val="24"/>
        </w:rPr>
        <w:t>.</w:t>
      </w:r>
      <w:r w:rsidRPr="00B27A29">
        <w:rPr>
          <w:b/>
          <w:color w:val="000000"/>
          <w:kern w:val="0"/>
          <w:sz w:val="24"/>
        </w:rPr>
        <w:t xml:space="preserve">1.1 </w:t>
      </w:r>
      <w:r w:rsidRPr="00B27A29">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2305"/>
        <w:gridCol w:w="2595"/>
        <w:gridCol w:w="1835"/>
        <w:gridCol w:w="1371"/>
      </w:tblGrid>
      <w:tr w:rsidR="005C671B" w:rsidRPr="00B27A29" w:rsidTr="005C671B">
        <w:tc>
          <w:tcPr>
            <w:tcW w:w="959"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color w:val="000000"/>
                <w:szCs w:val="21"/>
              </w:rPr>
            </w:pPr>
            <w:r w:rsidRPr="00B27A29">
              <w:rPr>
                <w:color w:val="000000"/>
                <w:szCs w:val="21"/>
              </w:rPr>
              <w:t>资产净值</w:t>
            </w:r>
            <w:r w:rsidRPr="00B27A29">
              <w:rPr>
                <w:color w:val="000000"/>
                <w:szCs w:val="21"/>
              </w:rPr>
              <w:t>(</w:t>
            </w:r>
            <w:r w:rsidRPr="00B27A29">
              <w:rPr>
                <w:color w:val="000000"/>
                <w:szCs w:val="21"/>
              </w:rPr>
              <w:t>元</w:t>
            </w: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任职时间</w:t>
            </w:r>
          </w:p>
        </w:tc>
      </w:tr>
      <w:tr w:rsidR="005C671B" w:rsidRPr="00B27A29" w:rsidTr="005C671B">
        <w:tc>
          <w:tcPr>
            <w:tcW w:w="959" w:type="dxa"/>
            <w:vMerge w:val="restart"/>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陈思郁</w:t>
            </w: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5</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2,339,070,397.06</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2015-08-04</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16,955,104.27</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2022-08-26</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6</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2,356,025,501.33</w:t>
            </w:r>
          </w:p>
        </w:tc>
        <w:tc>
          <w:tcPr>
            <w:tcW w:w="1381" w:type="dxa"/>
            <w:tcBorders>
              <w:top w:val="single" w:sz="4" w:space="0" w:color="auto"/>
              <w:left w:val="single" w:sz="4" w:space="0" w:color="auto"/>
              <w:bottom w:val="single" w:sz="4" w:space="0" w:color="auto"/>
              <w:right w:val="single" w:sz="4" w:space="0" w:color="auto"/>
            </w:tcBorders>
          </w:tcPr>
          <w:p w:rsidR="005C671B" w:rsidRPr="00B27A29" w:rsidRDefault="005C671B">
            <w:pPr>
              <w:spacing w:line="288" w:lineRule="auto"/>
              <w:jc w:val="left"/>
              <w:rPr>
                <w:color w:val="000000"/>
                <w:szCs w:val="21"/>
              </w:rPr>
            </w:pP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EA29B9" w:rsidRDefault="00066239">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EA29B9" w:rsidRDefault="00066239">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EA29B9" w:rsidRDefault="00066239">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EA29B9" w:rsidRDefault="00066239">
      <w:pPr>
        <w:spacing w:line="360" w:lineRule="auto"/>
        <w:ind w:firstLineChars="200" w:firstLine="420"/>
        <w:rPr>
          <w:rFonts w:eastAsiaTheme="minorEastAsia"/>
          <w:color w:val="000000" w:themeColor="text1"/>
          <w:szCs w:val="21"/>
        </w:rPr>
      </w:pPr>
      <w:r>
        <w:rPr>
          <w:rFonts w:eastAsiaTheme="minorEastAsia"/>
          <w:color w:val="000000" w:themeColor="text1"/>
          <w:szCs w:val="21"/>
        </w:rPr>
        <w:t>进入四季度，经济依旧低位运行，服务业和制造业</w:t>
      </w:r>
      <w:r>
        <w:rPr>
          <w:rFonts w:eastAsiaTheme="minorEastAsia"/>
          <w:color w:val="000000" w:themeColor="text1"/>
          <w:szCs w:val="21"/>
        </w:rPr>
        <w:t>PMI</w:t>
      </w:r>
      <w:r>
        <w:rPr>
          <w:rFonts w:eastAsiaTheme="minorEastAsia"/>
          <w:color w:val="000000" w:themeColor="text1"/>
          <w:szCs w:val="21"/>
        </w:rPr>
        <w:t>均持续处于收缩区间，消费左移趋势明显，地产销售疲弱，拖累经济，受益于美国补库需求，出口相对环比略有修复，是大形势中难得的亮色。因此整体</w:t>
      </w:r>
      <w:r>
        <w:rPr>
          <w:rFonts w:eastAsiaTheme="minorEastAsia"/>
          <w:color w:val="000000" w:themeColor="text1"/>
          <w:szCs w:val="21"/>
        </w:rPr>
        <w:t>A</w:t>
      </w:r>
      <w:r>
        <w:rPr>
          <w:rFonts w:eastAsiaTheme="minorEastAsia"/>
          <w:color w:val="000000" w:themeColor="text1"/>
          <w:szCs w:val="21"/>
        </w:rPr>
        <w:t>股市场赚钱效应差，</w:t>
      </w:r>
      <w:r>
        <w:rPr>
          <w:rFonts w:eastAsiaTheme="minorEastAsia"/>
          <w:color w:val="000000" w:themeColor="text1"/>
          <w:szCs w:val="21"/>
        </w:rPr>
        <w:t>板块轮动加速，持续性不佳。</w:t>
      </w:r>
    </w:p>
    <w:p w:rsidR="00EA29B9" w:rsidRDefault="00066239">
      <w:pPr>
        <w:spacing w:line="360" w:lineRule="auto"/>
        <w:ind w:firstLineChars="200" w:firstLine="420"/>
        <w:rPr>
          <w:rFonts w:eastAsiaTheme="minorEastAsia"/>
          <w:color w:val="000000" w:themeColor="text1"/>
          <w:szCs w:val="21"/>
        </w:rPr>
      </w:pPr>
      <w:r>
        <w:rPr>
          <w:rFonts w:eastAsiaTheme="minorEastAsia"/>
          <w:color w:val="000000" w:themeColor="text1"/>
          <w:szCs w:val="21"/>
        </w:rPr>
        <w:t>在这样的环境下，本基金更多的从防御角度，配置了较多的低估值高分红标的。中国经济从原先</w:t>
      </w:r>
      <w:r>
        <w:rPr>
          <w:rFonts w:eastAsiaTheme="minorEastAsia"/>
          <w:color w:val="000000" w:themeColor="text1"/>
          <w:szCs w:val="21"/>
        </w:rPr>
        <w:t>5%</w:t>
      </w:r>
      <w:r>
        <w:rPr>
          <w:rFonts w:eastAsiaTheme="minorEastAsia"/>
          <w:color w:val="000000" w:themeColor="text1"/>
          <w:szCs w:val="21"/>
        </w:rPr>
        <w:t>以上的高增速换挡为质量更高的</w:t>
      </w:r>
      <w:r>
        <w:rPr>
          <w:rFonts w:eastAsiaTheme="minorEastAsia"/>
          <w:color w:val="000000" w:themeColor="text1"/>
          <w:szCs w:val="21"/>
        </w:rPr>
        <w:t>4-5%</w:t>
      </w:r>
      <w:r>
        <w:rPr>
          <w:rFonts w:eastAsiaTheme="minorEastAsia"/>
          <w:color w:val="000000" w:themeColor="text1"/>
          <w:szCs w:val="21"/>
        </w:rPr>
        <w:t>的中速发展。在高增长年代，由于高景气度赛道相对较多，红利资产并不被偏好。但当社会整体增速较为中档，高景气度、高增长、大空间的赛道相对较少，无风险利率随之下降到</w:t>
      </w:r>
      <w:r>
        <w:rPr>
          <w:rFonts w:eastAsiaTheme="minorEastAsia"/>
          <w:color w:val="000000" w:themeColor="text1"/>
          <w:szCs w:val="21"/>
        </w:rPr>
        <w:t>2%</w:t>
      </w:r>
      <w:r>
        <w:rPr>
          <w:rFonts w:eastAsiaTheme="minorEastAsia"/>
          <w:color w:val="000000" w:themeColor="text1"/>
          <w:szCs w:val="21"/>
        </w:rPr>
        <w:t>出头时，</w:t>
      </w:r>
      <w:r>
        <w:rPr>
          <w:rFonts w:eastAsiaTheme="minorEastAsia"/>
          <w:color w:val="000000" w:themeColor="text1"/>
          <w:szCs w:val="21"/>
        </w:rPr>
        <w:t>5-10%</w:t>
      </w:r>
      <w:r>
        <w:rPr>
          <w:rFonts w:eastAsiaTheme="minorEastAsia"/>
          <w:color w:val="000000" w:themeColor="text1"/>
          <w:szCs w:val="21"/>
        </w:rPr>
        <w:t>的股息率就有相对优势了。加上这些标的本身估值并不贵，且有一定免疫于大环境的、稳定的增速，商业模式比较稳固，在目前这样的经济形势下，相对收益有望持续存在。</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w:t>
      </w:r>
      <w:r w:rsidRPr="00B27A29">
        <w:rPr>
          <w:rFonts w:eastAsiaTheme="minorEastAsia"/>
          <w:color w:val="000000" w:themeColor="text1"/>
          <w:szCs w:val="21"/>
        </w:rPr>
        <w:t>2024</w:t>
      </w:r>
      <w:r w:rsidRPr="00B27A29">
        <w:rPr>
          <w:rFonts w:eastAsiaTheme="minorEastAsia"/>
          <w:color w:val="000000" w:themeColor="text1"/>
          <w:szCs w:val="21"/>
        </w:rPr>
        <w:t>年，我们认为整体经济形势走向有望温和复苏，市场也有可能随之结束近三年的调整，在目前这个时点上，不宜过度悲观。一方面托底政策持续出台，如拉动地产需求、保障三大工程等，这些工具的使用会逐步对经济产生效果；另一方面货币政策空间也有望逐步打开，对于拉动消费和投资需求产生积极影响；同时美债收益率的顶部回落，美元指数见顶，也利于新兴市场的风险资产表现。同时我们认为，主要的不利因素都在</w:t>
      </w:r>
      <w:r w:rsidRPr="00B27A29">
        <w:rPr>
          <w:rFonts w:eastAsiaTheme="minorEastAsia"/>
          <w:color w:val="000000" w:themeColor="text1"/>
          <w:szCs w:val="21"/>
        </w:rPr>
        <w:t>2023</w:t>
      </w:r>
      <w:r w:rsidRPr="00B27A29">
        <w:rPr>
          <w:rFonts w:eastAsiaTheme="minorEastAsia"/>
          <w:color w:val="000000" w:themeColor="text1"/>
          <w:szCs w:val="21"/>
        </w:rPr>
        <w:t>年的市场充分的反映出来，目前这个时点，情绪是极度悲观的，往后看经济表现的超预期是相对更容易的，因此目前，我们战略上并不悲观，认为</w:t>
      </w:r>
      <w:r w:rsidRPr="00B27A29">
        <w:rPr>
          <w:rFonts w:eastAsiaTheme="minorEastAsia"/>
          <w:color w:val="000000" w:themeColor="text1"/>
          <w:szCs w:val="21"/>
        </w:rPr>
        <w:t>2024</w:t>
      </w:r>
      <w:r w:rsidRPr="00B27A29">
        <w:rPr>
          <w:rFonts w:eastAsiaTheme="minorEastAsia"/>
          <w:color w:val="000000" w:themeColor="text1"/>
          <w:szCs w:val="21"/>
        </w:rPr>
        <w:t>年有望结束三年熊市的运行态势；战术上，我们目前还是采用低波高分红防御态势，如观测到边际上经济的回暖我们也会顺势调整策略。</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EA29B9" w:rsidRDefault="00066239">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本报告期摩根双核平衡</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:-4.01%</w:t>
      </w:r>
      <w:r>
        <w:rPr>
          <w:rFonts w:eastAsiaTheme="minorEastAsia"/>
          <w:color w:val="000000" w:themeColor="text1"/>
          <w:szCs w:val="21"/>
        </w:rPr>
        <w:t>，同期业绩比较基准收益率为</w:t>
      </w:r>
      <w:r>
        <w:rPr>
          <w:rFonts w:eastAsiaTheme="minorEastAsia"/>
          <w:color w:val="000000" w:themeColor="text1"/>
          <w:szCs w:val="21"/>
        </w:rPr>
        <w:t>:-3.11%</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摩根双核平衡</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:-4.13%</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:-3.11%</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125,075,326.55</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52.88</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125,075,326.55</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52.88</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97,385,055.07</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41.17</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97,385,055.07</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41.17</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1,289,817.26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0.55</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11,662,523.19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4.93</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1,116,248.64</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0.47</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236,528,970.71</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11,557,533.50</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4.92</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65,704,394.15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27.98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25,917,068.50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11.04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1,595,770.00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0.68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12,961,747.00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5.52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7,301,832.00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3.11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36,981.40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125,075,326.55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53.26</w:t>
            </w:r>
          </w:p>
        </w:tc>
      </w:tr>
    </w:tbl>
    <w:p w:rsidR="00B27A29" w:rsidRPr="00B27A29" w:rsidRDefault="00B27A29" w:rsidP="00B27A29">
      <w:pPr>
        <w:spacing w:line="360" w:lineRule="auto"/>
        <w:rPr>
          <w:rFonts w:eastAsiaTheme="minorEastAsia"/>
          <w:szCs w:val="21"/>
        </w:rPr>
      </w:pPr>
      <w:bookmarkStart w:id="2"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EA29B9">
        <w:tc>
          <w:tcPr>
            <w:tcW w:w="817" w:type="dxa"/>
            <w:vAlign w:val="center"/>
          </w:tcPr>
          <w:p w:rsidR="00EA29B9" w:rsidRDefault="00066239">
            <w:pPr>
              <w:jc w:val="center"/>
            </w:pPr>
            <w:r>
              <w:rPr>
                <w:rFonts w:eastAsiaTheme="minorEastAsia"/>
                <w:kern w:val="0"/>
                <w:szCs w:val="21"/>
              </w:rPr>
              <w:t>1</w:t>
            </w:r>
          </w:p>
        </w:tc>
        <w:tc>
          <w:tcPr>
            <w:tcW w:w="1276" w:type="dxa"/>
            <w:vAlign w:val="center"/>
          </w:tcPr>
          <w:p w:rsidR="00EA29B9" w:rsidRDefault="00066239">
            <w:pPr>
              <w:jc w:val="center"/>
            </w:pPr>
            <w:r>
              <w:rPr>
                <w:rFonts w:eastAsiaTheme="minorEastAsia"/>
                <w:kern w:val="0"/>
                <w:szCs w:val="21"/>
              </w:rPr>
              <w:t>600025</w:t>
            </w:r>
          </w:p>
        </w:tc>
        <w:tc>
          <w:tcPr>
            <w:tcW w:w="1701" w:type="dxa"/>
            <w:vAlign w:val="center"/>
          </w:tcPr>
          <w:p w:rsidR="00EA29B9" w:rsidRDefault="00066239">
            <w:pPr>
              <w:jc w:val="center"/>
            </w:pPr>
            <w:r>
              <w:rPr>
                <w:rFonts w:eastAsiaTheme="minorEastAsia"/>
                <w:kern w:val="0"/>
                <w:szCs w:val="21"/>
              </w:rPr>
              <w:t>华能水电</w:t>
            </w:r>
          </w:p>
        </w:tc>
        <w:tc>
          <w:tcPr>
            <w:tcW w:w="1276" w:type="dxa"/>
            <w:vAlign w:val="center"/>
          </w:tcPr>
          <w:p w:rsidR="00EA29B9" w:rsidRDefault="00066239">
            <w:pPr>
              <w:jc w:val="right"/>
            </w:pPr>
            <w:r>
              <w:rPr>
                <w:rFonts w:eastAsiaTheme="minorEastAsia"/>
                <w:kern w:val="0"/>
                <w:szCs w:val="21"/>
              </w:rPr>
              <w:t>952,600</w:t>
            </w:r>
          </w:p>
        </w:tc>
        <w:tc>
          <w:tcPr>
            <w:tcW w:w="1842" w:type="dxa"/>
            <w:vAlign w:val="center"/>
          </w:tcPr>
          <w:p w:rsidR="00EA29B9" w:rsidRDefault="00066239">
            <w:pPr>
              <w:jc w:val="right"/>
            </w:pPr>
            <w:r>
              <w:rPr>
                <w:rFonts w:eastAsiaTheme="minorEastAsia"/>
                <w:kern w:val="0"/>
                <w:szCs w:val="21"/>
              </w:rPr>
              <w:t>8,220,938.00</w:t>
            </w:r>
          </w:p>
        </w:tc>
        <w:tc>
          <w:tcPr>
            <w:tcW w:w="1616" w:type="dxa"/>
            <w:vAlign w:val="center"/>
          </w:tcPr>
          <w:p w:rsidR="00EA29B9" w:rsidRDefault="00066239">
            <w:pPr>
              <w:jc w:val="right"/>
            </w:pPr>
            <w:r>
              <w:rPr>
                <w:rFonts w:eastAsiaTheme="minorEastAsia"/>
                <w:kern w:val="0"/>
                <w:szCs w:val="21"/>
              </w:rPr>
              <w:t>3.50</w:t>
            </w:r>
          </w:p>
        </w:tc>
      </w:tr>
      <w:tr w:rsidR="00EA29B9">
        <w:tc>
          <w:tcPr>
            <w:tcW w:w="817" w:type="dxa"/>
            <w:vAlign w:val="center"/>
          </w:tcPr>
          <w:p w:rsidR="00EA29B9" w:rsidRDefault="00066239">
            <w:pPr>
              <w:jc w:val="center"/>
            </w:pPr>
            <w:r>
              <w:rPr>
                <w:rFonts w:eastAsiaTheme="minorEastAsia"/>
                <w:kern w:val="0"/>
                <w:szCs w:val="21"/>
              </w:rPr>
              <w:t>2</w:t>
            </w:r>
          </w:p>
        </w:tc>
        <w:tc>
          <w:tcPr>
            <w:tcW w:w="1276" w:type="dxa"/>
            <w:vAlign w:val="center"/>
          </w:tcPr>
          <w:p w:rsidR="00EA29B9" w:rsidRDefault="00066239">
            <w:pPr>
              <w:jc w:val="center"/>
            </w:pPr>
            <w:r>
              <w:rPr>
                <w:rFonts w:eastAsiaTheme="minorEastAsia"/>
                <w:kern w:val="0"/>
                <w:szCs w:val="21"/>
              </w:rPr>
              <w:t>600941</w:t>
            </w:r>
          </w:p>
        </w:tc>
        <w:tc>
          <w:tcPr>
            <w:tcW w:w="1701" w:type="dxa"/>
            <w:vAlign w:val="center"/>
          </w:tcPr>
          <w:p w:rsidR="00EA29B9" w:rsidRDefault="00066239">
            <w:pPr>
              <w:jc w:val="center"/>
            </w:pPr>
            <w:r>
              <w:rPr>
                <w:rFonts w:eastAsiaTheme="minorEastAsia"/>
                <w:kern w:val="0"/>
                <w:szCs w:val="21"/>
              </w:rPr>
              <w:t>中国移动</w:t>
            </w:r>
          </w:p>
        </w:tc>
        <w:tc>
          <w:tcPr>
            <w:tcW w:w="1276" w:type="dxa"/>
            <w:vAlign w:val="center"/>
          </w:tcPr>
          <w:p w:rsidR="00EA29B9" w:rsidRDefault="00066239">
            <w:pPr>
              <w:jc w:val="right"/>
            </w:pPr>
            <w:r>
              <w:rPr>
                <w:rFonts w:eastAsiaTheme="minorEastAsia"/>
                <w:kern w:val="0"/>
                <w:szCs w:val="21"/>
              </w:rPr>
              <w:t>73,400</w:t>
            </w:r>
          </w:p>
        </w:tc>
        <w:tc>
          <w:tcPr>
            <w:tcW w:w="1842" w:type="dxa"/>
            <w:vAlign w:val="center"/>
          </w:tcPr>
          <w:p w:rsidR="00EA29B9" w:rsidRDefault="00066239">
            <w:pPr>
              <w:jc w:val="right"/>
            </w:pPr>
            <w:r>
              <w:rPr>
                <w:rFonts w:eastAsiaTheme="minorEastAsia"/>
                <w:kern w:val="0"/>
                <w:szCs w:val="21"/>
              </w:rPr>
              <w:t>7,301,832.00</w:t>
            </w:r>
          </w:p>
        </w:tc>
        <w:tc>
          <w:tcPr>
            <w:tcW w:w="1616" w:type="dxa"/>
            <w:vAlign w:val="center"/>
          </w:tcPr>
          <w:p w:rsidR="00EA29B9" w:rsidRDefault="00066239">
            <w:pPr>
              <w:jc w:val="right"/>
            </w:pPr>
            <w:r>
              <w:rPr>
                <w:rFonts w:eastAsiaTheme="minorEastAsia"/>
                <w:kern w:val="0"/>
                <w:szCs w:val="21"/>
              </w:rPr>
              <w:t>3.11</w:t>
            </w:r>
          </w:p>
        </w:tc>
      </w:tr>
      <w:tr w:rsidR="00EA29B9">
        <w:tc>
          <w:tcPr>
            <w:tcW w:w="817" w:type="dxa"/>
            <w:vAlign w:val="center"/>
          </w:tcPr>
          <w:p w:rsidR="00EA29B9" w:rsidRDefault="00066239">
            <w:pPr>
              <w:jc w:val="center"/>
            </w:pPr>
            <w:r>
              <w:rPr>
                <w:rFonts w:eastAsiaTheme="minorEastAsia"/>
                <w:kern w:val="0"/>
                <w:szCs w:val="21"/>
              </w:rPr>
              <w:t>3</w:t>
            </w:r>
          </w:p>
        </w:tc>
        <w:tc>
          <w:tcPr>
            <w:tcW w:w="1276" w:type="dxa"/>
            <w:vAlign w:val="center"/>
          </w:tcPr>
          <w:p w:rsidR="00EA29B9" w:rsidRDefault="00066239">
            <w:pPr>
              <w:jc w:val="center"/>
            </w:pPr>
            <w:r>
              <w:rPr>
                <w:rFonts w:eastAsiaTheme="minorEastAsia"/>
                <w:kern w:val="0"/>
                <w:szCs w:val="21"/>
              </w:rPr>
              <w:t>601006</w:t>
            </w:r>
          </w:p>
        </w:tc>
        <w:tc>
          <w:tcPr>
            <w:tcW w:w="1701" w:type="dxa"/>
            <w:vAlign w:val="center"/>
          </w:tcPr>
          <w:p w:rsidR="00EA29B9" w:rsidRDefault="00066239">
            <w:pPr>
              <w:jc w:val="center"/>
            </w:pPr>
            <w:r>
              <w:rPr>
                <w:rFonts w:eastAsiaTheme="minorEastAsia"/>
                <w:kern w:val="0"/>
                <w:szCs w:val="21"/>
              </w:rPr>
              <w:t>大秦铁路</w:t>
            </w:r>
          </w:p>
        </w:tc>
        <w:tc>
          <w:tcPr>
            <w:tcW w:w="1276" w:type="dxa"/>
            <w:vAlign w:val="center"/>
          </w:tcPr>
          <w:p w:rsidR="00EA29B9" w:rsidRDefault="00066239">
            <w:pPr>
              <w:jc w:val="right"/>
            </w:pPr>
            <w:r>
              <w:rPr>
                <w:rFonts w:eastAsiaTheme="minorEastAsia"/>
                <w:kern w:val="0"/>
                <w:szCs w:val="21"/>
              </w:rPr>
              <w:t>1,000,800</w:t>
            </w:r>
          </w:p>
        </w:tc>
        <w:tc>
          <w:tcPr>
            <w:tcW w:w="1842" w:type="dxa"/>
            <w:vAlign w:val="center"/>
          </w:tcPr>
          <w:p w:rsidR="00EA29B9" w:rsidRDefault="00066239">
            <w:pPr>
              <w:jc w:val="right"/>
            </w:pPr>
            <w:r>
              <w:rPr>
                <w:rFonts w:eastAsiaTheme="minorEastAsia"/>
                <w:kern w:val="0"/>
                <w:szCs w:val="21"/>
              </w:rPr>
              <w:t>7,215,768.00</w:t>
            </w:r>
          </w:p>
        </w:tc>
        <w:tc>
          <w:tcPr>
            <w:tcW w:w="1616" w:type="dxa"/>
            <w:vAlign w:val="center"/>
          </w:tcPr>
          <w:p w:rsidR="00EA29B9" w:rsidRDefault="00066239">
            <w:pPr>
              <w:jc w:val="right"/>
            </w:pPr>
            <w:r>
              <w:rPr>
                <w:rFonts w:eastAsiaTheme="minorEastAsia"/>
                <w:kern w:val="0"/>
                <w:szCs w:val="21"/>
              </w:rPr>
              <w:t>3.07</w:t>
            </w:r>
          </w:p>
        </w:tc>
      </w:tr>
      <w:tr w:rsidR="00EA29B9">
        <w:tc>
          <w:tcPr>
            <w:tcW w:w="817" w:type="dxa"/>
            <w:vAlign w:val="center"/>
          </w:tcPr>
          <w:p w:rsidR="00EA29B9" w:rsidRDefault="00066239">
            <w:pPr>
              <w:jc w:val="center"/>
            </w:pPr>
            <w:r>
              <w:rPr>
                <w:rFonts w:eastAsiaTheme="minorEastAsia"/>
                <w:kern w:val="0"/>
                <w:szCs w:val="21"/>
              </w:rPr>
              <w:t>4</w:t>
            </w:r>
          </w:p>
        </w:tc>
        <w:tc>
          <w:tcPr>
            <w:tcW w:w="1276" w:type="dxa"/>
            <w:vAlign w:val="center"/>
          </w:tcPr>
          <w:p w:rsidR="00EA29B9" w:rsidRDefault="00066239">
            <w:pPr>
              <w:jc w:val="center"/>
            </w:pPr>
            <w:r>
              <w:rPr>
                <w:rFonts w:eastAsiaTheme="minorEastAsia"/>
                <w:kern w:val="0"/>
                <w:szCs w:val="21"/>
              </w:rPr>
              <w:t>601985</w:t>
            </w:r>
          </w:p>
        </w:tc>
        <w:tc>
          <w:tcPr>
            <w:tcW w:w="1701" w:type="dxa"/>
            <w:vAlign w:val="center"/>
          </w:tcPr>
          <w:p w:rsidR="00EA29B9" w:rsidRDefault="00066239">
            <w:pPr>
              <w:jc w:val="center"/>
            </w:pPr>
            <w:r>
              <w:rPr>
                <w:rFonts w:eastAsiaTheme="minorEastAsia"/>
                <w:kern w:val="0"/>
                <w:szCs w:val="21"/>
              </w:rPr>
              <w:t>中国核电</w:t>
            </w:r>
          </w:p>
        </w:tc>
        <w:tc>
          <w:tcPr>
            <w:tcW w:w="1276" w:type="dxa"/>
            <w:vAlign w:val="center"/>
          </w:tcPr>
          <w:p w:rsidR="00EA29B9" w:rsidRDefault="00066239">
            <w:pPr>
              <w:jc w:val="right"/>
            </w:pPr>
            <w:r>
              <w:rPr>
                <w:rFonts w:eastAsiaTheme="minorEastAsia"/>
                <w:kern w:val="0"/>
                <w:szCs w:val="21"/>
              </w:rPr>
              <w:t>960,447</w:t>
            </w:r>
          </w:p>
        </w:tc>
        <w:tc>
          <w:tcPr>
            <w:tcW w:w="1842" w:type="dxa"/>
            <w:vAlign w:val="center"/>
          </w:tcPr>
          <w:p w:rsidR="00EA29B9" w:rsidRDefault="00066239">
            <w:pPr>
              <w:jc w:val="right"/>
            </w:pPr>
            <w:r>
              <w:rPr>
                <w:rFonts w:eastAsiaTheme="minorEastAsia"/>
                <w:kern w:val="0"/>
                <w:szCs w:val="21"/>
              </w:rPr>
              <w:t>7,203,352.50</w:t>
            </w:r>
          </w:p>
        </w:tc>
        <w:tc>
          <w:tcPr>
            <w:tcW w:w="1616" w:type="dxa"/>
            <w:vAlign w:val="center"/>
          </w:tcPr>
          <w:p w:rsidR="00EA29B9" w:rsidRDefault="00066239">
            <w:pPr>
              <w:jc w:val="right"/>
            </w:pPr>
            <w:r>
              <w:rPr>
                <w:rFonts w:eastAsiaTheme="minorEastAsia"/>
                <w:kern w:val="0"/>
                <w:szCs w:val="21"/>
              </w:rPr>
              <w:t>3.07</w:t>
            </w:r>
          </w:p>
        </w:tc>
      </w:tr>
      <w:tr w:rsidR="00EA29B9">
        <w:tc>
          <w:tcPr>
            <w:tcW w:w="817" w:type="dxa"/>
            <w:vAlign w:val="center"/>
          </w:tcPr>
          <w:p w:rsidR="00EA29B9" w:rsidRDefault="00066239">
            <w:pPr>
              <w:jc w:val="center"/>
            </w:pPr>
            <w:r>
              <w:rPr>
                <w:rFonts w:eastAsiaTheme="minorEastAsia"/>
                <w:kern w:val="0"/>
                <w:szCs w:val="21"/>
              </w:rPr>
              <w:t>5</w:t>
            </w:r>
          </w:p>
        </w:tc>
        <w:tc>
          <w:tcPr>
            <w:tcW w:w="1276" w:type="dxa"/>
            <w:vAlign w:val="center"/>
          </w:tcPr>
          <w:p w:rsidR="00EA29B9" w:rsidRDefault="00066239">
            <w:pPr>
              <w:jc w:val="center"/>
            </w:pPr>
            <w:r>
              <w:rPr>
                <w:rFonts w:eastAsiaTheme="minorEastAsia"/>
                <w:kern w:val="0"/>
                <w:szCs w:val="21"/>
              </w:rPr>
              <w:t>002262</w:t>
            </w:r>
          </w:p>
        </w:tc>
        <w:tc>
          <w:tcPr>
            <w:tcW w:w="1701" w:type="dxa"/>
            <w:vAlign w:val="center"/>
          </w:tcPr>
          <w:p w:rsidR="00EA29B9" w:rsidRDefault="00066239">
            <w:pPr>
              <w:jc w:val="center"/>
            </w:pPr>
            <w:r>
              <w:rPr>
                <w:rFonts w:eastAsiaTheme="minorEastAsia"/>
                <w:kern w:val="0"/>
                <w:szCs w:val="21"/>
              </w:rPr>
              <w:t>恩华药业</w:t>
            </w:r>
          </w:p>
        </w:tc>
        <w:tc>
          <w:tcPr>
            <w:tcW w:w="1276" w:type="dxa"/>
            <w:vAlign w:val="center"/>
          </w:tcPr>
          <w:p w:rsidR="00EA29B9" w:rsidRDefault="00066239">
            <w:pPr>
              <w:jc w:val="right"/>
            </w:pPr>
            <w:r>
              <w:rPr>
                <w:rFonts w:eastAsiaTheme="minorEastAsia"/>
                <w:kern w:val="0"/>
                <w:szCs w:val="21"/>
              </w:rPr>
              <w:t>256,200</w:t>
            </w:r>
          </w:p>
        </w:tc>
        <w:tc>
          <w:tcPr>
            <w:tcW w:w="1842" w:type="dxa"/>
            <w:vAlign w:val="center"/>
          </w:tcPr>
          <w:p w:rsidR="00EA29B9" w:rsidRDefault="00066239">
            <w:pPr>
              <w:jc w:val="right"/>
            </w:pPr>
            <w:r>
              <w:rPr>
                <w:rFonts w:eastAsiaTheme="minorEastAsia"/>
                <w:kern w:val="0"/>
                <w:szCs w:val="21"/>
              </w:rPr>
              <w:t>6,948,144.00</w:t>
            </w:r>
          </w:p>
        </w:tc>
        <w:tc>
          <w:tcPr>
            <w:tcW w:w="1616" w:type="dxa"/>
            <w:vAlign w:val="center"/>
          </w:tcPr>
          <w:p w:rsidR="00EA29B9" w:rsidRDefault="00066239">
            <w:pPr>
              <w:jc w:val="right"/>
            </w:pPr>
            <w:r>
              <w:rPr>
                <w:rFonts w:eastAsiaTheme="minorEastAsia"/>
                <w:kern w:val="0"/>
                <w:szCs w:val="21"/>
              </w:rPr>
              <w:t>2.96</w:t>
            </w:r>
          </w:p>
        </w:tc>
      </w:tr>
      <w:tr w:rsidR="00EA29B9">
        <w:tc>
          <w:tcPr>
            <w:tcW w:w="817" w:type="dxa"/>
            <w:vAlign w:val="center"/>
          </w:tcPr>
          <w:p w:rsidR="00EA29B9" w:rsidRDefault="00066239">
            <w:pPr>
              <w:jc w:val="center"/>
            </w:pPr>
            <w:r>
              <w:rPr>
                <w:rFonts w:eastAsiaTheme="minorEastAsia"/>
                <w:kern w:val="0"/>
                <w:szCs w:val="21"/>
              </w:rPr>
              <w:t>6</w:t>
            </w:r>
          </w:p>
        </w:tc>
        <w:tc>
          <w:tcPr>
            <w:tcW w:w="1276" w:type="dxa"/>
            <w:vAlign w:val="center"/>
          </w:tcPr>
          <w:p w:rsidR="00EA29B9" w:rsidRDefault="00066239">
            <w:pPr>
              <w:jc w:val="center"/>
            </w:pPr>
            <w:r>
              <w:rPr>
                <w:rFonts w:eastAsiaTheme="minorEastAsia"/>
                <w:kern w:val="0"/>
                <w:szCs w:val="21"/>
              </w:rPr>
              <w:t>002028</w:t>
            </w:r>
          </w:p>
        </w:tc>
        <w:tc>
          <w:tcPr>
            <w:tcW w:w="1701" w:type="dxa"/>
            <w:vAlign w:val="center"/>
          </w:tcPr>
          <w:p w:rsidR="00EA29B9" w:rsidRDefault="00066239">
            <w:pPr>
              <w:jc w:val="center"/>
            </w:pPr>
            <w:r>
              <w:rPr>
                <w:rFonts w:eastAsiaTheme="minorEastAsia"/>
                <w:kern w:val="0"/>
                <w:szCs w:val="21"/>
              </w:rPr>
              <w:t>思源电气</w:t>
            </w:r>
          </w:p>
        </w:tc>
        <w:tc>
          <w:tcPr>
            <w:tcW w:w="1276" w:type="dxa"/>
            <w:vAlign w:val="center"/>
          </w:tcPr>
          <w:p w:rsidR="00EA29B9" w:rsidRDefault="00066239">
            <w:pPr>
              <w:jc w:val="right"/>
            </w:pPr>
            <w:r>
              <w:rPr>
                <w:rFonts w:eastAsiaTheme="minorEastAsia"/>
                <w:kern w:val="0"/>
                <w:szCs w:val="21"/>
              </w:rPr>
              <w:t>123,600</w:t>
            </w:r>
          </w:p>
        </w:tc>
        <w:tc>
          <w:tcPr>
            <w:tcW w:w="1842" w:type="dxa"/>
            <w:vAlign w:val="center"/>
          </w:tcPr>
          <w:p w:rsidR="00EA29B9" w:rsidRDefault="00066239">
            <w:pPr>
              <w:jc w:val="right"/>
            </w:pPr>
            <w:r>
              <w:rPr>
                <w:rFonts w:eastAsiaTheme="minorEastAsia"/>
                <w:kern w:val="0"/>
                <w:szCs w:val="21"/>
              </w:rPr>
              <w:t>6,432,144.00</w:t>
            </w:r>
          </w:p>
        </w:tc>
        <w:tc>
          <w:tcPr>
            <w:tcW w:w="1616" w:type="dxa"/>
            <w:vAlign w:val="center"/>
          </w:tcPr>
          <w:p w:rsidR="00EA29B9" w:rsidRDefault="00066239">
            <w:pPr>
              <w:jc w:val="right"/>
            </w:pPr>
            <w:r>
              <w:rPr>
                <w:rFonts w:eastAsiaTheme="minorEastAsia"/>
                <w:kern w:val="0"/>
                <w:szCs w:val="21"/>
              </w:rPr>
              <w:t>2.74</w:t>
            </w:r>
          </w:p>
        </w:tc>
      </w:tr>
      <w:tr w:rsidR="00EA29B9">
        <w:tc>
          <w:tcPr>
            <w:tcW w:w="817" w:type="dxa"/>
            <w:vAlign w:val="center"/>
          </w:tcPr>
          <w:p w:rsidR="00EA29B9" w:rsidRDefault="00066239">
            <w:pPr>
              <w:jc w:val="center"/>
            </w:pPr>
            <w:r>
              <w:rPr>
                <w:rFonts w:eastAsiaTheme="minorEastAsia"/>
                <w:kern w:val="0"/>
                <w:szCs w:val="21"/>
              </w:rPr>
              <w:t>7</w:t>
            </w:r>
          </w:p>
        </w:tc>
        <w:tc>
          <w:tcPr>
            <w:tcW w:w="1276" w:type="dxa"/>
            <w:vAlign w:val="center"/>
          </w:tcPr>
          <w:p w:rsidR="00EA29B9" w:rsidRDefault="00066239">
            <w:pPr>
              <w:jc w:val="center"/>
            </w:pPr>
            <w:r>
              <w:rPr>
                <w:rFonts w:eastAsiaTheme="minorEastAsia"/>
                <w:kern w:val="0"/>
                <w:szCs w:val="21"/>
              </w:rPr>
              <w:t>600312</w:t>
            </w:r>
          </w:p>
        </w:tc>
        <w:tc>
          <w:tcPr>
            <w:tcW w:w="1701" w:type="dxa"/>
            <w:vAlign w:val="center"/>
          </w:tcPr>
          <w:p w:rsidR="00EA29B9" w:rsidRDefault="00066239">
            <w:pPr>
              <w:jc w:val="center"/>
            </w:pPr>
            <w:r>
              <w:rPr>
                <w:rFonts w:eastAsiaTheme="minorEastAsia"/>
                <w:kern w:val="0"/>
                <w:szCs w:val="21"/>
              </w:rPr>
              <w:t>平高电气</w:t>
            </w:r>
          </w:p>
        </w:tc>
        <w:tc>
          <w:tcPr>
            <w:tcW w:w="1276" w:type="dxa"/>
            <w:vAlign w:val="center"/>
          </w:tcPr>
          <w:p w:rsidR="00EA29B9" w:rsidRDefault="00066239">
            <w:pPr>
              <w:jc w:val="right"/>
            </w:pPr>
            <w:r>
              <w:rPr>
                <w:rFonts w:eastAsiaTheme="minorEastAsia"/>
                <w:kern w:val="0"/>
                <w:szCs w:val="21"/>
              </w:rPr>
              <w:t>486,600</w:t>
            </w:r>
          </w:p>
        </w:tc>
        <w:tc>
          <w:tcPr>
            <w:tcW w:w="1842" w:type="dxa"/>
            <w:vAlign w:val="center"/>
          </w:tcPr>
          <w:p w:rsidR="00EA29B9" w:rsidRDefault="00066239">
            <w:pPr>
              <w:jc w:val="right"/>
            </w:pPr>
            <w:r>
              <w:rPr>
                <w:rFonts w:eastAsiaTheme="minorEastAsia"/>
                <w:kern w:val="0"/>
                <w:szCs w:val="21"/>
              </w:rPr>
              <w:t>6,174,954.00</w:t>
            </w:r>
          </w:p>
        </w:tc>
        <w:tc>
          <w:tcPr>
            <w:tcW w:w="1616" w:type="dxa"/>
            <w:vAlign w:val="center"/>
          </w:tcPr>
          <w:p w:rsidR="00EA29B9" w:rsidRDefault="00066239">
            <w:pPr>
              <w:jc w:val="right"/>
            </w:pPr>
            <w:r>
              <w:rPr>
                <w:rFonts w:eastAsiaTheme="minorEastAsia"/>
                <w:kern w:val="0"/>
                <w:szCs w:val="21"/>
              </w:rPr>
              <w:t>2.63</w:t>
            </w:r>
          </w:p>
        </w:tc>
      </w:tr>
      <w:tr w:rsidR="00EA29B9">
        <w:tc>
          <w:tcPr>
            <w:tcW w:w="817" w:type="dxa"/>
            <w:vAlign w:val="center"/>
          </w:tcPr>
          <w:p w:rsidR="00EA29B9" w:rsidRDefault="00066239">
            <w:pPr>
              <w:jc w:val="center"/>
            </w:pPr>
            <w:r>
              <w:rPr>
                <w:rFonts w:eastAsiaTheme="minorEastAsia"/>
                <w:kern w:val="0"/>
                <w:szCs w:val="21"/>
              </w:rPr>
              <w:t>8</w:t>
            </w:r>
          </w:p>
        </w:tc>
        <w:tc>
          <w:tcPr>
            <w:tcW w:w="1276" w:type="dxa"/>
            <w:vAlign w:val="center"/>
          </w:tcPr>
          <w:p w:rsidR="00EA29B9" w:rsidRDefault="00066239">
            <w:pPr>
              <w:jc w:val="center"/>
            </w:pPr>
            <w:r>
              <w:rPr>
                <w:rFonts w:eastAsiaTheme="minorEastAsia"/>
                <w:kern w:val="0"/>
                <w:szCs w:val="21"/>
              </w:rPr>
              <w:t>300818</w:t>
            </w:r>
          </w:p>
        </w:tc>
        <w:tc>
          <w:tcPr>
            <w:tcW w:w="1701" w:type="dxa"/>
            <w:vAlign w:val="center"/>
          </w:tcPr>
          <w:p w:rsidR="00EA29B9" w:rsidRDefault="00066239">
            <w:pPr>
              <w:jc w:val="center"/>
            </w:pPr>
            <w:r>
              <w:rPr>
                <w:rFonts w:eastAsiaTheme="minorEastAsia"/>
                <w:kern w:val="0"/>
                <w:szCs w:val="21"/>
              </w:rPr>
              <w:t>耐普矿机</w:t>
            </w:r>
          </w:p>
        </w:tc>
        <w:tc>
          <w:tcPr>
            <w:tcW w:w="1276" w:type="dxa"/>
            <w:vAlign w:val="center"/>
          </w:tcPr>
          <w:p w:rsidR="00EA29B9" w:rsidRDefault="00066239">
            <w:pPr>
              <w:jc w:val="right"/>
            </w:pPr>
            <w:r>
              <w:rPr>
                <w:rFonts w:eastAsiaTheme="minorEastAsia"/>
                <w:kern w:val="0"/>
                <w:szCs w:val="21"/>
              </w:rPr>
              <w:t>136,700</w:t>
            </w:r>
          </w:p>
        </w:tc>
        <w:tc>
          <w:tcPr>
            <w:tcW w:w="1842" w:type="dxa"/>
            <w:vAlign w:val="center"/>
          </w:tcPr>
          <w:p w:rsidR="00EA29B9" w:rsidRDefault="00066239">
            <w:pPr>
              <w:jc w:val="right"/>
            </w:pPr>
            <w:r>
              <w:rPr>
                <w:rFonts w:eastAsiaTheme="minorEastAsia"/>
                <w:kern w:val="0"/>
                <w:szCs w:val="21"/>
              </w:rPr>
              <w:t>4,512,467.00</w:t>
            </w:r>
          </w:p>
        </w:tc>
        <w:tc>
          <w:tcPr>
            <w:tcW w:w="1616" w:type="dxa"/>
            <w:vAlign w:val="center"/>
          </w:tcPr>
          <w:p w:rsidR="00EA29B9" w:rsidRDefault="00066239">
            <w:pPr>
              <w:jc w:val="right"/>
            </w:pPr>
            <w:r>
              <w:rPr>
                <w:rFonts w:eastAsiaTheme="minorEastAsia"/>
                <w:kern w:val="0"/>
                <w:szCs w:val="21"/>
              </w:rPr>
              <w:t>1.92</w:t>
            </w:r>
          </w:p>
        </w:tc>
      </w:tr>
      <w:tr w:rsidR="00EA29B9">
        <w:tc>
          <w:tcPr>
            <w:tcW w:w="817" w:type="dxa"/>
            <w:vAlign w:val="center"/>
          </w:tcPr>
          <w:p w:rsidR="00EA29B9" w:rsidRDefault="00066239">
            <w:pPr>
              <w:jc w:val="center"/>
            </w:pPr>
            <w:r>
              <w:rPr>
                <w:rFonts w:eastAsiaTheme="minorEastAsia"/>
                <w:kern w:val="0"/>
                <w:szCs w:val="21"/>
              </w:rPr>
              <w:t>9</w:t>
            </w:r>
          </w:p>
        </w:tc>
        <w:tc>
          <w:tcPr>
            <w:tcW w:w="1276" w:type="dxa"/>
            <w:vAlign w:val="center"/>
          </w:tcPr>
          <w:p w:rsidR="00EA29B9" w:rsidRDefault="00066239">
            <w:pPr>
              <w:jc w:val="center"/>
            </w:pPr>
            <w:r>
              <w:rPr>
                <w:rFonts w:eastAsiaTheme="minorEastAsia"/>
                <w:kern w:val="0"/>
                <w:szCs w:val="21"/>
              </w:rPr>
              <w:t>000400</w:t>
            </w:r>
          </w:p>
        </w:tc>
        <w:tc>
          <w:tcPr>
            <w:tcW w:w="1701" w:type="dxa"/>
            <w:vAlign w:val="center"/>
          </w:tcPr>
          <w:p w:rsidR="00EA29B9" w:rsidRDefault="00066239">
            <w:pPr>
              <w:jc w:val="center"/>
            </w:pPr>
            <w:r>
              <w:rPr>
                <w:rFonts w:eastAsiaTheme="minorEastAsia"/>
                <w:kern w:val="0"/>
                <w:szCs w:val="21"/>
              </w:rPr>
              <w:t>许继电气</w:t>
            </w:r>
          </w:p>
        </w:tc>
        <w:tc>
          <w:tcPr>
            <w:tcW w:w="1276" w:type="dxa"/>
            <w:vAlign w:val="center"/>
          </w:tcPr>
          <w:p w:rsidR="00EA29B9" w:rsidRDefault="00066239">
            <w:pPr>
              <w:jc w:val="right"/>
            </w:pPr>
            <w:r>
              <w:rPr>
                <w:rFonts w:eastAsiaTheme="minorEastAsia"/>
                <w:kern w:val="0"/>
                <w:szCs w:val="21"/>
              </w:rPr>
              <w:t>201,900</w:t>
            </w:r>
          </w:p>
        </w:tc>
        <w:tc>
          <w:tcPr>
            <w:tcW w:w="1842" w:type="dxa"/>
            <w:vAlign w:val="center"/>
          </w:tcPr>
          <w:p w:rsidR="00EA29B9" w:rsidRDefault="00066239">
            <w:pPr>
              <w:jc w:val="right"/>
            </w:pPr>
            <w:r>
              <w:rPr>
                <w:rFonts w:eastAsiaTheme="minorEastAsia"/>
                <w:kern w:val="0"/>
                <w:szCs w:val="21"/>
              </w:rPr>
              <w:t>4,433,724.00</w:t>
            </w:r>
          </w:p>
        </w:tc>
        <w:tc>
          <w:tcPr>
            <w:tcW w:w="1616" w:type="dxa"/>
            <w:vAlign w:val="center"/>
          </w:tcPr>
          <w:p w:rsidR="00EA29B9" w:rsidRDefault="00066239">
            <w:pPr>
              <w:jc w:val="right"/>
            </w:pPr>
            <w:r>
              <w:rPr>
                <w:rFonts w:eastAsiaTheme="minorEastAsia"/>
                <w:kern w:val="0"/>
                <w:szCs w:val="21"/>
              </w:rPr>
              <w:t>1.89</w:t>
            </w:r>
          </w:p>
        </w:tc>
      </w:tr>
      <w:tr w:rsidR="00EA29B9">
        <w:tc>
          <w:tcPr>
            <w:tcW w:w="817" w:type="dxa"/>
            <w:vAlign w:val="center"/>
          </w:tcPr>
          <w:p w:rsidR="00EA29B9" w:rsidRDefault="00066239">
            <w:pPr>
              <w:jc w:val="center"/>
            </w:pPr>
            <w:r>
              <w:rPr>
                <w:rFonts w:eastAsiaTheme="minorEastAsia"/>
                <w:kern w:val="0"/>
                <w:szCs w:val="21"/>
              </w:rPr>
              <w:t>10</w:t>
            </w:r>
          </w:p>
        </w:tc>
        <w:tc>
          <w:tcPr>
            <w:tcW w:w="1276" w:type="dxa"/>
            <w:vAlign w:val="center"/>
          </w:tcPr>
          <w:p w:rsidR="00EA29B9" w:rsidRDefault="00066239">
            <w:pPr>
              <w:jc w:val="center"/>
            </w:pPr>
            <w:r>
              <w:rPr>
                <w:rFonts w:eastAsiaTheme="minorEastAsia"/>
                <w:kern w:val="0"/>
                <w:szCs w:val="21"/>
              </w:rPr>
              <w:t>000039</w:t>
            </w:r>
          </w:p>
        </w:tc>
        <w:tc>
          <w:tcPr>
            <w:tcW w:w="1701" w:type="dxa"/>
            <w:vAlign w:val="center"/>
          </w:tcPr>
          <w:p w:rsidR="00EA29B9" w:rsidRDefault="00066239">
            <w:pPr>
              <w:jc w:val="center"/>
            </w:pPr>
            <w:r>
              <w:rPr>
                <w:rFonts w:eastAsiaTheme="minorEastAsia"/>
                <w:kern w:val="0"/>
                <w:szCs w:val="21"/>
              </w:rPr>
              <w:t>中集集团</w:t>
            </w:r>
          </w:p>
        </w:tc>
        <w:tc>
          <w:tcPr>
            <w:tcW w:w="1276" w:type="dxa"/>
            <w:vAlign w:val="center"/>
          </w:tcPr>
          <w:p w:rsidR="00EA29B9" w:rsidRDefault="00066239">
            <w:pPr>
              <w:jc w:val="right"/>
            </w:pPr>
            <w:r>
              <w:rPr>
                <w:rFonts w:eastAsiaTheme="minorEastAsia"/>
                <w:kern w:val="0"/>
                <w:szCs w:val="21"/>
              </w:rPr>
              <w:t>497,903</w:t>
            </w:r>
          </w:p>
        </w:tc>
        <w:tc>
          <w:tcPr>
            <w:tcW w:w="1842" w:type="dxa"/>
            <w:vAlign w:val="center"/>
          </w:tcPr>
          <w:p w:rsidR="00EA29B9" w:rsidRDefault="00066239">
            <w:pPr>
              <w:jc w:val="right"/>
            </w:pPr>
            <w:r>
              <w:rPr>
                <w:rFonts w:eastAsiaTheme="minorEastAsia"/>
                <w:kern w:val="0"/>
                <w:szCs w:val="21"/>
              </w:rPr>
              <w:t>3,808,957.95</w:t>
            </w:r>
          </w:p>
        </w:tc>
        <w:tc>
          <w:tcPr>
            <w:tcW w:w="1616" w:type="dxa"/>
            <w:vAlign w:val="center"/>
          </w:tcPr>
          <w:p w:rsidR="00EA29B9" w:rsidRDefault="00066239">
            <w:pPr>
              <w:jc w:val="right"/>
            </w:pPr>
            <w:r>
              <w:rPr>
                <w:rFonts w:eastAsiaTheme="minorEastAsia"/>
                <w:kern w:val="0"/>
                <w:szCs w:val="21"/>
              </w:rPr>
              <w:t>1.62</w:t>
            </w:r>
          </w:p>
        </w:tc>
      </w:tr>
    </w:tbl>
    <w:bookmarkEnd w:id="2"/>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15,383,027.75</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6.55</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82,002,027.32</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34.92</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40,851,715.84</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17.40</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97,385,055.07</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41.47</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rsidRPr="00B27A29">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占基金资产净值比例（％）</w:t>
            </w:r>
          </w:p>
        </w:tc>
      </w:tr>
      <w:tr w:rsidR="00EA29B9">
        <w:tc>
          <w:tcPr>
            <w:tcW w:w="1504" w:type="dxa"/>
            <w:vAlign w:val="center"/>
          </w:tcPr>
          <w:p w:rsidR="00EA29B9" w:rsidRDefault="00066239">
            <w:pPr>
              <w:jc w:val="center"/>
            </w:pPr>
            <w:r>
              <w:rPr>
                <w:rFonts w:eastAsiaTheme="minorEastAsia"/>
                <w:color w:val="000000" w:themeColor="text1"/>
                <w:szCs w:val="21"/>
              </w:rPr>
              <w:t>1</w:t>
            </w:r>
          </w:p>
        </w:tc>
        <w:tc>
          <w:tcPr>
            <w:tcW w:w="1504" w:type="dxa"/>
            <w:vAlign w:val="center"/>
          </w:tcPr>
          <w:p w:rsidR="00EA29B9" w:rsidRDefault="00066239">
            <w:pPr>
              <w:jc w:val="center"/>
            </w:pPr>
            <w:r>
              <w:rPr>
                <w:rFonts w:eastAsiaTheme="minorEastAsia"/>
                <w:color w:val="000000" w:themeColor="text1"/>
                <w:szCs w:val="21"/>
              </w:rPr>
              <w:t>1928028</w:t>
            </w:r>
          </w:p>
        </w:tc>
        <w:tc>
          <w:tcPr>
            <w:tcW w:w="1504" w:type="dxa"/>
            <w:vAlign w:val="center"/>
          </w:tcPr>
          <w:p w:rsidR="00EA29B9" w:rsidRDefault="00066239">
            <w:pPr>
              <w:jc w:val="center"/>
            </w:pPr>
            <w:r>
              <w:rPr>
                <w:rFonts w:eastAsiaTheme="minorEastAsia"/>
                <w:color w:val="000000" w:themeColor="text1"/>
                <w:szCs w:val="21"/>
              </w:rPr>
              <w:t>19</w:t>
            </w:r>
            <w:r>
              <w:rPr>
                <w:rFonts w:eastAsiaTheme="minorEastAsia"/>
                <w:color w:val="000000" w:themeColor="text1"/>
                <w:szCs w:val="21"/>
              </w:rPr>
              <w:t>中国银行二级</w:t>
            </w:r>
            <w:r>
              <w:rPr>
                <w:rFonts w:eastAsiaTheme="minorEastAsia"/>
                <w:color w:val="000000" w:themeColor="text1"/>
                <w:szCs w:val="21"/>
              </w:rPr>
              <w:t>01</w:t>
            </w:r>
          </w:p>
        </w:tc>
        <w:tc>
          <w:tcPr>
            <w:tcW w:w="1503" w:type="dxa"/>
            <w:vAlign w:val="center"/>
          </w:tcPr>
          <w:p w:rsidR="00EA29B9" w:rsidRDefault="00066239">
            <w:pPr>
              <w:jc w:val="right"/>
            </w:pPr>
            <w:r>
              <w:rPr>
                <w:rFonts w:eastAsiaTheme="minorEastAsia"/>
                <w:color w:val="000000" w:themeColor="text1"/>
                <w:szCs w:val="21"/>
              </w:rPr>
              <w:t>200,000</w:t>
            </w:r>
          </w:p>
        </w:tc>
        <w:tc>
          <w:tcPr>
            <w:tcW w:w="1503" w:type="dxa"/>
            <w:vAlign w:val="center"/>
          </w:tcPr>
          <w:p w:rsidR="00EA29B9" w:rsidRDefault="00066239">
            <w:pPr>
              <w:jc w:val="right"/>
            </w:pPr>
            <w:r>
              <w:rPr>
                <w:rFonts w:eastAsiaTheme="minorEastAsia"/>
                <w:color w:val="000000" w:themeColor="text1"/>
                <w:szCs w:val="21"/>
              </w:rPr>
              <w:t>20,402,249.18</w:t>
            </w:r>
          </w:p>
        </w:tc>
        <w:tc>
          <w:tcPr>
            <w:tcW w:w="1503" w:type="dxa"/>
            <w:vAlign w:val="center"/>
          </w:tcPr>
          <w:p w:rsidR="00EA29B9" w:rsidRDefault="00066239">
            <w:pPr>
              <w:jc w:val="right"/>
            </w:pPr>
            <w:r>
              <w:rPr>
                <w:rFonts w:eastAsiaTheme="minorEastAsia"/>
                <w:color w:val="000000" w:themeColor="text1"/>
                <w:szCs w:val="21"/>
              </w:rPr>
              <w:t>8.69</w:t>
            </w:r>
          </w:p>
        </w:tc>
      </w:tr>
      <w:tr w:rsidR="00EA29B9">
        <w:tc>
          <w:tcPr>
            <w:tcW w:w="1504" w:type="dxa"/>
            <w:vAlign w:val="center"/>
          </w:tcPr>
          <w:p w:rsidR="00EA29B9" w:rsidRDefault="00066239">
            <w:pPr>
              <w:jc w:val="center"/>
            </w:pPr>
            <w:r>
              <w:rPr>
                <w:rFonts w:eastAsiaTheme="minorEastAsia"/>
                <w:color w:val="000000" w:themeColor="text1"/>
                <w:szCs w:val="21"/>
              </w:rPr>
              <w:t>2</w:t>
            </w:r>
          </w:p>
        </w:tc>
        <w:tc>
          <w:tcPr>
            <w:tcW w:w="1504" w:type="dxa"/>
            <w:vAlign w:val="center"/>
          </w:tcPr>
          <w:p w:rsidR="00EA29B9" w:rsidRDefault="00066239">
            <w:pPr>
              <w:jc w:val="center"/>
            </w:pPr>
            <w:r>
              <w:rPr>
                <w:rFonts w:eastAsiaTheme="minorEastAsia"/>
                <w:color w:val="000000" w:themeColor="text1"/>
                <w:szCs w:val="21"/>
              </w:rPr>
              <w:t>210207</w:t>
            </w:r>
          </w:p>
        </w:tc>
        <w:tc>
          <w:tcPr>
            <w:tcW w:w="1504" w:type="dxa"/>
            <w:vAlign w:val="center"/>
          </w:tcPr>
          <w:p w:rsidR="00EA29B9" w:rsidRDefault="00066239">
            <w:pPr>
              <w:jc w:val="center"/>
            </w:pPr>
            <w:r>
              <w:rPr>
                <w:rFonts w:eastAsiaTheme="minorEastAsia"/>
                <w:color w:val="000000" w:themeColor="text1"/>
                <w:szCs w:val="21"/>
              </w:rPr>
              <w:t>21</w:t>
            </w:r>
            <w:r>
              <w:rPr>
                <w:rFonts w:eastAsiaTheme="minorEastAsia"/>
                <w:color w:val="000000" w:themeColor="text1"/>
                <w:szCs w:val="21"/>
              </w:rPr>
              <w:t>国开</w:t>
            </w:r>
            <w:r>
              <w:rPr>
                <w:rFonts w:eastAsiaTheme="minorEastAsia"/>
                <w:color w:val="000000" w:themeColor="text1"/>
                <w:szCs w:val="21"/>
              </w:rPr>
              <w:t>07</w:t>
            </w:r>
          </w:p>
        </w:tc>
        <w:tc>
          <w:tcPr>
            <w:tcW w:w="1503" w:type="dxa"/>
            <w:vAlign w:val="center"/>
          </w:tcPr>
          <w:p w:rsidR="00EA29B9" w:rsidRDefault="00066239">
            <w:pPr>
              <w:jc w:val="right"/>
            </w:pPr>
            <w:r>
              <w:rPr>
                <w:rFonts w:eastAsiaTheme="minorEastAsia"/>
                <w:color w:val="000000" w:themeColor="text1"/>
                <w:szCs w:val="21"/>
              </w:rPr>
              <w:t>200,000</w:t>
            </w:r>
          </w:p>
        </w:tc>
        <w:tc>
          <w:tcPr>
            <w:tcW w:w="1503" w:type="dxa"/>
            <w:vAlign w:val="center"/>
          </w:tcPr>
          <w:p w:rsidR="00EA29B9" w:rsidRDefault="00066239">
            <w:pPr>
              <w:jc w:val="right"/>
            </w:pPr>
            <w:r>
              <w:rPr>
                <w:rFonts w:eastAsiaTheme="minorEastAsia"/>
                <w:color w:val="000000" w:themeColor="text1"/>
                <w:szCs w:val="21"/>
              </w:rPr>
              <w:t>20,400,590.16</w:t>
            </w:r>
          </w:p>
        </w:tc>
        <w:tc>
          <w:tcPr>
            <w:tcW w:w="1503" w:type="dxa"/>
            <w:vAlign w:val="center"/>
          </w:tcPr>
          <w:p w:rsidR="00EA29B9" w:rsidRDefault="00066239">
            <w:pPr>
              <w:jc w:val="right"/>
            </w:pPr>
            <w:r>
              <w:rPr>
                <w:rFonts w:eastAsiaTheme="minorEastAsia"/>
                <w:color w:val="000000" w:themeColor="text1"/>
                <w:szCs w:val="21"/>
              </w:rPr>
              <w:t>8.69</w:t>
            </w:r>
          </w:p>
        </w:tc>
      </w:tr>
      <w:tr w:rsidR="00EA29B9">
        <w:tc>
          <w:tcPr>
            <w:tcW w:w="1504" w:type="dxa"/>
            <w:vAlign w:val="center"/>
          </w:tcPr>
          <w:p w:rsidR="00EA29B9" w:rsidRDefault="00066239">
            <w:pPr>
              <w:jc w:val="center"/>
            </w:pPr>
            <w:r>
              <w:rPr>
                <w:rFonts w:eastAsiaTheme="minorEastAsia"/>
                <w:color w:val="000000" w:themeColor="text1"/>
                <w:szCs w:val="21"/>
              </w:rPr>
              <w:t>3</w:t>
            </w:r>
          </w:p>
        </w:tc>
        <w:tc>
          <w:tcPr>
            <w:tcW w:w="1504" w:type="dxa"/>
            <w:vAlign w:val="center"/>
          </w:tcPr>
          <w:p w:rsidR="00EA29B9" w:rsidRDefault="00066239">
            <w:pPr>
              <w:jc w:val="center"/>
            </w:pPr>
            <w:r>
              <w:rPr>
                <w:rFonts w:eastAsiaTheme="minorEastAsia"/>
                <w:color w:val="000000" w:themeColor="text1"/>
                <w:szCs w:val="21"/>
              </w:rPr>
              <w:t>2228017</w:t>
            </w:r>
          </w:p>
        </w:tc>
        <w:tc>
          <w:tcPr>
            <w:tcW w:w="1504" w:type="dxa"/>
            <w:vAlign w:val="center"/>
          </w:tcPr>
          <w:p w:rsidR="00EA29B9" w:rsidRDefault="00066239">
            <w:pPr>
              <w:jc w:val="center"/>
            </w:pPr>
            <w:r>
              <w:rPr>
                <w:rFonts w:eastAsiaTheme="minorEastAsia"/>
                <w:color w:val="000000" w:themeColor="text1"/>
                <w:szCs w:val="21"/>
              </w:rPr>
              <w:t>22</w:t>
            </w:r>
            <w:r>
              <w:rPr>
                <w:rFonts w:eastAsiaTheme="minorEastAsia"/>
                <w:color w:val="000000" w:themeColor="text1"/>
                <w:szCs w:val="21"/>
              </w:rPr>
              <w:t>邮储银行二级</w:t>
            </w:r>
            <w:r>
              <w:rPr>
                <w:rFonts w:eastAsiaTheme="minorEastAsia"/>
                <w:color w:val="000000" w:themeColor="text1"/>
                <w:szCs w:val="21"/>
              </w:rPr>
              <w:t>01</w:t>
            </w:r>
          </w:p>
        </w:tc>
        <w:tc>
          <w:tcPr>
            <w:tcW w:w="1503" w:type="dxa"/>
            <w:vAlign w:val="center"/>
          </w:tcPr>
          <w:p w:rsidR="00EA29B9" w:rsidRDefault="00066239">
            <w:pPr>
              <w:jc w:val="right"/>
            </w:pPr>
            <w:r>
              <w:rPr>
                <w:rFonts w:eastAsiaTheme="minorEastAsia"/>
                <w:color w:val="000000" w:themeColor="text1"/>
                <w:szCs w:val="21"/>
              </w:rPr>
              <w:t>100,000</w:t>
            </w:r>
          </w:p>
        </w:tc>
        <w:tc>
          <w:tcPr>
            <w:tcW w:w="1503" w:type="dxa"/>
            <w:vAlign w:val="center"/>
          </w:tcPr>
          <w:p w:rsidR="00EA29B9" w:rsidRDefault="00066239">
            <w:pPr>
              <w:jc w:val="right"/>
            </w:pPr>
            <w:r>
              <w:rPr>
                <w:rFonts w:eastAsiaTheme="minorEastAsia"/>
                <w:color w:val="000000" w:themeColor="text1"/>
                <w:szCs w:val="21"/>
              </w:rPr>
              <w:t>10,488,357.38</w:t>
            </w:r>
          </w:p>
        </w:tc>
        <w:tc>
          <w:tcPr>
            <w:tcW w:w="1503" w:type="dxa"/>
            <w:vAlign w:val="center"/>
          </w:tcPr>
          <w:p w:rsidR="00EA29B9" w:rsidRDefault="00066239">
            <w:pPr>
              <w:jc w:val="right"/>
            </w:pPr>
            <w:r>
              <w:rPr>
                <w:rFonts w:eastAsiaTheme="minorEastAsia"/>
                <w:color w:val="000000" w:themeColor="text1"/>
                <w:szCs w:val="21"/>
              </w:rPr>
              <w:t>4.47</w:t>
            </w:r>
          </w:p>
        </w:tc>
      </w:tr>
      <w:tr w:rsidR="00EA29B9">
        <w:tc>
          <w:tcPr>
            <w:tcW w:w="1504" w:type="dxa"/>
            <w:vAlign w:val="center"/>
          </w:tcPr>
          <w:p w:rsidR="00EA29B9" w:rsidRDefault="00066239">
            <w:pPr>
              <w:jc w:val="center"/>
            </w:pPr>
            <w:r>
              <w:rPr>
                <w:rFonts w:eastAsiaTheme="minorEastAsia"/>
                <w:color w:val="000000" w:themeColor="text1"/>
                <w:szCs w:val="21"/>
              </w:rPr>
              <w:t>4</w:t>
            </w:r>
          </w:p>
        </w:tc>
        <w:tc>
          <w:tcPr>
            <w:tcW w:w="1504" w:type="dxa"/>
            <w:vAlign w:val="center"/>
          </w:tcPr>
          <w:p w:rsidR="00EA29B9" w:rsidRDefault="00066239">
            <w:pPr>
              <w:jc w:val="center"/>
            </w:pPr>
            <w:r>
              <w:rPr>
                <w:rFonts w:eastAsiaTheme="minorEastAsia"/>
                <w:color w:val="000000" w:themeColor="text1"/>
                <w:szCs w:val="21"/>
              </w:rPr>
              <w:t>230004</w:t>
            </w:r>
          </w:p>
        </w:tc>
        <w:tc>
          <w:tcPr>
            <w:tcW w:w="1504" w:type="dxa"/>
            <w:vAlign w:val="center"/>
          </w:tcPr>
          <w:p w:rsidR="00EA29B9" w:rsidRDefault="00066239">
            <w:pPr>
              <w:jc w:val="center"/>
            </w:pPr>
            <w:r>
              <w:rPr>
                <w:rFonts w:eastAsiaTheme="minorEastAsia"/>
                <w:color w:val="000000" w:themeColor="text1"/>
                <w:szCs w:val="21"/>
              </w:rPr>
              <w:t>23</w:t>
            </w:r>
            <w:r>
              <w:rPr>
                <w:rFonts w:eastAsiaTheme="minorEastAsia"/>
                <w:color w:val="000000" w:themeColor="text1"/>
                <w:szCs w:val="21"/>
              </w:rPr>
              <w:t>附息国债</w:t>
            </w:r>
            <w:r>
              <w:rPr>
                <w:rFonts w:eastAsiaTheme="minorEastAsia"/>
                <w:color w:val="000000" w:themeColor="text1"/>
                <w:szCs w:val="21"/>
              </w:rPr>
              <w:t>04</w:t>
            </w:r>
          </w:p>
        </w:tc>
        <w:tc>
          <w:tcPr>
            <w:tcW w:w="1503" w:type="dxa"/>
            <w:vAlign w:val="center"/>
          </w:tcPr>
          <w:p w:rsidR="00EA29B9" w:rsidRDefault="00066239">
            <w:pPr>
              <w:jc w:val="right"/>
            </w:pPr>
            <w:r>
              <w:rPr>
                <w:rFonts w:eastAsiaTheme="minorEastAsia"/>
                <w:color w:val="000000" w:themeColor="text1"/>
                <w:szCs w:val="21"/>
              </w:rPr>
              <w:t>100,000</w:t>
            </w:r>
          </w:p>
        </w:tc>
        <w:tc>
          <w:tcPr>
            <w:tcW w:w="1503" w:type="dxa"/>
            <w:vAlign w:val="center"/>
          </w:tcPr>
          <w:p w:rsidR="00EA29B9" w:rsidRDefault="00066239">
            <w:pPr>
              <w:jc w:val="right"/>
            </w:pPr>
            <w:r>
              <w:rPr>
                <w:rFonts w:eastAsiaTheme="minorEastAsia"/>
                <w:color w:val="000000" w:themeColor="text1"/>
                <w:szCs w:val="21"/>
              </w:rPr>
              <w:t>10,346,956.52</w:t>
            </w:r>
          </w:p>
        </w:tc>
        <w:tc>
          <w:tcPr>
            <w:tcW w:w="1503" w:type="dxa"/>
            <w:vAlign w:val="center"/>
          </w:tcPr>
          <w:p w:rsidR="00EA29B9" w:rsidRDefault="00066239">
            <w:pPr>
              <w:jc w:val="right"/>
            </w:pPr>
            <w:r>
              <w:rPr>
                <w:rFonts w:eastAsiaTheme="minorEastAsia"/>
                <w:color w:val="000000" w:themeColor="text1"/>
                <w:szCs w:val="21"/>
              </w:rPr>
              <w:t>4.41</w:t>
            </w:r>
          </w:p>
        </w:tc>
      </w:tr>
      <w:tr w:rsidR="00EA29B9">
        <w:tc>
          <w:tcPr>
            <w:tcW w:w="1504" w:type="dxa"/>
            <w:vAlign w:val="center"/>
          </w:tcPr>
          <w:p w:rsidR="00EA29B9" w:rsidRDefault="00066239">
            <w:pPr>
              <w:jc w:val="center"/>
            </w:pPr>
            <w:r>
              <w:rPr>
                <w:rFonts w:eastAsiaTheme="minorEastAsia"/>
                <w:color w:val="000000" w:themeColor="text1"/>
                <w:szCs w:val="21"/>
              </w:rPr>
              <w:t>5</w:t>
            </w:r>
          </w:p>
        </w:tc>
        <w:tc>
          <w:tcPr>
            <w:tcW w:w="1504" w:type="dxa"/>
            <w:vAlign w:val="center"/>
          </w:tcPr>
          <w:p w:rsidR="00EA29B9" w:rsidRDefault="00066239">
            <w:pPr>
              <w:jc w:val="center"/>
            </w:pPr>
            <w:r>
              <w:rPr>
                <w:rFonts w:eastAsiaTheme="minorEastAsia"/>
                <w:color w:val="000000" w:themeColor="text1"/>
                <w:szCs w:val="21"/>
              </w:rPr>
              <w:t>2128033</w:t>
            </w:r>
          </w:p>
        </w:tc>
        <w:tc>
          <w:tcPr>
            <w:tcW w:w="1504" w:type="dxa"/>
            <w:vAlign w:val="center"/>
          </w:tcPr>
          <w:p w:rsidR="00EA29B9" w:rsidRDefault="00066239">
            <w:pPr>
              <w:jc w:val="center"/>
            </w:pPr>
            <w:r>
              <w:rPr>
                <w:rFonts w:eastAsiaTheme="minorEastAsia"/>
                <w:color w:val="000000" w:themeColor="text1"/>
                <w:szCs w:val="21"/>
              </w:rPr>
              <w:t>21</w:t>
            </w:r>
            <w:r>
              <w:rPr>
                <w:rFonts w:eastAsiaTheme="minorEastAsia"/>
                <w:color w:val="000000" w:themeColor="text1"/>
                <w:szCs w:val="21"/>
              </w:rPr>
              <w:t>建设银行二级</w:t>
            </w:r>
            <w:r>
              <w:rPr>
                <w:rFonts w:eastAsiaTheme="minorEastAsia"/>
                <w:color w:val="000000" w:themeColor="text1"/>
                <w:szCs w:val="21"/>
              </w:rPr>
              <w:t>03</w:t>
            </w:r>
          </w:p>
        </w:tc>
        <w:tc>
          <w:tcPr>
            <w:tcW w:w="1503" w:type="dxa"/>
            <w:vAlign w:val="center"/>
          </w:tcPr>
          <w:p w:rsidR="00EA29B9" w:rsidRDefault="00066239">
            <w:pPr>
              <w:jc w:val="right"/>
            </w:pPr>
            <w:r>
              <w:rPr>
                <w:rFonts w:eastAsiaTheme="minorEastAsia"/>
                <w:color w:val="000000" w:themeColor="text1"/>
                <w:szCs w:val="21"/>
              </w:rPr>
              <w:t>100,000</w:t>
            </w:r>
          </w:p>
        </w:tc>
        <w:tc>
          <w:tcPr>
            <w:tcW w:w="1503" w:type="dxa"/>
            <w:vAlign w:val="center"/>
          </w:tcPr>
          <w:p w:rsidR="00EA29B9" w:rsidRDefault="00066239">
            <w:pPr>
              <w:jc w:val="right"/>
            </w:pPr>
            <w:r>
              <w:rPr>
                <w:rFonts w:eastAsiaTheme="minorEastAsia"/>
                <w:color w:val="000000" w:themeColor="text1"/>
                <w:szCs w:val="21"/>
              </w:rPr>
              <w:t>10,259,704.92</w:t>
            </w:r>
          </w:p>
        </w:tc>
        <w:tc>
          <w:tcPr>
            <w:tcW w:w="1503" w:type="dxa"/>
            <w:vAlign w:val="center"/>
          </w:tcPr>
          <w:p w:rsidR="00EA29B9" w:rsidRDefault="00066239">
            <w:pPr>
              <w:jc w:val="right"/>
            </w:pPr>
            <w:r>
              <w:rPr>
                <w:rFonts w:eastAsiaTheme="minorEastAsia"/>
                <w:color w:val="000000" w:themeColor="text1"/>
                <w:szCs w:val="21"/>
              </w:rPr>
              <w:t>4.37</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81,041.99</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1,010,730.96</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24,475.69</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1,116,248.64</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摩根双核平衡混合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摩根双核平衡混合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180,627,274.16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164,967.62</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1,062,879.07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2,931.87</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5,139,806.47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33,420.39</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176,550,346.76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134,479.10</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EA29B9" w:rsidRDefault="00066239">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、中国证监会核准本基金募集的文件；</w:t>
      </w:r>
    </w:p>
    <w:p w:rsidR="00EA29B9" w:rsidRDefault="00066239">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、《摩根双核平衡混合型证券投资基金基金合同》；</w:t>
      </w:r>
    </w:p>
    <w:p w:rsidR="00EA29B9" w:rsidRDefault="00066239">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、《摩根基金管理（中国）有限公司开放式基金业务规则》；</w:t>
      </w:r>
    </w:p>
    <w:p w:rsidR="00EA29B9" w:rsidRDefault="00066239">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、《摩根双核平衡混合型证券投资基金托管协议》；</w:t>
      </w:r>
    </w:p>
    <w:p w:rsidR="00EA29B9" w:rsidRDefault="00066239">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、法律意见书；</w:t>
      </w:r>
    </w:p>
    <w:p w:rsidR="00EA29B9" w:rsidRDefault="00066239">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、基金管理人业务资格批件、营业执照；</w:t>
      </w:r>
    </w:p>
    <w:p w:rsidR="00EA29B9" w:rsidRDefault="00066239">
      <w:pPr>
        <w:spacing w:line="360" w:lineRule="auto"/>
        <w:ind w:firstLineChars="200" w:firstLine="420"/>
        <w:rPr>
          <w:rFonts w:eastAsiaTheme="minorEastAsia"/>
          <w:color w:val="000000" w:themeColor="text1"/>
          <w:szCs w:val="21"/>
        </w:rPr>
      </w:pPr>
      <w:r>
        <w:rPr>
          <w:rFonts w:eastAsiaTheme="minorEastAsia"/>
          <w:color w:val="000000" w:themeColor="text1"/>
          <w:szCs w:val="21"/>
        </w:rPr>
        <w:t>7</w:t>
      </w:r>
      <w:r>
        <w:rPr>
          <w:rFonts w:eastAsiaTheme="minorEastAsia"/>
          <w:color w:val="000000" w:themeColor="text1"/>
          <w:szCs w:val="21"/>
        </w:rPr>
        <w:t>、基金托管人业务资格批件、营业执照；</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8</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二〇二四年一月二十二日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387" w:rsidRDefault="005B0387">
      <w:r>
        <w:separator/>
      </w:r>
    </w:p>
  </w:endnote>
  <w:endnote w:type="continuationSeparator" w:id="0">
    <w:p w:rsidR="005B0387" w:rsidRDefault="005B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066239">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066239">
      <w:rPr>
        <w:noProof/>
        <w:kern w:val="0"/>
        <w:szCs w:val="21"/>
      </w:rPr>
      <w:t>17</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066239">
      <w:rPr>
        <w:rStyle w:val="af6"/>
        <w:noProof/>
      </w:rPr>
      <w:t>17</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387" w:rsidRDefault="005B0387">
      <w:r>
        <w:separator/>
      </w:r>
    </w:p>
  </w:footnote>
  <w:footnote w:type="continuationSeparator" w:id="0">
    <w:p w:rsidR="005B0387" w:rsidRDefault="005B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摩根双核平衡混合型证券投资基金</w:t>
    </w:r>
    <w:r>
      <w:t>2023</w:t>
    </w:r>
    <w:r>
      <w:t>年第</w:t>
    </w:r>
    <w:r>
      <w:t>4</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6239"/>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612"/>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29B9"/>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096727-9724-4683-B1E1-C7FF9B4F8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26</TotalTime>
  <Pages>17</Pages>
  <Words>1504</Words>
  <Characters>8575</Characters>
  <Application>Microsoft Office Word</Application>
  <DocSecurity>0</DocSecurity>
  <Lines>71</Lines>
  <Paragraphs>20</Paragraphs>
  <ScaleCrop>false</ScaleCrop>
  <Company>TRT. Ltd. Co.</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Wenyu.Qiu@FA</cp:lastModifiedBy>
  <cp:revision>221</cp:revision>
  <cp:lastPrinted>2007-07-19T00:46:00Z</cp:lastPrinted>
  <dcterms:created xsi:type="dcterms:W3CDTF">2013-06-21T06:56:00Z</dcterms:created>
  <dcterms:modified xsi:type="dcterms:W3CDTF">2024-01-19T06:14:00Z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