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摩根双核平衡混合型证券投资基金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基金托管人：中国工商银行股份有限公司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报告送出日期：二〇二三年十月二十五日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基金托管人中国工商银行股份有限公司根据本基金合同规定，于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摩根双核平衡混合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373020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2008</w:t>
            </w:r>
            <w:r w:rsidRPr="00B27A29">
              <w:rPr>
                <w:rFonts w:eastAsiaTheme="minorEastAsia"/>
                <w:color w:val="000000" w:themeColor="text1"/>
                <w:kern w:val="0"/>
                <w:szCs w:val="21"/>
              </w:rPr>
              <w:t>年</w:t>
            </w:r>
            <w:r w:rsidRPr="00B27A29">
              <w:rPr>
                <w:rFonts w:eastAsiaTheme="minorEastAsia"/>
                <w:color w:val="000000" w:themeColor="text1"/>
                <w:kern w:val="0"/>
                <w:szCs w:val="21"/>
              </w:rPr>
              <w:t>5</w:t>
            </w:r>
            <w:r w:rsidRPr="00B27A29">
              <w:rPr>
                <w:rFonts w:eastAsiaTheme="minorEastAsia"/>
                <w:color w:val="000000" w:themeColor="text1"/>
                <w:kern w:val="0"/>
                <w:szCs w:val="21"/>
              </w:rPr>
              <w:t>月</w:t>
            </w:r>
            <w:r w:rsidRPr="00B27A29">
              <w:rPr>
                <w:rFonts w:eastAsiaTheme="minorEastAsia"/>
                <w:color w:val="000000" w:themeColor="text1"/>
                <w:kern w:val="0"/>
                <w:szCs w:val="21"/>
              </w:rPr>
              <w:t>21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180,792,241.78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本基金深化价值投资理念，精选具备较高估值优势的上市公司股票与优质债券等，持续优化投资风险与收益的动态匹配，通过积极主动的组合管理，追求基金资产的长期稳定增值。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、股票投资策略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价值投资注重股票内在价值的发现。在内在价值确定以后，通过股票市场价格和内在价值的比较，就可以明确投资方向。特别当股票的价格低于它的内在价值时，就存在一个正的安全边际。足够的安全边际使投资拥有更容易取</w:t>
            </w:r>
            <w:r>
              <w:rPr>
                <w:rFonts w:eastAsiaTheme="minorEastAsia"/>
                <w:color w:val="000000" w:themeColor="text1"/>
                <w:kern w:val="0"/>
                <w:szCs w:val="21"/>
              </w:rPr>
              <w:lastRenderedPageBreak/>
              <w:t>胜的优势，因为在价值引力作用下，股票价格更倾向于上涨。所以，安全边际越高，投资风险就会相对较低。</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运用安全边际策略有效挖掘价值低估的股票类投资品种。在控制宏观经济趋势、产业发展周期等宏观经济环境变量基础上，考察上市公司的商业模式、管理能力、财务状况等影响企业持续经营的因素，然后综合运用量化价值模型来衡量股票价格是高估还是低估。根据不同的产业和行业特征，本基金将有针对性地选用不同的</w:t>
            </w:r>
            <w:r>
              <w:rPr>
                <w:rFonts w:eastAsiaTheme="minorEastAsia"/>
                <w:color w:val="000000" w:themeColor="text1"/>
                <w:kern w:val="0"/>
                <w:szCs w:val="21"/>
              </w:rPr>
              <w:t>P/E</w:t>
            </w:r>
            <w:r>
              <w:rPr>
                <w:rFonts w:eastAsiaTheme="minorEastAsia"/>
                <w:color w:val="000000" w:themeColor="text1"/>
                <w:kern w:val="0"/>
                <w:szCs w:val="21"/>
              </w:rPr>
              <w:t>、</w:t>
            </w:r>
            <w:r>
              <w:rPr>
                <w:rFonts w:eastAsiaTheme="minorEastAsia"/>
                <w:color w:val="000000" w:themeColor="text1"/>
                <w:kern w:val="0"/>
                <w:szCs w:val="21"/>
              </w:rPr>
              <w:t>P/CFPS</w:t>
            </w:r>
            <w:r>
              <w:rPr>
                <w:rFonts w:eastAsiaTheme="minorEastAsia"/>
                <w:color w:val="000000" w:themeColor="text1"/>
                <w:kern w:val="0"/>
                <w:szCs w:val="21"/>
              </w:rPr>
              <w:t>、</w:t>
            </w:r>
            <w:r>
              <w:rPr>
                <w:rFonts w:eastAsiaTheme="minorEastAsia"/>
                <w:color w:val="000000" w:themeColor="text1"/>
                <w:kern w:val="0"/>
                <w:szCs w:val="21"/>
              </w:rPr>
              <w:t>P/S</w:t>
            </w:r>
            <w:r>
              <w:rPr>
                <w:rFonts w:eastAsiaTheme="minorEastAsia"/>
                <w:color w:val="000000" w:themeColor="text1"/>
                <w:kern w:val="0"/>
                <w:szCs w:val="21"/>
              </w:rPr>
              <w:t>、</w:t>
            </w:r>
            <w:r>
              <w:rPr>
                <w:rFonts w:eastAsiaTheme="minorEastAsia"/>
                <w:color w:val="000000" w:themeColor="text1"/>
                <w:kern w:val="0"/>
                <w:szCs w:val="21"/>
              </w:rPr>
              <w:t>P/B</w:t>
            </w:r>
            <w:r>
              <w:rPr>
                <w:rFonts w:eastAsiaTheme="minorEastAsia"/>
                <w:color w:val="000000" w:themeColor="text1"/>
                <w:kern w:val="0"/>
                <w:szCs w:val="21"/>
              </w:rPr>
              <w:t>等乘数法和</w:t>
            </w:r>
            <w:r>
              <w:rPr>
                <w:rFonts w:eastAsiaTheme="minorEastAsia"/>
                <w:color w:val="000000" w:themeColor="text1"/>
                <w:kern w:val="0"/>
                <w:szCs w:val="21"/>
              </w:rPr>
              <w:t>DCF</w:t>
            </w:r>
            <w:r>
              <w:rPr>
                <w:rFonts w:eastAsiaTheme="minorEastAsia"/>
                <w:color w:val="000000" w:themeColor="text1"/>
                <w:kern w:val="0"/>
                <w:szCs w:val="21"/>
              </w:rPr>
              <w:t>增长模型建立股票选择池。</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）宏观经济分析</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本基金基于对宏观经济运行状况及政策分析、财政政策与货币政策运行状况分析、行业运行景气状况分析的基础上，重点判断宏观经济周期</w:t>
            </w:r>
            <w:r>
              <w:rPr>
                <w:rFonts w:eastAsiaTheme="minorEastAsia"/>
                <w:color w:val="000000" w:themeColor="text1"/>
                <w:kern w:val="0"/>
                <w:szCs w:val="21"/>
              </w:rPr>
              <w:t>对市场不同行业的影响，作为资产配置的依据。同时根据宏观经济对市场影响的分析，初步判断市场的多空方向，决定大类资产配置。</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）行业分析</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各行业所处生命周期、产业竞争结构、近期发展趋势等方面因素对各行业的相对盈利能力及投资吸引力进行评价，考察净资产收益率、营运周期、销售收入、净利润等指标，对各行业投资机会进行评估，并根据行业综合评价结果确定股票资产中各行业的权重。</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）公司质地分析</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企业在行业中的相对竞争力是决定企业成败和投资价值的关键，本基金将根据公司质地对上市公司当前和未来的竞争优势加以评估</w:t>
            </w:r>
            <w:r>
              <w:rPr>
                <w:rFonts w:eastAsiaTheme="minorEastAsia"/>
                <w:color w:val="000000" w:themeColor="text1"/>
                <w:kern w:val="0"/>
                <w:szCs w:val="21"/>
              </w:rPr>
              <w:t>。公司质地良好的企业通常具备以下特征：企业在管理、品牌、资源、技术、创新能力中的某一方面或多个方面具有竞争对手在短时间内难以模仿的显著优势，从而能够获得超越行业平均的盈利水平和增长速</w:t>
            </w:r>
            <w:r>
              <w:rPr>
                <w:rFonts w:eastAsiaTheme="minorEastAsia"/>
                <w:color w:val="000000" w:themeColor="text1"/>
                <w:kern w:val="0"/>
                <w:szCs w:val="21"/>
              </w:rPr>
              <w:lastRenderedPageBreak/>
              <w:t>度。本基金将通过包括实际调研在内的多种分析手段，对上市公司质地进行判断。</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4</w:t>
            </w:r>
            <w:r>
              <w:rPr>
                <w:rFonts w:eastAsiaTheme="minorEastAsia"/>
                <w:color w:val="000000" w:themeColor="text1"/>
                <w:kern w:val="0"/>
                <w:szCs w:val="21"/>
              </w:rPr>
              <w:t>）股票估值水平分析</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战略目标是构造可以创造主动管理报酬的投资组合，上市公司经过竞争优势指标筛选之后，将由研究团队进行估值水平考察。通过基本面和估值指标筛选的基础组合即被纳入摩根基金管理（中国）有限公司策略性评价体系。本基金在对股票进行估值时，首</w:t>
            </w:r>
            <w:r>
              <w:rPr>
                <w:rFonts w:eastAsiaTheme="minorEastAsia"/>
                <w:color w:val="000000" w:themeColor="text1"/>
                <w:kern w:val="0"/>
                <w:szCs w:val="21"/>
              </w:rPr>
              <w:t>先采用现金流折现模型（</w:t>
            </w:r>
            <w:r>
              <w:rPr>
                <w:rFonts w:eastAsiaTheme="minorEastAsia"/>
                <w:color w:val="000000" w:themeColor="text1"/>
                <w:kern w:val="0"/>
                <w:szCs w:val="21"/>
              </w:rPr>
              <w:t>DCF</w:t>
            </w:r>
            <w:r>
              <w:rPr>
                <w:rFonts w:eastAsiaTheme="minorEastAsia"/>
                <w:color w:val="000000" w:themeColor="text1"/>
                <w:kern w:val="0"/>
                <w:szCs w:val="21"/>
              </w:rPr>
              <w:t>）计算出股票的内在价值，然后在第二阶段采用乘数估值法（</w:t>
            </w:r>
            <w:r>
              <w:rPr>
                <w:rFonts w:eastAsiaTheme="minorEastAsia"/>
                <w:color w:val="000000" w:themeColor="text1"/>
                <w:kern w:val="0"/>
                <w:szCs w:val="21"/>
              </w:rPr>
              <w:t>Multiple</w:t>
            </w:r>
            <w:r>
              <w:rPr>
                <w:rFonts w:eastAsiaTheme="minorEastAsia"/>
                <w:color w:val="000000" w:themeColor="text1"/>
                <w:kern w:val="0"/>
                <w:szCs w:val="21"/>
              </w:rPr>
              <w:t>），通过对对同行业公司的情况对样本公司价值进行比较修正，使得对于股票价值的评估更加准确可靠。</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、固定收益类投资策略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债券投资策略是建立在对债券核心内在价值的认识上。我们将采用更为有效的债券估值模型，同时综合考虑宏观经济运行状况、金融市场环境及利率走势，采取至上而下和至下而上结合的投资策略积极配置资产。在控制利率风险、信用风险以及流动性风险的基础上，通过组合投资为投资者创造长期回报。具体而言，我们将运用</w:t>
            </w:r>
            <w:r>
              <w:rPr>
                <w:rFonts w:eastAsiaTheme="minorEastAsia"/>
                <w:color w:val="000000" w:themeColor="text1"/>
                <w:kern w:val="0"/>
                <w:szCs w:val="21"/>
              </w:rPr>
              <w:t>利率预期策略、骑乘收益曲线策略和类属资产配置策略等积极策略配置各类债券资产。</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利率预期策略：本基金将首先根据对国内外经济形势的预测，分析市场投资环境的变化趋势，重点关注利率趋势变化。通过全面分析宏观经济、货币政策与财政政策、物价水平变化趋势等因素，对利率走势形成合理预期。</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骑乘收益率曲线策略：骑乘收益率曲线策略是短期货币市场证券管理中流行的一种策略。具体操作时买入收益率曲线最突起部位所在剩余期限的债券，这一期限的收益率水平此时处于相对较高的位置，随着一段时间的持</w:t>
            </w:r>
            <w:r>
              <w:rPr>
                <w:rFonts w:eastAsiaTheme="minorEastAsia"/>
                <w:color w:val="000000" w:themeColor="text1"/>
                <w:kern w:val="0"/>
                <w:szCs w:val="21"/>
              </w:rPr>
              <w:lastRenderedPageBreak/>
              <w:t>有，当收益率下降时，对应的将是债券</w:t>
            </w:r>
            <w:r>
              <w:rPr>
                <w:rFonts w:eastAsiaTheme="minorEastAsia"/>
                <w:color w:val="000000" w:themeColor="text1"/>
                <w:kern w:val="0"/>
                <w:szCs w:val="21"/>
              </w:rPr>
              <w:t>价格的走高，而这一期限债券的涨幅将会高于其他期限，这样就可以获得更好的价差收益。</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类属资产配置：在类属资产配置层次，本基金根据市场和类属资产的风险收益特征，在判断各类属的利率期限结构与交易活跃的国家信用等级短期券利率期限结构应具有的合理利差水平基础上，将市场细分为交易所国债、交易所企业债、银行间国债、银行间金融债等子市场。结合各类属资产的市场容量、信用等级和流动性特点，在此基础上运用修正的均值</w:t>
            </w:r>
            <w:r>
              <w:rPr>
                <w:rFonts w:eastAsiaTheme="minorEastAsia"/>
                <w:color w:val="000000" w:themeColor="text1"/>
                <w:kern w:val="0"/>
                <w:szCs w:val="21"/>
              </w:rPr>
              <w:t>-</w:t>
            </w:r>
            <w:r>
              <w:rPr>
                <w:rFonts w:eastAsiaTheme="minorEastAsia"/>
                <w:color w:val="000000" w:themeColor="text1"/>
                <w:kern w:val="0"/>
                <w:szCs w:val="21"/>
              </w:rPr>
              <w:t>方差等模型，定期对投资组合类属资产进行最优化配置和调整，确定类属资产的最优权重。</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、权证投资策略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w:t>
            </w:r>
            <w:r>
              <w:rPr>
                <w:rFonts w:eastAsiaTheme="minorEastAsia"/>
                <w:color w:val="000000" w:themeColor="text1"/>
                <w:kern w:val="0"/>
                <w:szCs w:val="21"/>
              </w:rPr>
              <w:t>在法律法规及基金合同规定的范围内，采取积极的态度进行权证投资。权证投资的主要目的在于对冲组合中证券的持有风险，及在正确估值标的证券的基础上获取权证投资收益。本基金将采用业界广泛应用的</w:t>
            </w:r>
            <w:r>
              <w:rPr>
                <w:rFonts w:eastAsiaTheme="minorEastAsia"/>
                <w:color w:val="000000" w:themeColor="text1"/>
                <w:kern w:val="0"/>
                <w:szCs w:val="21"/>
              </w:rPr>
              <w:t>Black-Scholes Pricing Model(BSPM)</w:t>
            </w:r>
            <w:r>
              <w:rPr>
                <w:rFonts w:eastAsiaTheme="minorEastAsia"/>
                <w:color w:val="000000" w:themeColor="text1"/>
                <w:kern w:val="0"/>
                <w:szCs w:val="21"/>
              </w:rPr>
              <w:t>对权证进行估价。对于股票基本面和投资价值的判断一贯是本公司投资的重要依据。在投资权证前，基金管理人员和研究员应对标的股票的基本面和内在价值作出分析判断。</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、资产支持证券投资策略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本基金投资资产支持证券时，将综合运用久期管理、收益率曲线、个券选择和把握市场交易机会</w:t>
            </w:r>
            <w:r>
              <w:rPr>
                <w:rFonts w:eastAsiaTheme="minorEastAsia"/>
                <w:color w:val="000000" w:themeColor="text1"/>
                <w:kern w:val="0"/>
                <w:szCs w:val="21"/>
              </w:rPr>
              <w:t>等积极策略，在严格控制风险的情况下，通过信用研究和对个案的具体分析，确定资产合理配置比例，在保证资产安全性的前提条件下，以期获得长期稳定收益。</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、资产配置策略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资产配置是本基金资产管理的重要环节。本基金是一只注</w:t>
            </w:r>
            <w:r>
              <w:rPr>
                <w:rFonts w:eastAsiaTheme="minorEastAsia"/>
                <w:color w:val="000000" w:themeColor="text1"/>
                <w:kern w:val="0"/>
                <w:szCs w:val="21"/>
              </w:rPr>
              <w:lastRenderedPageBreak/>
              <w:t>重价值投资的平衡型基金，资产配置策略依据对宏观经济、股市政策、市场趋势等因素的判断，对股票市场和债券市场的风险收益特征进行科学的评估后，在本基金投资范围内，将基金资产主要分配在权益类、固定收益类之间，并根据投资环境的实际变化情况，在各类金融资产之间进行实时动态配置，以期承受尽量小的投资风险，并取得尽</w:t>
            </w:r>
            <w:r>
              <w:rPr>
                <w:rFonts w:eastAsiaTheme="minorEastAsia"/>
                <w:color w:val="000000" w:themeColor="text1"/>
                <w:kern w:val="0"/>
                <w:szCs w:val="21"/>
              </w:rPr>
              <w:t>可能大的主动管理回报。</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具体而言，在正常的市场环境下，本基金将保持不同类型资产配置比例的相对稳定。如果出现股票市场整体估值水平较大程度偏离企业基本面的情况，会对权益类和固定收益类资产的配置比例做出相应的调整，以减少投资风险。在股票市场安全边际降低，且综合考虑收益风险后投资吸引力低于固定收益资产时，本基金将降低权益类资产的配置比例；相反，在股票市场安全边际增厚时，本基金将相应增加权益类资产的配置比例。</w:t>
            </w:r>
          </w:p>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×50</w:t>
            </w:r>
            <w:r w:rsidRPr="00B27A29">
              <w:rPr>
                <w:rFonts w:eastAsiaTheme="minorEastAsia"/>
                <w:color w:val="000000" w:themeColor="text1"/>
                <w:kern w:val="0"/>
                <w:szCs w:val="21"/>
              </w:rPr>
              <w:t>％</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21FA1" w:rsidRDefault="008A4B2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本基金是混合型基金，在证券投资基金中属于中高风险品种，其预期风险收益水平低于股票型基金，高于债券基金与货币市场基金。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中国工商银行股份有限公司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373020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180,627,274.16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164,967.62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-15,870,491.89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-14,878.66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-27,674,507.66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-25,737.54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-0.1511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-0.1518</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250,104,098.58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226,784.57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1.3846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1.3747</w:t>
            </w:r>
          </w:p>
        </w:tc>
      </w:tr>
    </w:tbl>
    <w:p w:rsidR="00C21FA1" w:rsidRDefault="008A4B2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摩根双核平衡混合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21FA1">
        <w:tc>
          <w:tcPr>
            <w:tcW w:w="1290" w:type="dxa"/>
            <w:vAlign w:val="center"/>
          </w:tcPr>
          <w:p w:rsidR="00C21FA1" w:rsidRDefault="008A4B29">
            <w:pPr>
              <w:jc w:val="left"/>
            </w:pPr>
            <w:r>
              <w:rPr>
                <w:rFonts w:eastAsiaTheme="minorEastAsia"/>
                <w:color w:val="000000" w:themeColor="text1"/>
                <w:szCs w:val="21"/>
              </w:rPr>
              <w:t>过去三个月</w:t>
            </w:r>
          </w:p>
        </w:tc>
        <w:tc>
          <w:tcPr>
            <w:tcW w:w="1291" w:type="dxa"/>
            <w:vAlign w:val="center"/>
          </w:tcPr>
          <w:p w:rsidR="00C21FA1" w:rsidRDefault="008A4B29">
            <w:pPr>
              <w:jc w:val="right"/>
            </w:pPr>
            <w:r>
              <w:rPr>
                <w:rFonts w:eastAsiaTheme="minorEastAsia"/>
                <w:color w:val="000000" w:themeColor="text1"/>
                <w:szCs w:val="21"/>
              </w:rPr>
              <w:t>-9.78%</w:t>
            </w:r>
          </w:p>
        </w:tc>
        <w:tc>
          <w:tcPr>
            <w:tcW w:w="1291" w:type="dxa"/>
            <w:vAlign w:val="center"/>
          </w:tcPr>
          <w:p w:rsidR="00C21FA1" w:rsidRDefault="008A4B29">
            <w:pPr>
              <w:jc w:val="right"/>
            </w:pPr>
            <w:r>
              <w:rPr>
                <w:rFonts w:eastAsiaTheme="minorEastAsia"/>
                <w:color w:val="000000" w:themeColor="text1"/>
                <w:szCs w:val="21"/>
              </w:rPr>
              <w:t>0.56%</w:t>
            </w:r>
          </w:p>
        </w:tc>
        <w:tc>
          <w:tcPr>
            <w:tcW w:w="1291" w:type="dxa"/>
            <w:vAlign w:val="center"/>
          </w:tcPr>
          <w:p w:rsidR="00C21FA1" w:rsidRDefault="008A4B29">
            <w:pPr>
              <w:jc w:val="right"/>
            </w:pPr>
            <w:r>
              <w:rPr>
                <w:rFonts w:eastAsiaTheme="minorEastAsia"/>
                <w:color w:val="000000" w:themeColor="text1"/>
                <w:szCs w:val="21"/>
              </w:rPr>
              <w:t>-1.58%</w:t>
            </w:r>
          </w:p>
        </w:tc>
        <w:tc>
          <w:tcPr>
            <w:tcW w:w="1291" w:type="dxa"/>
            <w:vAlign w:val="center"/>
          </w:tcPr>
          <w:p w:rsidR="00C21FA1" w:rsidRDefault="008A4B29">
            <w:pPr>
              <w:jc w:val="right"/>
            </w:pPr>
            <w:r>
              <w:rPr>
                <w:rFonts w:eastAsiaTheme="minorEastAsia"/>
                <w:color w:val="000000" w:themeColor="text1"/>
                <w:szCs w:val="21"/>
              </w:rPr>
              <w:t>0.45%</w:t>
            </w:r>
          </w:p>
        </w:tc>
        <w:tc>
          <w:tcPr>
            <w:tcW w:w="1291" w:type="dxa"/>
            <w:vAlign w:val="center"/>
          </w:tcPr>
          <w:p w:rsidR="00C21FA1" w:rsidRDefault="008A4B29">
            <w:pPr>
              <w:jc w:val="right"/>
            </w:pPr>
            <w:r>
              <w:rPr>
                <w:rFonts w:eastAsiaTheme="minorEastAsia"/>
                <w:color w:val="000000" w:themeColor="text1"/>
                <w:szCs w:val="21"/>
              </w:rPr>
              <w:t>-8.20%</w:t>
            </w:r>
          </w:p>
        </w:tc>
        <w:tc>
          <w:tcPr>
            <w:tcW w:w="1291" w:type="dxa"/>
            <w:vAlign w:val="center"/>
          </w:tcPr>
          <w:p w:rsidR="00C21FA1" w:rsidRDefault="008A4B29">
            <w:pPr>
              <w:jc w:val="right"/>
            </w:pPr>
            <w:r>
              <w:rPr>
                <w:rFonts w:eastAsiaTheme="minorEastAsia"/>
                <w:color w:val="000000" w:themeColor="text1"/>
                <w:szCs w:val="21"/>
              </w:rPr>
              <w:t>0.11%</w:t>
            </w:r>
          </w:p>
        </w:tc>
      </w:tr>
      <w:tr w:rsidR="00C21FA1">
        <w:tc>
          <w:tcPr>
            <w:tcW w:w="1290" w:type="dxa"/>
            <w:vAlign w:val="center"/>
          </w:tcPr>
          <w:p w:rsidR="00C21FA1" w:rsidRDefault="008A4B29">
            <w:pPr>
              <w:jc w:val="left"/>
            </w:pPr>
            <w:r>
              <w:rPr>
                <w:rFonts w:eastAsiaTheme="minorEastAsia"/>
                <w:color w:val="000000" w:themeColor="text1"/>
                <w:szCs w:val="21"/>
              </w:rPr>
              <w:lastRenderedPageBreak/>
              <w:t>过去六个月</w:t>
            </w:r>
          </w:p>
        </w:tc>
        <w:tc>
          <w:tcPr>
            <w:tcW w:w="1291" w:type="dxa"/>
            <w:vAlign w:val="center"/>
          </w:tcPr>
          <w:p w:rsidR="00C21FA1" w:rsidRDefault="008A4B29">
            <w:pPr>
              <w:jc w:val="right"/>
            </w:pPr>
            <w:r>
              <w:rPr>
                <w:rFonts w:eastAsiaTheme="minorEastAsia"/>
                <w:color w:val="000000" w:themeColor="text1"/>
                <w:szCs w:val="21"/>
              </w:rPr>
              <w:t>-13.64%</w:t>
            </w:r>
          </w:p>
        </w:tc>
        <w:tc>
          <w:tcPr>
            <w:tcW w:w="1291" w:type="dxa"/>
            <w:vAlign w:val="center"/>
          </w:tcPr>
          <w:p w:rsidR="00C21FA1" w:rsidRDefault="008A4B29">
            <w:pPr>
              <w:jc w:val="right"/>
            </w:pPr>
            <w:r>
              <w:rPr>
                <w:rFonts w:eastAsiaTheme="minorEastAsia"/>
                <w:color w:val="000000" w:themeColor="text1"/>
                <w:szCs w:val="21"/>
              </w:rPr>
              <w:t>0.64%</w:t>
            </w:r>
          </w:p>
        </w:tc>
        <w:tc>
          <w:tcPr>
            <w:tcW w:w="1291" w:type="dxa"/>
            <w:vAlign w:val="center"/>
          </w:tcPr>
          <w:p w:rsidR="00C21FA1" w:rsidRDefault="008A4B29">
            <w:pPr>
              <w:jc w:val="right"/>
            </w:pPr>
            <w:r>
              <w:rPr>
                <w:rFonts w:eastAsiaTheme="minorEastAsia"/>
                <w:color w:val="000000" w:themeColor="text1"/>
                <w:szCs w:val="21"/>
              </w:rPr>
              <w:t>-3.34%</w:t>
            </w:r>
          </w:p>
        </w:tc>
        <w:tc>
          <w:tcPr>
            <w:tcW w:w="1291" w:type="dxa"/>
            <w:vAlign w:val="center"/>
          </w:tcPr>
          <w:p w:rsidR="00C21FA1" w:rsidRDefault="008A4B29">
            <w:pPr>
              <w:jc w:val="right"/>
            </w:pPr>
            <w:r>
              <w:rPr>
                <w:rFonts w:eastAsiaTheme="minorEastAsia"/>
                <w:color w:val="000000" w:themeColor="text1"/>
                <w:szCs w:val="21"/>
              </w:rPr>
              <w:t>0.43%</w:t>
            </w:r>
          </w:p>
        </w:tc>
        <w:tc>
          <w:tcPr>
            <w:tcW w:w="1291" w:type="dxa"/>
            <w:vAlign w:val="center"/>
          </w:tcPr>
          <w:p w:rsidR="00C21FA1" w:rsidRDefault="008A4B29">
            <w:pPr>
              <w:jc w:val="right"/>
            </w:pPr>
            <w:r>
              <w:rPr>
                <w:rFonts w:eastAsiaTheme="minorEastAsia"/>
                <w:color w:val="000000" w:themeColor="text1"/>
                <w:szCs w:val="21"/>
              </w:rPr>
              <w:t>-10.30%</w:t>
            </w:r>
          </w:p>
        </w:tc>
        <w:tc>
          <w:tcPr>
            <w:tcW w:w="1291" w:type="dxa"/>
            <w:vAlign w:val="center"/>
          </w:tcPr>
          <w:p w:rsidR="00C21FA1" w:rsidRDefault="008A4B29">
            <w:pPr>
              <w:jc w:val="right"/>
            </w:pPr>
            <w:r>
              <w:rPr>
                <w:rFonts w:eastAsiaTheme="minorEastAsia"/>
                <w:color w:val="000000" w:themeColor="text1"/>
                <w:szCs w:val="21"/>
              </w:rPr>
              <w:t>0.21%</w:t>
            </w:r>
          </w:p>
        </w:tc>
      </w:tr>
      <w:tr w:rsidR="00C21FA1">
        <w:tc>
          <w:tcPr>
            <w:tcW w:w="1290" w:type="dxa"/>
            <w:vAlign w:val="center"/>
          </w:tcPr>
          <w:p w:rsidR="00C21FA1" w:rsidRDefault="008A4B29">
            <w:pPr>
              <w:jc w:val="left"/>
            </w:pPr>
            <w:r>
              <w:rPr>
                <w:rFonts w:eastAsiaTheme="minorEastAsia"/>
                <w:color w:val="000000" w:themeColor="text1"/>
                <w:szCs w:val="21"/>
              </w:rPr>
              <w:t>过去一年</w:t>
            </w:r>
          </w:p>
        </w:tc>
        <w:tc>
          <w:tcPr>
            <w:tcW w:w="1291" w:type="dxa"/>
            <w:vAlign w:val="center"/>
          </w:tcPr>
          <w:p w:rsidR="00C21FA1" w:rsidRDefault="008A4B29">
            <w:pPr>
              <w:jc w:val="right"/>
            </w:pPr>
            <w:r>
              <w:rPr>
                <w:rFonts w:eastAsiaTheme="minorEastAsia"/>
                <w:color w:val="000000" w:themeColor="text1"/>
                <w:szCs w:val="21"/>
              </w:rPr>
              <w:t>-24.64%</w:t>
            </w:r>
          </w:p>
        </w:tc>
        <w:tc>
          <w:tcPr>
            <w:tcW w:w="1291" w:type="dxa"/>
            <w:vAlign w:val="center"/>
          </w:tcPr>
          <w:p w:rsidR="00C21FA1" w:rsidRDefault="008A4B29">
            <w:pPr>
              <w:jc w:val="right"/>
            </w:pPr>
            <w:r>
              <w:rPr>
                <w:rFonts w:eastAsiaTheme="minorEastAsia"/>
                <w:color w:val="000000" w:themeColor="text1"/>
                <w:szCs w:val="21"/>
              </w:rPr>
              <w:t>0.84%</w:t>
            </w:r>
          </w:p>
        </w:tc>
        <w:tc>
          <w:tcPr>
            <w:tcW w:w="1291" w:type="dxa"/>
            <w:vAlign w:val="center"/>
          </w:tcPr>
          <w:p w:rsidR="00C21FA1" w:rsidRDefault="008A4B29">
            <w:pPr>
              <w:jc w:val="right"/>
            </w:pPr>
            <w:r>
              <w:rPr>
                <w:rFonts w:eastAsiaTheme="minorEastAsia"/>
                <w:color w:val="000000" w:themeColor="text1"/>
                <w:szCs w:val="21"/>
              </w:rPr>
              <w:t>0.15%</w:t>
            </w:r>
          </w:p>
        </w:tc>
        <w:tc>
          <w:tcPr>
            <w:tcW w:w="1291" w:type="dxa"/>
            <w:vAlign w:val="center"/>
          </w:tcPr>
          <w:p w:rsidR="00C21FA1" w:rsidRDefault="008A4B29">
            <w:pPr>
              <w:jc w:val="right"/>
            </w:pPr>
            <w:r>
              <w:rPr>
                <w:rFonts w:eastAsiaTheme="minorEastAsia"/>
                <w:color w:val="000000" w:themeColor="text1"/>
                <w:szCs w:val="21"/>
              </w:rPr>
              <w:t>0.49%</w:t>
            </w:r>
          </w:p>
        </w:tc>
        <w:tc>
          <w:tcPr>
            <w:tcW w:w="1291" w:type="dxa"/>
            <w:vAlign w:val="center"/>
          </w:tcPr>
          <w:p w:rsidR="00C21FA1" w:rsidRDefault="008A4B29">
            <w:pPr>
              <w:jc w:val="right"/>
            </w:pPr>
            <w:r>
              <w:rPr>
                <w:rFonts w:eastAsiaTheme="minorEastAsia"/>
                <w:color w:val="000000" w:themeColor="text1"/>
                <w:szCs w:val="21"/>
              </w:rPr>
              <w:t>-24.79%</w:t>
            </w:r>
          </w:p>
        </w:tc>
        <w:tc>
          <w:tcPr>
            <w:tcW w:w="1291" w:type="dxa"/>
            <w:vAlign w:val="center"/>
          </w:tcPr>
          <w:p w:rsidR="00C21FA1" w:rsidRDefault="008A4B29">
            <w:pPr>
              <w:jc w:val="right"/>
            </w:pPr>
            <w:r>
              <w:rPr>
                <w:rFonts w:eastAsiaTheme="minorEastAsia"/>
                <w:color w:val="000000" w:themeColor="text1"/>
                <w:szCs w:val="21"/>
              </w:rPr>
              <w:t>0.35%</w:t>
            </w:r>
          </w:p>
        </w:tc>
      </w:tr>
      <w:tr w:rsidR="00C21FA1">
        <w:tc>
          <w:tcPr>
            <w:tcW w:w="1290" w:type="dxa"/>
            <w:vAlign w:val="center"/>
          </w:tcPr>
          <w:p w:rsidR="00C21FA1" w:rsidRDefault="008A4B29">
            <w:pPr>
              <w:jc w:val="left"/>
            </w:pPr>
            <w:r>
              <w:rPr>
                <w:rFonts w:eastAsiaTheme="minorEastAsia"/>
                <w:color w:val="000000" w:themeColor="text1"/>
                <w:szCs w:val="21"/>
              </w:rPr>
              <w:t>过去三年</w:t>
            </w:r>
          </w:p>
        </w:tc>
        <w:tc>
          <w:tcPr>
            <w:tcW w:w="1291" w:type="dxa"/>
            <w:vAlign w:val="center"/>
          </w:tcPr>
          <w:p w:rsidR="00C21FA1" w:rsidRDefault="008A4B29">
            <w:pPr>
              <w:jc w:val="right"/>
            </w:pPr>
            <w:r>
              <w:rPr>
                <w:rFonts w:eastAsiaTheme="minorEastAsia"/>
                <w:color w:val="000000" w:themeColor="text1"/>
                <w:szCs w:val="21"/>
              </w:rPr>
              <w:t>-24.19%</w:t>
            </w:r>
          </w:p>
        </w:tc>
        <w:tc>
          <w:tcPr>
            <w:tcW w:w="1291" w:type="dxa"/>
            <w:vAlign w:val="center"/>
          </w:tcPr>
          <w:p w:rsidR="00C21FA1" w:rsidRDefault="008A4B29">
            <w:pPr>
              <w:jc w:val="right"/>
            </w:pPr>
            <w:r>
              <w:rPr>
                <w:rFonts w:eastAsiaTheme="minorEastAsia"/>
                <w:color w:val="000000" w:themeColor="text1"/>
                <w:szCs w:val="21"/>
              </w:rPr>
              <w:t>1.25%</w:t>
            </w:r>
          </w:p>
        </w:tc>
        <w:tc>
          <w:tcPr>
            <w:tcW w:w="1291" w:type="dxa"/>
            <w:vAlign w:val="center"/>
          </w:tcPr>
          <w:p w:rsidR="00C21FA1" w:rsidRDefault="008A4B29">
            <w:pPr>
              <w:jc w:val="right"/>
            </w:pPr>
            <w:r>
              <w:rPr>
                <w:rFonts w:eastAsiaTheme="minorEastAsia"/>
                <w:color w:val="000000" w:themeColor="text1"/>
                <w:szCs w:val="21"/>
              </w:rPr>
              <w:t>-3.94%</w:t>
            </w:r>
          </w:p>
        </w:tc>
        <w:tc>
          <w:tcPr>
            <w:tcW w:w="1291" w:type="dxa"/>
            <w:vAlign w:val="center"/>
          </w:tcPr>
          <w:p w:rsidR="00C21FA1" w:rsidRDefault="008A4B29">
            <w:pPr>
              <w:jc w:val="right"/>
            </w:pPr>
            <w:r>
              <w:rPr>
                <w:rFonts w:eastAsiaTheme="minorEastAsia"/>
                <w:color w:val="000000" w:themeColor="text1"/>
                <w:szCs w:val="21"/>
              </w:rPr>
              <w:t>0.56%</w:t>
            </w:r>
          </w:p>
        </w:tc>
        <w:tc>
          <w:tcPr>
            <w:tcW w:w="1291" w:type="dxa"/>
            <w:vAlign w:val="center"/>
          </w:tcPr>
          <w:p w:rsidR="00C21FA1" w:rsidRDefault="008A4B29">
            <w:pPr>
              <w:jc w:val="right"/>
            </w:pPr>
            <w:r>
              <w:rPr>
                <w:rFonts w:eastAsiaTheme="minorEastAsia"/>
                <w:color w:val="000000" w:themeColor="text1"/>
                <w:szCs w:val="21"/>
              </w:rPr>
              <w:t>-20.25%</w:t>
            </w:r>
          </w:p>
        </w:tc>
        <w:tc>
          <w:tcPr>
            <w:tcW w:w="1291" w:type="dxa"/>
            <w:vAlign w:val="center"/>
          </w:tcPr>
          <w:p w:rsidR="00C21FA1" w:rsidRDefault="008A4B29">
            <w:pPr>
              <w:jc w:val="right"/>
            </w:pPr>
            <w:r>
              <w:rPr>
                <w:rFonts w:eastAsiaTheme="minorEastAsia"/>
                <w:color w:val="000000" w:themeColor="text1"/>
                <w:szCs w:val="21"/>
              </w:rPr>
              <w:t>0.69%</w:t>
            </w:r>
          </w:p>
        </w:tc>
      </w:tr>
      <w:tr w:rsidR="00C21FA1">
        <w:tc>
          <w:tcPr>
            <w:tcW w:w="1290" w:type="dxa"/>
            <w:vAlign w:val="center"/>
          </w:tcPr>
          <w:p w:rsidR="00C21FA1" w:rsidRDefault="008A4B29">
            <w:pPr>
              <w:jc w:val="left"/>
            </w:pPr>
            <w:r>
              <w:rPr>
                <w:rFonts w:eastAsiaTheme="minorEastAsia"/>
                <w:color w:val="000000" w:themeColor="text1"/>
                <w:szCs w:val="21"/>
              </w:rPr>
              <w:t>过去五年</w:t>
            </w:r>
          </w:p>
        </w:tc>
        <w:tc>
          <w:tcPr>
            <w:tcW w:w="1291" w:type="dxa"/>
            <w:vAlign w:val="center"/>
          </w:tcPr>
          <w:p w:rsidR="00C21FA1" w:rsidRDefault="008A4B29">
            <w:pPr>
              <w:jc w:val="right"/>
            </w:pPr>
            <w:r>
              <w:rPr>
                <w:rFonts w:eastAsiaTheme="minorEastAsia"/>
                <w:color w:val="000000" w:themeColor="text1"/>
                <w:szCs w:val="21"/>
              </w:rPr>
              <w:t>51.67%</w:t>
            </w:r>
          </w:p>
        </w:tc>
        <w:tc>
          <w:tcPr>
            <w:tcW w:w="1291" w:type="dxa"/>
            <w:vAlign w:val="center"/>
          </w:tcPr>
          <w:p w:rsidR="00C21FA1" w:rsidRDefault="008A4B29">
            <w:pPr>
              <w:jc w:val="right"/>
            </w:pPr>
            <w:r>
              <w:rPr>
                <w:rFonts w:eastAsiaTheme="minorEastAsia"/>
                <w:color w:val="000000" w:themeColor="text1"/>
                <w:szCs w:val="21"/>
              </w:rPr>
              <w:t>1.26%</w:t>
            </w:r>
          </w:p>
        </w:tc>
        <w:tc>
          <w:tcPr>
            <w:tcW w:w="1291" w:type="dxa"/>
            <w:vAlign w:val="center"/>
          </w:tcPr>
          <w:p w:rsidR="00C21FA1" w:rsidRDefault="008A4B29">
            <w:pPr>
              <w:jc w:val="right"/>
            </w:pPr>
            <w:r>
              <w:rPr>
                <w:rFonts w:eastAsiaTheme="minorEastAsia"/>
                <w:color w:val="000000" w:themeColor="text1"/>
                <w:szCs w:val="21"/>
              </w:rPr>
              <w:t>14.89%</w:t>
            </w:r>
          </w:p>
        </w:tc>
        <w:tc>
          <w:tcPr>
            <w:tcW w:w="1291" w:type="dxa"/>
            <w:vAlign w:val="center"/>
          </w:tcPr>
          <w:p w:rsidR="00C21FA1" w:rsidRDefault="008A4B29">
            <w:pPr>
              <w:jc w:val="right"/>
            </w:pPr>
            <w:r>
              <w:rPr>
                <w:rFonts w:eastAsiaTheme="minorEastAsia"/>
                <w:color w:val="000000" w:themeColor="text1"/>
                <w:szCs w:val="21"/>
              </w:rPr>
              <w:t>0.63%</w:t>
            </w:r>
          </w:p>
        </w:tc>
        <w:tc>
          <w:tcPr>
            <w:tcW w:w="1291" w:type="dxa"/>
            <w:vAlign w:val="center"/>
          </w:tcPr>
          <w:p w:rsidR="00C21FA1" w:rsidRDefault="008A4B29">
            <w:pPr>
              <w:jc w:val="right"/>
            </w:pPr>
            <w:r>
              <w:rPr>
                <w:rFonts w:eastAsiaTheme="minorEastAsia"/>
                <w:color w:val="000000" w:themeColor="text1"/>
                <w:szCs w:val="21"/>
              </w:rPr>
              <w:t>36.78%</w:t>
            </w:r>
          </w:p>
        </w:tc>
        <w:tc>
          <w:tcPr>
            <w:tcW w:w="1291" w:type="dxa"/>
            <w:vAlign w:val="center"/>
          </w:tcPr>
          <w:p w:rsidR="00C21FA1" w:rsidRDefault="008A4B29">
            <w:pPr>
              <w:jc w:val="right"/>
            </w:pPr>
            <w:r>
              <w:rPr>
                <w:rFonts w:eastAsiaTheme="minorEastAsia"/>
                <w:color w:val="000000" w:themeColor="text1"/>
                <w:szCs w:val="21"/>
              </w:rPr>
              <w:t>0.63%</w:t>
            </w:r>
          </w:p>
        </w:tc>
      </w:tr>
      <w:tr w:rsidR="00C21FA1">
        <w:tc>
          <w:tcPr>
            <w:tcW w:w="1290" w:type="dxa"/>
            <w:vAlign w:val="center"/>
          </w:tcPr>
          <w:p w:rsidR="00C21FA1" w:rsidRDefault="008A4B29">
            <w:pPr>
              <w:jc w:val="left"/>
            </w:pPr>
            <w:r>
              <w:rPr>
                <w:rFonts w:eastAsiaTheme="minorEastAsia"/>
                <w:color w:val="000000" w:themeColor="text1"/>
                <w:szCs w:val="21"/>
              </w:rPr>
              <w:t>自基金合同生效起至今</w:t>
            </w:r>
          </w:p>
        </w:tc>
        <w:tc>
          <w:tcPr>
            <w:tcW w:w="1291" w:type="dxa"/>
            <w:vAlign w:val="center"/>
          </w:tcPr>
          <w:p w:rsidR="00C21FA1" w:rsidRDefault="008A4B29">
            <w:pPr>
              <w:jc w:val="right"/>
            </w:pPr>
            <w:r>
              <w:rPr>
                <w:rFonts w:eastAsiaTheme="minorEastAsia"/>
                <w:color w:val="000000" w:themeColor="text1"/>
                <w:szCs w:val="21"/>
              </w:rPr>
              <w:t>229.95%</w:t>
            </w:r>
          </w:p>
        </w:tc>
        <w:tc>
          <w:tcPr>
            <w:tcW w:w="1291" w:type="dxa"/>
            <w:vAlign w:val="center"/>
          </w:tcPr>
          <w:p w:rsidR="00C21FA1" w:rsidRDefault="008A4B29">
            <w:pPr>
              <w:jc w:val="right"/>
            </w:pPr>
            <w:r>
              <w:rPr>
                <w:rFonts w:eastAsiaTheme="minorEastAsia"/>
                <w:color w:val="000000" w:themeColor="text1"/>
                <w:szCs w:val="21"/>
              </w:rPr>
              <w:t>1.22%</w:t>
            </w:r>
          </w:p>
        </w:tc>
        <w:tc>
          <w:tcPr>
            <w:tcW w:w="1291" w:type="dxa"/>
            <w:vAlign w:val="center"/>
          </w:tcPr>
          <w:p w:rsidR="00C21FA1" w:rsidRDefault="008A4B29">
            <w:pPr>
              <w:jc w:val="right"/>
            </w:pPr>
            <w:r>
              <w:rPr>
                <w:rFonts w:eastAsiaTheme="minorEastAsia"/>
                <w:color w:val="000000" w:themeColor="text1"/>
                <w:szCs w:val="21"/>
              </w:rPr>
              <w:t>39.91%</w:t>
            </w:r>
          </w:p>
        </w:tc>
        <w:tc>
          <w:tcPr>
            <w:tcW w:w="1291" w:type="dxa"/>
            <w:vAlign w:val="center"/>
          </w:tcPr>
          <w:p w:rsidR="00C21FA1" w:rsidRDefault="008A4B29">
            <w:pPr>
              <w:jc w:val="right"/>
            </w:pPr>
            <w:r>
              <w:rPr>
                <w:rFonts w:eastAsiaTheme="minorEastAsia"/>
                <w:color w:val="000000" w:themeColor="text1"/>
                <w:szCs w:val="21"/>
              </w:rPr>
              <w:t>0.77%</w:t>
            </w:r>
          </w:p>
        </w:tc>
        <w:tc>
          <w:tcPr>
            <w:tcW w:w="1291" w:type="dxa"/>
            <w:vAlign w:val="center"/>
          </w:tcPr>
          <w:p w:rsidR="00C21FA1" w:rsidRDefault="008A4B29">
            <w:pPr>
              <w:jc w:val="right"/>
            </w:pPr>
            <w:r>
              <w:rPr>
                <w:rFonts w:eastAsiaTheme="minorEastAsia"/>
                <w:color w:val="000000" w:themeColor="text1"/>
                <w:szCs w:val="21"/>
              </w:rPr>
              <w:t>190.04%</w:t>
            </w:r>
          </w:p>
        </w:tc>
        <w:tc>
          <w:tcPr>
            <w:tcW w:w="1291" w:type="dxa"/>
            <w:vAlign w:val="center"/>
          </w:tcPr>
          <w:p w:rsidR="00C21FA1" w:rsidRDefault="008A4B29">
            <w:pPr>
              <w:jc w:val="right"/>
            </w:pPr>
            <w:r>
              <w:rPr>
                <w:rFonts w:eastAsiaTheme="minorEastAsia"/>
                <w:color w:val="000000" w:themeColor="text1"/>
                <w:szCs w:val="21"/>
              </w:rPr>
              <w:t>0.45%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摩根双核平衡混合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21FA1">
        <w:tc>
          <w:tcPr>
            <w:tcW w:w="1290" w:type="dxa"/>
            <w:vAlign w:val="center"/>
          </w:tcPr>
          <w:p w:rsidR="00C21FA1" w:rsidRDefault="008A4B29">
            <w:pPr>
              <w:jc w:val="left"/>
            </w:pPr>
            <w:r>
              <w:rPr>
                <w:rFonts w:eastAsiaTheme="minorEastAsia"/>
                <w:color w:val="000000" w:themeColor="text1"/>
                <w:szCs w:val="21"/>
              </w:rPr>
              <w:t>过去三个月</w:t>
            </w:r>
          </w:p>
        </w:tc>
        <w:tc>
          <w:tcPr>
            <w:tcW w:w="1291" w:type="dxa"/>
            <w:vAlign w:val="center"/>
          </w:tcPr>
          <w:p w:rsidR="00C21FA1" w:rsidRDefault="008A4B29">
            <w:pPr>
              <w:jc w:val="right"/>
            </w:pPr>
            <w:r>
              <w:rPr>
                <w:rFonts w:eastAsiaTheme="minorEastAsia"/>
                <w:color w:val="000000" w:themeColor="text1"/>
                <w:szCs w:val="21"/>
              </w:rPr>
              <w:t>-9.90%</w:t>
            </w:r>
          </w:p>
        </w:tc>
        <w:tc>
          <w:tcPr>
            <w:tcW w:w="1291" w:type="dxa"/>
            <w:vAlign w:val="center"/>
          </w:tcPr>
          <w:p w:rsidR="00C21FA1" w:rsidRDefault="008A4B29">
            <w:pPr>
              <w:jc w:val="right"/>
            </w:pPr>
            <w:r>
              <w:rPr>
                <w:rFonts w:eastAsiaTheme="minorEastAsia"/>
                <w:color w:val="000000" w:themeColor="text1"/>
                <w:szCs w:val="21"/>
              </w:rPr>
              <w:t>0.56%</w:t>
            </w:r>
          </w:p>
        </w:tc>
        <w:tc>
          <w:tcPr>
            <w:tcW w:w="1291" w:type="dxa"/>
            <w:vAlign w:val="center"/>
          </w:tcPr>
          <w:p w:rsidR="00C21FA1" w:rsidRDefault="008A4B29">
            <w:pPr>
              <w:jc w:val="right"/>
            </w:pPr>
            <w:r>
              <w:rPr>
                <w:rFonts w:eastAsiaTheme="minorEastAsia"/>
                <w:color w:val="000000" w:themeColor="text1"/>
                <w:szCs w:val="21"/>
              </w:rPr>
              <w:t>-1.58%</w:t>
            </w:r>
          </w:p>
        </w:tc>
        <w:tc>
          <w:tcPr>
            <w:tcW w:w="1291" w:type="dxa"/>
            <w:vAlign w:val="center"/>
          </w:tcPr>
          <w:p w:rsidR="00C21FA1" w:rsidRDefault="008A4B29">
            <w:pPr>
              <w:jc w:val="right"/>
            </w:pPr>
            <w:r>
              <w:rPr>
                <w:rFonts w:eastAsiaTheme="minorEastAsia"/>
                <w:color w:val="000000" w:themeColor="text1"/>
                <w:szCs w:val="21"/>
              </w:rPr>
              <w:t>0.45%</w:t>
            </w:r>
          </w:p>
        </w:tc>
        <w:tc>
          <w:tcPr>
            <w:tcW w:w="1291" w:type="dxa"/>
            <w:vAlign w:val="center"/>
          </w:tcPr>
          <w:p w:rsidR="00C21FA1" w:rsidRDefault="008A4B29">
            <w:pPr>
              <w:jc w:val="right"/>
            </w:pPr>
            <w:r>
              <w:rPr>
                <w:rFonts w:eastAsiaTheme="minorEastAsia"/>
                <w:color w:val="000000" w:themeColor="text1"/>
                <w:szCs w:val="21"/>
              </w:rPr>
              <w:t>-8.32%</w:t>
            </w:r>
          </w:p>
        </w:tc>
        <w:tc>
          <w:tcPr>
            <w:tcW w:w="1291" w:type="dxa"/>
            <w:vAlign w:val="center"/>
          </w:tcPr>
          <w:p w:rsidR="00C21FA1" w:rsidRDefault="008A4B29">
            <w:pPr>
              <w:jc w:val="right"/>
            </w:pPr>
            <w:r>
              <w:rPr>
                <w:rFonts w:eastAsiaTheme="minorEastAsia"/>
                <w:color w:val="000000" w:themeColor="text1"/>
                <w:szCs w:val="21"/>
              </w:rPr>
              <w:t>0.11%</w:t>
            </w:r>
          </w:p>
        </w:tc>
      </w:tr>
      <w:tr w:rsidR="00C21FA1">
        <w:tc>
          <w:tcPr>
            <w:tcW w:w="1290" w:type="dxa"/>
            <w:vAlign w:val="center"/>
          </w:tcPr>
          <w:p w:rsidR="00C21FA1" w:rsidRDefault="008A4B29">
            <w:pPr>
              <w:jc w:val="left"/>
            </w:pPr>
            <w:r>
              <w:rPr>
                <w:rFonts w:eastAsiaTheme="minorEastAsia"/>
                <w:color w:val="000000" w:themeColor="text1"/>
                <w:szCs w:val="21"/>
              </w:rPr>
              <w:t>过去六个月</w:t>
            </w:r>
          </w:p>
        </w:tc>
        <w:tc>
          <w:tcPr>
            <w:tcW w:w="1291" w:type="dxa"/>
            <w:vAlign w:val="center"/>
          </w:tcPr>
          <w:p w:rsidR="00C21FA1" w:rsidRDefault="008A4B29">
            <w:pPr>
              <w:jc w:val="right"/>
            </w:pPr>
            <w:r>
              <w:rPr>
                <w:rFonts w:eastAsiaTheme="minorEastAsia"/>
                <w:color w:val="000000" w:themeColor="text1"/>
                <w:szCs w:val="21"/>
              </w:rPr>
              <w:t>-13.86%</w:t>
            </w:r>
          </w:p>
        </w:tc>
        <w:tc>
          <w:tcPr>
            <w:tcW w:w="1291" w:type="dxa"/>
            <w:vAlign w:val="center"/>
          </w:tcPr>
          <w:p w:rsidR="00C21FA1" w:rsidRDefault="008A4B29">
            <w:pPr>
              <w:jc w:val="right"/>
            </w:pPr>
            <w:r>
              <w:rPr>
                <w:rFonts w:eastAsiaTheme="minorEastAsia"/>
                <w:color w:val="000000" w:themeColor="text1"/>
                <w:szCs w:val="21"/>
              </w:rPr>
              <w:t>0.64%</w:t>
            </w:r>
          </w:p>
        </w:tc>
        <w:tc>
          <w:tcPr>
            <w:tcW w:w="1291" w:type="dxa"/>
            <w:vAlign w:val="center"/>
          </w:tcPr>
          <w:p w:rsidR="00C21FA1" w:rsidRDefault="008A4B29">
            <w:pPr>
              <w:jc w:val="right"/>
            </w:pPr>
            <w:r>
              <w:rPr>
                <w:rFonts w:eastAsiaTheme="minorEastAsia"/>
                <w:color w:val="000000" w:themeColor="text1"/>
                <w:szCs w:val="21"/>
              </w:rPr>
              <w:t>-3.34%</w:t>
            </w:r>
          </w:p>
        </w:tc>
        <w:tc>
          <w:tcPr>
            <w:tcW w:w="1291" w:type="dxa"/>
            <w:vAlign w:val="center"/>
          </w:tcPr>
          <w:p w:rsidR="00C21FA1" w:rsidRDefault="008A4B29">
            <w:pPr>
              <w:jc w:val="right"/>
            </w:pPr>
            <w:r>
              <w:rPr>
                <w:rFonts w:eastAsiaTheme="minorEastAsia"/>
                <w:color w:val="000000" w:themeColor="text1"/>
                <w:szCs w:val="21"/>
              </w:rPr>
              <w:t>0.43%</w:t>
            </w:r>
          </w:p>
        </w:tc>
        <w:tc>
          <w:tcPr>
            <w:tcW w:w="1291" w:type="dxa"/>
            <w:vAlign w:val="center"/>
          </w:tcPr>
          <w:p w:rsidR="00C21FA1" w:rsidRDefault="008A4B29">
            <w:pPr>
              <w:jc w:val="right"/>
            </w:pPr>
            <w:r>
              <w:rPr>
                <w:rFonts w:eastAsiaTheme="minorEastAsia"/>
                <w:color w:val="000000" w:themeColor="text1"/>
                <w:szCs w:val="21"/>
              </w:rPr>
              <w:t>-10.52%</w:t>
            </w:r>
          </w:p>
        </w:tc>
        <w:tc>
          <w:tcPr>
            <w:tcW w:w="1291" w:type="dxa"/>
            <w:vAlign w:val="center"/>
          </w:tcPr>
          <w:p w:rsidR="00C21FA1" w:rsidRDefault="008A4B29">
            <w:pPr>
              <w:jc w:val="right"/>
            </w:pPr>
            <w:r>
              <w:rPr>
                <w:rFonts w:eastAsiaTheme="minorEastAsia"/>
                <w:color w:val="000000" w:themeColor="text1"/>
                <w:szCs w:val="21"/>
              </w:rPr>
              <w:t>0.21%</w:t>
            </w:r>
          </w:p>
        </w:tc>
      </w:tr>
      <w:tr w:rsidR="00C21FA1">
        <w:tc>
          <w:tcPr>
            <w:tcW w:w="1290" w:type="dxa"/>
            <w:vAlign w:val="center"/>
          </w:tcPr>
          <w:p w:rsidR="00C21FA1" w:rsidRDefault="008A4B29">
            <w:pPr>
              <w:jc w:val="left"/>
            </w:pPr>
            <w:r>
              <w:rPr>
                <w:rFonts w:eastAsiaTheme="minorEastAsia"/>
                <w:color w:val="000000" w:themeColor="text1"/>
                <w:szCs w:val="21"/>
              </w:rPr>
              <w:t>过去一年</w:t>
            </w:r>
          </w:p>
        </w:tc>
        <w:tc>
          <w:tcPr>
            <w:tcW w:w="1291" w:type="dxa"/>
            <w:vAlign w:val="center"/>
          </w:tcPr>
          <w:p w:rsidR="00C21FA1" w:rsidRDefault="008A4B29">
            <w:pPr>
              <w:jc w:val="right"/>
            </w:pPr>
            <w:r>
              <w:rPr>
                <w:rFonts w:eastAsiaTheme="minorEastAsia"/>
                <w:color w:val="000000" w:themeColor="text1"/>
                <w:szCs w:val="21"/>
              </w:rPr>
              <w:t>-25.01%</w:t>
            </w:r>
          </w:p>
        </w:tc>
        <w:tc>
          <w:tcPr>
            <w:tcW w:w="1291" w:type="dxa"/>
            <w:vAlign w:val="center"/>
          </w:tcPr>
          <w:p w:rsidR="00C21FA1" w:rsidRDefault="008A4B29">
            <w:pPr>
              <w:jc w:val="right"/>
            </w:pPr>
            <w:r>
              <w:rPr>
                <w:rFonts w:eastAsiaTheme="minorEastAsia"/>
                <w:color w:val="000000" w:themeColor="text1"/>
                <w:szCs w:val="21"/>
              </w:rPr>
              <w:t>0.84%</w:t>
            </w:r>
          </w:p>
        </w:tc>
        <w:tc>
          <w:tcPr>
            <w:tcW w:w="1291" w:type="dxa"/>
            <w:vAlign w:val="center"/>
          </w:tcPr>
          <w:p w:rsidR="00C21FA1" w:rsidRDefault="008A4B29">
            <w:pPr>
              <w:jc w:val="right"/>
            </w:pPr>
            <w:r>
              <w:rPr>
                <w:rFonts w:eastAsiaTheme="minorEastAsia"/>
                <w:color w:val="000000" w:themeColor="text1"/>
                <w:szCs w:val="21"/>
              </w:rPr>
              <w:t>0.15%</w:t>
            </w:r>
          </w:p>
        </w:tc>
        <w:tc>
          <w:tcPr>
            <w:tcW w:w="1291" w:type="dxa"/>
            <w:vAlign w:val="center"/>
          </w:tcPr>
          <w:p w:rsidR="00C21FA1" w:rsidRDefault="008A4B29">
            <w:pPr>
              <w:jc w:val="right"/>
            </w:pPr>
            <w:r>
              <w:rPr>
                <w:rFonts w:eastAsiaTheme="minorEastAsia"/>
                <w:color w:val="000000" w:themeColor="text1"/>
                <w:szCs w:val="21"/>
              </w:rPr>
              <w:t>0.49%</w:t>
            </w:r>
          </w:p>
        </w:tc>
        <w:tc>
          <w:tcPr>
            <w:tcW w:w="1291" w:type="dxa"/>
            <w:vAlign w:val="center"/>
          </w:tcPr>
          <w:p w:rsidR="00C21FA1" w:rsidRDefault="008A4B29">
            <w:pPr>
              <w:jc w:val="right"/>
            </w:pPr>
            <w:r>
              <w:rPr>
                <w:rFonts w:eastAsiaTheme="minorEastAsia"/>
                <w:color w:val="000000" w:themeColor="text1"/>
                <w:szCs w:val="21"/>
              </w:rPr>
              <w:t>-25.16%</w:t>
            </w:r>
          </w:p>
        </w:tc>
        <w:tc>
          <w:tcPr>
            <w:tcW w:w="1291" w:type="dxa"/>
            <w:vAlign w:val="center"/>
          </w:tcPr>
          <w:p w:rsidR="00C21FA1" w:rsidRDefault="008A4B29">
            <w:pPr>
              <w:jc w:val="right"/>
            </w:pPr>
            <w:r>
              <w:rPr>
                <w:rFonts w:eastAsiaTheme="minorEastAsia"/>
                <w:color w:val="000000" w:themeColor="text1"/>
                <w:szCs w:val="21"/>
              </w:rPr>
              <w:t>0.35%</w:t>
            </w:r>
          </w:p>
        </w:tc>
      </w:tr>
      <w:tr w:rsidR="00C21FA1">
        <w:tc>
          <w:tcPr>
            <w:tcW w:w="1290" w:type="dxa"/>
            <w:vAlign w:val="center"/>
          </w:tcPr>
          <w:p w:rsidR="00C21FA1" w:rsidRDefault="008A4B29">
            <w:pPr>
              <w:jc w:val="left"/>
            </w:pPr>
            <w:r>
              <w:rPr>
                <w:rFonts w:eastAsiaTheme="minorEastAsia"/>
                <w:color w:val="000000" w:themeColor="text1"/>
                <w:szCs w:val="21"/>
              </w:rPr>
              <w:t>过去三年</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r>
      <w:tr w:rsidR="00C21FA1">
        <w:tc>
          <w:tcPr>
            <w:tcW w:w="1290" w:type="dxa"/>
            <w:vAlign w:val="center"/>
          </w:tcPr>
          <w:p w:rsidR="00C21FA1" w:rsidRDefault="008A4B29">
            <w:pPr>
              <w:jc w:val="left"/>
            </w:pPr>
            <w:r>
              <w:rPr>
                <w:rFonts w:eastAsiaTheme="minorEastAsia"/>
                <w:color w:val="000000" w:themeColor="text1"/>
                <w:szCs w:val="21"/>
              </w:rPr>
              <w:t>过去五年</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c>
          <w:tcPr>
            <w:tcW w:w="1291" w:type="dxa"/>
            <w:vAlign w:val="center"/>
          </w:tcPr>
          <w:p w:rsidR="00C21FA1" w:rsidRDefault="008A4B29">
            <w:pPr>
              <w:jc w:val="right"/>
            </w:pPr>
            <w:r>
              <w:rPr>
                <w:rFonts w:eastAsiaTheme="minorEastAsia"/>
                <w:color w:val="000000" w:themeColor="text1"/>
                <w:szCs w:val="21"/>
              </w:rPr>
              <w:t>-</w:t>
            </w:r>
          </w:p>
        </w:tc>
      </w:tr>
      <w:tr w:rsidR="00C21FA1">
        <w:tc>
          <w:tcPr>
            <w:tcW w:w="1290" w:type="dxa"/>
            <w:vAlign w:val="center"/>
          </w:tcPr>
          <w:p w:rsidR="00C21FA1" w:rsidRDefault="008A4B29">
            <w:pPr>
              <w:jc w:val="left"/>
            </w:pPr>
            <w:r>
              <w:rPr>
                <w:rFonts w:eastAsiaTheme="minorEastAsia"/>
                <w:color w:val="000000" w:themeColor="text1"/>
                <w:szCs w:val="21"/>
              </w:rPr>
              <w:t>自基金合同生效起至今</w:t>
            </w:r>
          </w:p>
        </w:tc>
        <w:tc>
          <w:tcPr>
            <w:tcW w:w="1291" w:type="dxa"/>
            <w:vAlign w:val="center"/>
          </w:tcPr>
          <w:p w:rsidR="00C21FA1" w:rsidRDefault="008A4B29">
            <w:pPr>
              <w:jc w:val="right"/>
            </w:pPr>
            <w:r>
              <w:rPr>
                <w:rFonts w:eastAsiaTheme="minorEastAsia"/>
                <w:color w:val="000000" w:themeColor="text1"/>
                <w:szCs w:val="21"/>
              </w:rPr>
              <w:t>-28.51%</w:t>
            </w:r>
          </w:p>
        </w:tc>
        <w:tc>
          <w:tcPr>
            <w:tcW w:w="1291" w:type="dxa"/>
            <w:vAlign w:val="center"/>
          </w:tcPr>
          <w:p w:rsidR="00C21FA1" w:rsidRDefault="008A4B29">
            <w:pPr>
              <w:jc w:val="right"/>
            </w:pPr>
            <w:r>
              <w:rPr>
                <w:rFonts w:eastAsiaTheme="minorEastAsia"/>
                <w:color w:val="000000" w:themeColor="text1"/>
                <w:szCs w:val="21"/>
              </w:rPr>
              <w:t>1.11%</w:t>
            </w:r>
          </w:p>
        </w:tc>
        <w:tc>
          <w:tcPr>
            <w:tcW w:w="1291" w:type="dxa"/>
            <w:vAlign w:val="center"/>
          </w:tcPr>
          <w:p w:rsidR="00C21FA1" w:rsidRDefault="008A4B29">
            <w:pPr>
              <w:jc w:val="right"/>
            </w:pPr>
            <w:r>
              <w:rPr>
                <w:rFonts w:eastAsiaTheme="minorEastAsia"/>
                <w:color w:val="000000" w:themeColor="text1"/>
                <w:szCs w:val="21"/>
              </w:rPr>
              <w:t>-4.23%</w:t>
            </w:r>
          </w:p>
        </w:tc>
        <w:tc>
          <w:tcPr>
            <w:tcW w:w="1291" w:type="dxa"/>
            <w:vAlign w:val="center"/>
          </w:tcPr>
          <w:p w:rsidR="00C21FA1" w:rsidRDefault="008A4B29">
            <w:pPr>
              <w:jc w:val="right"/>
            </w:pPr>
            <w:r>
              <w:rPr>
                <w:rFonts w:eastAsiaTheme="minorEastAsia"/>
                <w:color w:val="000000" w:themeColor="text1"/>
                <w:szCs w:val="21"/>
              </w:rPr>
              <w:t>0.56%</w:t>
            </w:r>
          </w:p>
        </w:tc>
        <w:tc>
          <w:tcPr>
            <w:tcW w:w="1291" w:type="dxa"/>
            <w:vAlign w:val="center"/>
          </w:tcPr>
          <w:p w:rsidR="00C21FA1" w:rsidRDefault="008A4B29">
            <w:pPr>
              <w:jc w:val="right"/>
            </w:pPr>
            <w:r>
              <w:rPr>
                <w:rFonts w:eastAsiaTheme="minorEastAsia"/>
                <w:color w:val="000000" w:themeColor="text1"/>
                <w:szCs w:val="21"/>
              </w:rPr>
              <w:t>-24.28%</w:t>
            </w:r>
          </w:p>
        </w:tc>
        <w:tc>
          <w:tcPr>
            <w:tcW w:w="1291" w:type="dxa"/>
            <w:vAlign w:val="center"/>
          </w:tcPr>
          <w:p w:rsidR="00C21FA1" w:rsidRDefault="008A4B29">
            <w:pPr>
              <w:jc w:val="right"/>
            </w:pPr>
            <w:r>
              <w:rPr>
                <w:rFonts w:eastAsiaTheme="minorEastAsia"/>
                <w:color w:val="000000" w:themeColor="text1"/>
                <w:szCs w:val="21"/>
              </w:rPr>
              <w:t>0.55%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摩根双核平衡混合型证券投资基金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(2008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5</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．摩根双核平衡混合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．摩根双核平衡混合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2022 </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w:t>
      </w:r>
      <w:r w:rsidRPr="00B27A29">
        <w:rPr>
          <w:rFonts w:eastAsiaTheme="minorEastAsia"/>
          <w:color w:val="000000" w:themeColor="text1"/>
          <w:szCs w:val="21"/>
        </w:rPr>
        <w:lastRenderedPageBreak/>
        <w:t>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21FA1">
        <w:tc>
          <w:tcPr>
            <w:tcW w:w="952" w:type="dxa"/>
            <w:vAlign w:val="center"/>
          </w:tcPr>
          <w:p w:rsidR="00C21FA1" w:rsidRDefault="008A4B29">
            <w:pPr>
              <w:jc w:val="center"/>
            </w:pPr>
            <w:r>
              <w:rPr>
                <w:rFonts w:eastAsiaTheme="minorEastAsia"/>
                <w:color w:val="000000" w:themeColor="text1"/>
                <w:szCs w:val="21"/>
              </w:rPr>
              <w:t>陈思郁</w:t>
            </w:r>
          </w:p>
        </w:tc>
        <w:tc>
          <w:tcPr>
            <w:tcW w:w="930" w:type="dxa"/>
            <w:vAlign w:val="center"/>
          </w:tcPr>
          <w:p w:rsidR="00C21FA1" w:rsidRDefault="008A4B29">
            <w:pPr>
              <w:jc w:val="center"/>
            </w:pPr>
            <w:r>
              <w:rPr>
                <w:rFonts w:eastAsiaTheme="minorEastAsia"/>
                <w:color w:val="000000" w:themeColor="text1"/>
                <w:szCs w:val="21"/>
              </w:rPr>
              <w:t>本基金基金经理</w:t>
            </w:r>
          </w:p>
        </w:tc>
        <w:tc>
          <w:tcPr>
            <w:tcW w:w="1210" w:type="dxa"/>
            <w:vAlign w:val="center"/>
          </w:tcPr>
          <w:p w:rsidR="00C21FA1" w:rsidRDefault="008A4B29">
            <w:pPr>
              <w:jc w:val="center"/>
            </w:pPr>
            <w:r>
              <w:rPr>
                <w:rFonts w:eastAsiaTheme="minorEastAsia"/>
                <w:color w:val="000000" w:themeColor="text1"/>
                <w:szCs w:val="21"/>
              </w:rPr>
              <w:t>2015-08-04</w:t>
            </w:r>
          </w:p>
        </w:tc>
        <w:tc>
          <w:tcPr>
            <w:tcW w:w="1309" w:type="dxa"/>
            <w:vAlign w:val="center"/>
          </w:tcPr>
          <w:p w:rsidR="00C21FA1" w:rsidRDefault="008A4B29">
            <w:pPr>
              <w:jc w:val="center"/>
            </w:pPr>
            <w:r>
              <w:rPr>
                <w:rFonts w:eastAsiaTheme="minorEastAsia"/>
                <w:color w:val="000000" w:themeColor="text1"/>
                <w:szCs w:val="21"/>
              </w:rPr>
              <w:t>-</w:t>
            </w:r>
          </w:p>
        </w:tc>
        <w:tc>
          <w:tcPr>
            <w:tcW w:w="1254" w:type="dxa"/>
            <w:vAlign w:val="center"/>
          </w:tcPr>
          <w:p w:rsidR="00C21FA1" w:rsidRDefault="008A4B29">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C21FA1" w:rsidRDefault="008A4B29">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C21FA1" w:rsidRDefault="008A4B2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2,506,649,906.67</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17,345,552.68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2,523,995,459.35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w:t>
      </w:r>
      <w:r>
        <w:rPr>
          <w:rFonts w:eastAsiaTheme="minorEastAsia"/>
          <w:color w:val="000000" w:themeColor="text1"/>
          <w:szCs w:val="21"/>
        </w:rPr>
        <w:lastRenderedPageBreak/>
        <w:t>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进入三季度，经济大环境底部震荡，暑期出行游成为主要的亮点，出行人次超出市场此前预期，出口依然维持高位，尤其是对一带一路国家的出口，部分抵消了来自欧美订单的回落，其他投资、消费均较为疲弱。</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市场整体走的比较</w:t>
      </w:r>
      <w:r>
        <w:rPr>
          <w:rFonts w:eastAsiaTheme="minorEastAsia"/>
          <w:color w:val="000000" w:themeColor="text1"/>
          <w:szCs w:val="21"/>
        </w:rPr>
        <w:t>低迷，前期热点，如机器人、人工智能（</w:t>
      </w:r>
      <w:r>
        <w:rPr>
          <w:rFonts w:eastAsiaTheme="minorEastAsia"/>
          <w:color w:val="000000" w:themeColor="text1"/>
          <w:szCs w:val="21"/>
        </w:rPr>
        <w:t>AI</w:t>
      </w:r>
      <w:r>
        <w:rPr>
          <w:rFonts w:eastAsiaTheme="minorEastAsia"/>
          <w:color w:val="000000" w:themeColor="text1"/>
          <w:szCs w:val="21"/>
        </w:rPr>
        <w:t>）、芯片封装优化（</w:t>
      </w:r>
      <w:r>
        <w:rPr>
          <w:rFonts w:eastAsiaTheme="minorEastAsia"/>
          <w:color w:val="000000" w:themeColor="text1"/>
          <w:szCs w:val="21"/>
        </w:rPr>
        <w:t>CPO</w:t>
      </w:r>
      <w:r>
        <w:rPr>
          <w:rFonts w:eastAsiaTheme="minorEastAsia"/>
          <w:color w:val="000000" w:themeColor="text1"/>
          <w:szCs w:val="21"/>
        </w:rPr>
        <w:t>）等均出现较大回撤，成交量也持续萎缩。</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本基金降低仓位，且有部分仓位配置于高股息、低波动个股，组合相对偏防御，在三季度取得了一定的相对收益。</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展望后市，我们依然不悲观，虽然这个经济低迷期和市场底部比我们预想中要长。从高频数据来看，</w:t>
      </w:r>
      <w:r>
        <w:rPr>
          <w:rFonts w:eastAsiaTheme="minorEastAsia"/>
          <w:color w:val="000000" w:themeColor="text1"/>
          <w:szCs w:val="21"/>
        </w:rPr>
        <w:t>9</w:t>
      </w:r>
      <w:r>
        <w:rPr>
          <w:rFonts w:eastAsiaTheme="minorEastAsia"/>
          <w:color w:val="000000" w:themeColor="text1"/>
          <w:szCs w:val="21"/>
        </w:rPr>
        <w:t>、</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PMI</w:t>
      </w:r>
      <w:r>
        <w:rPr>
          <w:rFonts w:eastAsiaTheme="minorEastAsia"/>
          <w:color w:val="000000" w:themeColor="text1"/>
          <w:szCs w:val="21"/>
        </w:rPr>
        <w:t>有望拐头进入扩张区间，部分制造业进入被动补库阶段，叠加此前出台的一系列救市托底政策，如地产放松、专项债加速发放等，四季度经济数据有望温和复苏，完成筑底。同时大家目前对于经济和政策的预期，均处于历史极低水平，超预期的经济数据或者政策是</w:t>
      </w:r>
      <w:r>
        <w:rPr>
          <w:rFonts w:eastAsiaTheme="minorEastAsia"/>
          <w:color w:val="000000" w:themeColor="text1"/>
          <w:szCs w:val="21"/>
        </w:rPr>
        <w:lastRenderedPageBreak/>
        <w:t>有可能发生的。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但历史经验告诉我们，熊市抄底如火中取栗，因此虽然战略上我们不悲观，战术上我们倾向于做右侧，短期用高股息低波动个股和低仓位应对形态可能会比较复杂的磨底，同时持有部分顺周期板块，及业绩高增长的个股，等看到经济出现超预期增长或者政策出台力度更大的时候，择机加仓。</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本报告期摩根双核平衡</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:-9.78%</w:t>
      </w:r>
      <w:r>
        <w:rPr>
          <w:rFonts w:eastAsiaTheme="minorEastAsia"/>
          <w:color w:val="000000" w:themeColor="text1"/>
          <w:szCs w:val="21"/>
        </w:rPr>
        <w:t>，同期业绩比较基准收益率为</w:t>
      </w:r>
      <w:r>
        <w:rPr>
          <w:rFonts w:eastAsiaTheme="minorEastAsia"/>
          <w:color w:val="000000" w:themeColor="text1"/>
          <w:szCs w:val="21"/>
        </w:rPr>
        <w:t>:-1.58%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摩根双核平衡</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:-9.90%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:-1.58%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139,073,101.06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55.19</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139,073,101.06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55.19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96,354,871.60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38.23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96,354,871.60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38.23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12,138,097.95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4,441,475.43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252,007,546.04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736,554.00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97,830,834.69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5,217,892.00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5,028.10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17,688,320.00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8,848,099.90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3.53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787,359.60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4,273,033.05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3,343,784.00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342,195.72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139,073,101.06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55.56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21FA1">
        <w:tc>
          <w:tcPr>
            <w:tcW w:w="817" w:type="dxa"/>
            <w:vAlign w:val="center"/>
          </w:tcPr>
          <w:p w:rsidR="00C21FA1" w:rsidRDefault="008A4B29">
            <w:pPr>
              <w:jc w:val="center"/>
            </w:pPr>
            <w:r>
              <w:rPr>
                <w:rFonts w:eastAsiaTheme="minorEastAsia"/>
                <w:kern w:val="0"/>
                <w:szCs w:val="21"/>
              </w:rPr>
              <w:t>1</w:t>
            </w:r>
          </w:p>
        </w:tc>
        <w:tc>
          <w:tcPr>
            <w:tcW w:w="1276" w:type="dxa"/>
            <w:vAlign w:val="center"/>
          </w:tcPr>
          <w:p w:rsidR="00C21FA1" w:rsidRDefault="008A4B29">
            <w:pPr>
              <w:jc w:val="center"/>
            </w:pPr>
            <w:r>
              <w:rPr>
                <w:rFonts w:eastAsiaTheme="minorEastAsia"/>
                <w:kern w:val="0"/>
                <w:szCs w:val="21"/>
              </w:rPr>
              <w:t>600519</w:t>
            </w:r>
          </w:p>
        </w:tc>
        <w:tc>
          <w:tcPr>
            <w:tcW w:w="1701" w:type="dxa"/>
            <w:vAlign w:val="center"/>
          </w:tcPr>
          <w:p w:rsidR="00C21FA1" w:rsidRDefault="008A4B29">
            <w:pPr>
              <w:jc w:val="center"/>
            </w:pPr>
            <w:r>
              <w:rPr>
                <w:rFonts w:eastAsiaTheme="minorEastAsia"/>
                <w:kern w:val="0"/>
                <w:szCs w:val="21"/>
              </w:rPr>
              <w:t>贵州茅台</w:t>
            </w:r>
          </w:p>
        </w:tc>
        <w:tc>
          <w:tcPr>
            <w:tcW w:w="1276" w:type="dxa"/>
            <w:vAlign w:val="center"/>
          </w:tcPr>
          <w:p w:rsidR="00C21FA1" w:rsidRDefault="008A4B29">
            <w:pPr>
              <w:jc w:val="right"/>
            </w:pPr>
            <w:r>
              <w:rPr>
                <w:rFonts w:eastAsiaTheme="minorEastAsia"/>
                <w:kern w:val="0"/>
                <w:szCs w:val="21"/>
              </w:rPr>
              <w:t>8,400</w:t>
            </w:r>
          </w:p>
        </w:tc>
        <w:tc>
          <w:tcPr>
            <w:tcW w:w="1842" w:type="dxa"/>
            <w:vAlign w:val="center"/>
          </w:tcPr>
          <w:p w:rsidR="00C21FA1" w:rsidRDefault="008A4B29">
            <w:pPr>
              <w:jc w:val="right"/>
            </w:pPr>
            <w:r>
              <w:rPr>
                <w:rFonts w:eastAsiaTheme="minorEastAsia"/>
                <w:kern w:val="0"/>
                <w:szCs w:val="21"/>
              </w:rPr>
              <w:t>15,107,820.00</w:t>
            </w:r>
          </w:p>
        </w:tc>
        <w:tc>
          <w:tcPr>
            <w:tcW w:w="1616" w:type="dxa"/>
            <w:vAlign w:val="center"/>
          </w:tcPr>
          <w:p w:rsidR="00C21FA1" w:rsidRDefault="008A4B29">
            <w:pPr>
              <w:jc w:val="right"/>
            </w:pPr>
            <w:r>
              <w:rPr>
                <w:rFonts w:eastAsiaTheme="minorEastAsia"/>
                <w:kern w:val="0"/>
                <w:szCs w:val="21"/>
              </w:rPr>
              <w:t>6.04</w:t>
            </w:r>
          </w:p>
        </w:tc>
      </w:tr>
      <w:tr w:rsidR="00C21FA1">
        <w:tc>
          <w:tcPr>
            <w:tcW w:w="817" w:type="dxa"/>
            <w:vAlign w:val="center"/>
          </w:tcPr>
          <w:p w:rsidR="00C21FA1" w:rsidRDefault="008A4B29">
            <w:pPr>
              <w:jc w:val="center"/>
            </w:pPr>
            <w:r>
              <w:rPr>
                <w:rFonts w:eastAsiaTheme="minorEastAsia"/>
                <w:kern w:val="0"/>
                <w:szCs w:val="21"/>
              </w:rPr>
              <w:t>2</w:t>
            </w:r>
          </w:p>
        </w:tc>
        <w:tc>
          <w:tcPr>
            <w:tcW w:w="1276" w:type="dxa"/>
            <w:vAlign w:val="center"/>
          </w:tcPr>
          <w:p w:rsidR="00C21FA1" w:rsidRDefault="008A4B29">
            <w:pPr>
              <w:jc w:val="center"/>
            </w:pPr>
            <w:r>
              <w:rPr>
                <w:rFonts w:eastAsiaTheme="minorEastAsia"/>
                <w:kern w:val="0"/>
                <w:szCs w:val="21"/>
              </w:rPr>
              <w:t>600012</w:t>
            </w:r>
          </w:p>
        </w:tc>
        <w:tc>
          <w:tcPr>
            <w:tcW w:w="1701" w:type="dxa"/>
            <w:vAlign w:val="center"/>
          </w:tcPr>
          <w:p w:rsidR="00C21FA1" w:rsidRDefault="008A4B29">
            <w:pPr>
              <w:jc w:val="center"/>
            </w:pPr>
            <w:r>
              <w:rPr>
                <w:rFonts w:eastAsiaTheme="minorEastAsia"/>
                <w:kern w:val="0"/>
                <w:szCs w:val="21"/>
              </w:rPr>
              <w:t>皖通高速</w:t>
            </w:r>
          </w:p>
        </w:tc>
        <w:tc>
          <w:tcPr>
            <w:tcW w:w="1276" w:type="dxa"/>
            <w:vAlign w:val="center"/>
          </w:tcPr>
          <w:p w:rsidR="00C21FA1" w:rsidRDefault="008A4B29">
            <w:pPr>
              <w:jc w:val="right"/>
            </w:pPr>
            <w:r>
              <w:rPr>
                <w:rFonts w:eastAsiaTheme="minorEastAsia"/>
                <w:kern w:val="0"/>
                <w:szCs w:val="21"/>
              </w:rPr>
              <w:t>724,000</w:t>
            </w:r>
          </w:p>
        </w:tc>
        <w:tc>
          <w:tcPr>
            <w:tcW w:w="1842" w:type="dxa"/>
            <w:vAlign w:val="center"/>
          </w:tcPr>
          <w:p w:rsidR="00C21FA1" w:rsidRDefault="008A4B29">
            <w:pPr>
              <w:jc w:val="right"/>
            </w:pPr>
            <w:r>
              <w:rPr>
                <w:rFonts w:eastAsiaTheme="minorEastAsia"/>
                <w:kern w:val="0"/>
                <w:szCs w:val="21"/>
              </w:rPr>
              <w:t>8,036,400.00</w:t>
            </w:r>
          </w:p>
        </w:tc>
        <w:tc>
          <w:tcPr>
            <w:tcW w:w="1616" w:type="dxa"/>
            <w:vAlign w:val="center"/>
          </w:tcPr>
          <w:p w:rsidR="00C21FA1" w:rsidRDefault="008A4B29">
            <w:pPr>
              <w:jc w:val="right"/>
            </w:pPr>
            <w:r>
              <w:rPr>
                <w:rFonts w:eastAsiaTheme="minorEastAsia"/>
                <w:kern w:val="0"/>
                <w:szCs w:val="21"/>
              </w:rPr>
              <w:t>3.21</w:t>
            </w:r>
          </w:p>
        </w:tc>
      </w:tr>
      <w:tr w:rsidR="00C21FA1">
        <w:tc>
          <w:tcPr>
            <w:tcW w:w="817" w:type="dxa"/>
            <w:vAlign w:val="center"/>
          </w:tcPr>
          <w:p w:rsidR="00C21FA1" w:rsidRDefault="008A4B29">
            <w:pPr>
              <w:jc w:val="center"/>
            </w:pPr>
            <w:r>
              <w:rPr>
                <w:rFonts w:eastAsiaTheme="minorEastAsia"/>
                <w:kern w:val="0"/>
                <w:szCs w:val="21"/>
              </w:rPr>
              <w:lastRenderedPageBreak/>
              <w:t>3</w:t>
            </w:r>
          </w:p>
        </w:tc>
        <w:tc>
          <w:tcPr>
            <w:tcW w:w="1276" w:type="dxa"/>
            <w:vAlign w:val="center"/>
          </w:tcPr>
          <w:p w:rsidR="00C21FA1" w:rsidRDefault="008A4B29">
            <w:pPr>
              <w:jc w:val="center"/>
            </w:pPr>
            <w:r>
              <w:rPr>
                <w:rFonts w:eastAsiaTheme="minorEastAsia"/>
                <w:kern w:val="0"/>
                <w:szCs w:val="21"/>
              </w:rPr>
              <w:t>601006</w:t>
            </w:r>
          </w:p>
        </w:tc>
        <w:tc>
          <w:tcPr>
            <w:tcW w:w="1701" w:type="dxa"/>
            <w:vAlign w:val="center"/>
          </w:tcPr>
          <w:p w:rsidR="00C21FA1" w:rsidRDefault="008A4B29">
            <w:pPr>
              <w:jc w:val="center"/>
            </w:pPr>
            <w:r>
              <w:rPr>
                <w:rFonts w:eastAsiaTheme="minorEastAsia"/>
                <w:kern w:val="0"/>
                <w:szCs w:val="21"/>
              </w:rPr>
              <w:t>大秦铁路</w:t>
            </w:r>
          </w:p>
        </w:tc>
        <w:tc>
          <w:tcPr>
            <w:tcW w:w="1276" w:type="dxa"/>
            <w:vAlign w:val="center"/>
          </w:tcPr>
          <w:p w:rsidR="00C21FA1" w:rsidRDefault="008A4B29">
            <w:pPr>
              <w:jc w:val="right"/>
            </w:pPr>
            <w:r>
              <w:rPr>
                <w:rFonts w:eastAsiaTheme="minorEastAsia"/>
                <w:kern w:val="0"/>
                <w:szCs w:val="21"/>
              </w:rPr>
              <w:t>974,000</w:t>
            </w:r>
          </w:p>
        </w:tc>
        <w:tc>
          <w:tcPr>
            <w:tcW w:w="1842" w:type="dxa"/>
            <w:vAlign w:val="center"/>
          </w:tcPr>
          <w:p w:rsidR="00C21FA1" w:rsidRDefault="008A4B29">
            <w:pPr>
              <w:jc w:val="right"/>
            </w:pPr>
            <w:r>
              <w:rPr>
                <w:rFonts w:eastAsiaTheme="minorEastAsia"/>
                <w:kern w:val="0"/>
                <w:szCs w:val="21"/>
              </w:rPr>
              <w:t>7,100,460.00</w:t>
            </w:r>
          </w:p>
        </w:tc>
        <w:tc>
          <w:tcPr>
            <w:tcW w:w="1616" w:type="dxa"/>
            <w:vAlign w:val="center"/>
          </w:tcPr>
          <w:p w:rsidR="00C21FA1" w:rsidRDefault="008A4B29">
            <w:pPr>
              <w:jc w:val="right"/>
            </w:pPr>
            <w:r>
              <w:rPr>
                <w:rFonts w:eastAsiaTheme="minorEastAsia"/>
                <w:kern w:val="0"/>
                <w:szCs w:val="21"/>
              </w:rPr>
              <w:t>2.84</w:t>
            </w:r>
          </w:p>
        </w:tc>
      </w:tr>
      <w:tr w:rsidR="00C21FA1">
        <w:tc>
          <w:tcPr>
            <w:tcW w:w="817" w:type="dxa"/>
            <w:vAlign w:val="center"/>
          </w:tcPr>
          <w:p w:rsidR="00C21FA1" w:rsidRDefault="008A4B29">
            <w:pPr>
              <w:jc w:val="center"/>
            </w:pPr>
            <w:r>
              <w:rPr>
                <w:rFonts w:eastAsiaTheme="minorEastAsia"/>
                <w:kern w:val="0"/>
                <w:szCs w:val="21"/>
              </w:rPr>
              <w:t>4</w:t>
            </w:r>
          </w:p>
        </w:tc>
        <w:tc>
          <w:tcPr>
            <w:tcW w:w="1276" w:type="dxa"/>
            <w:vAlign w:val="center"/>
          </w:tcPr>
          <w:p w:rsidR="00C21FA1" w:rsidRDefault="008A4B29">
            <w:pPr>
              <w:jc w:val="center"/>
            </w:pPr>
            <w:r>
              <w:rPr>
                <w:rFonts w:eastAsiaTheme="minorEastAsia"/>
                <w:kern w:val="0"/>
                <w:szCs w:val="21"/>
              </w:rPr>
              <w:t>000568</w:t>
            </w:r>
          </w:p>
        </w:tc>
        <w:tc>
          <w:tcPr>
            <w:tcW w:w="1701" w:type="dxa"/>
            <w:vAlign w:val="center"/>
          </w:tcPr>
          <w:p w:rsidR="00C21FA1" w:rsidRDefault="008A4B29">
            <w:pPr>
              <w:jc w:val="center"/>
            </w:pPr>
            <w:r>
              <w:rPr>
                <w:rFonts w:eastAsiaTheme="minorEastAsia"/>
                <w:kern w:val="0"/>
                <w:szCs w:val="21"/>
              </w:rPr>
              <w:t>泸州老窖</w:t>
            </w:r>
          </w:p>
        </w:tc>
        <w:tc>
          <w:tcPr>
            <w:tcW w:w="1276" w:type="dxa"/>
            <w:vAlign w:val="center"/>
          </w:tcPr>
          <w:p w:rsidR="00C21FA1" w:rsidRDefault="008A4B29">
            <w:pPr>
              <w:jc w:val="right"/>
            </w:pPr>
            <w:r>
              <w:rPr>
                <w:rFonts w:eastAsiaTheme="minorEastAsia"/>
                <w:kern w:val="0"/>
                <w:szCs w:val="21"/>
              </w:rPr>
              <w:t>29,000</w:t>
            </w:r>
          </w:p>
        </w:tc>
        <w:tc>
          <w:tcPr>
            <w:tcW w:w="1842" w:type="dxa"/>
            <w:vAlign w:val="center"/>
          </w:tcPr>
          <w:p w:rsidR="00C21FA1" w:rsidRDefault="008A4B29">
            <w:pPr>
              <w:jc w:val="right"/>
            </w:pPr>
            <w:r>
              <w:rPr>
                <w:rFonts w:eastAsiaTheme="minorEastAsia"/>
                <w:kern w:val="0"/>
                <w:szCs w:val="21"/>
              </w:rPr>
              <w:t>6,282,850.00</w:t>
            </w:r>
          </w:p>
        </w:tc>
        <w:tc>
          <w:tcPr>
            <w:tcW w:w="1616" w:type="dxa"/>
            <w:vAlign w:val="center"/>
          </w:tcPr>
          <w:p w:rsidR="00C21FA1" w:rsidRDefault="008A4B29">
            <w:pPr>
              <w:jc w:val="right"/>
            </w:pPr>
            <w:r>
              <w:rPr>
                <w:rFonts w:eastAsiaTheme="minorEastAsia"/>
                <w:kern w:val="0"/>
                <w:szCs w:val="21"/>
              </w:rPr>
              <w:t>2.51</w:t>
            </w:r>
          </w:p>
        </w:tc>
      </w:tr>
      <w:tr w:rsidR="00C21FA1">
        <w:tc>
          <w:tcPr>
            <w:tcW w:w="817" w:type="dxa"/>
            <w:vAlign w:val="center"/>
          </w:tcPr>
          <w:p w:rsidR="00C21FA1" w:rsidRDefault="008A4B29">
            <w:pPr>
              <w:jc w:val="center"/>
            </w:pPr>
            <w:r>
              <w:rPr>
                <w:rFonts w:eastAsiaTheme="minorEastAsia"/>
                <w:kern w:val="0"/>
                <w:szCs w:val="21"/>
              </w:rPr>
              <w:t>5</w:t>
            </w:r>
          </w:p>
        </w:tc>
        <w:tc>
          <w:tcPr>
            <w:tcW w:w="1276" w:type="dxa"/>
            <w:vAlign w:val="center"/>
          </w:tcPr>
          <w:p w:rsidR="00C21FA1" w:rsidRDefault="008A4B29">
            <w:pPr>
              <w:jc w:val="center"/>
            </w:pPr>
            <w:r>
              <w:rPr>
                <w:rFonts w:eastAsiaTheme="minorEastAsia"/>
                <w:kern w:val="0"/>
                <w:szCs w:val="21"/>
              </w:rPr>
              <w:t>603298</w:t>
            </w:r>
          </w:p>
        </w:tc>
        <w:tc>
          <w:tcPr>
            <w:tcW w:w="1701" w:type="dxa"/>
            <w:vAlign w:val="center"/>
          </w:tcPr>
          <w:p w:rsidR="00C21FA1" w:rsidRDefault="008A4B29">
            <w:pPr>
              <w:jc w:val="center"/>
            </w:pPr>
            <w:r>
              <w:rPr>
                <w:rFonts w:eastAsiaTheme="minorEastAsia"/>
                <w:kern w:val="0"/>
                <w:szCs w:val="21"/>
              </w:rPr>
              <w:t>杭叉集团</w:t>
            </w:r>
          </w:p>
        </w:tc>
        <w:tc>
          <w:tcPr>
            <w:tcW w:w="1276" w:type="dxa"/>
            <w:vAlign w:val="center"/>
          </w:tcPr>
          <w:p w:rsidR="00C21FA1" w:rsidRDefault="008A4B29">
            <w:pPr>
              <w:jc w:val="right"/>
            </w:pPr>
            <w:r>
              <w:rPr>
                <w:rFonts w:eastAsiaTheme="minorEastAsia"/>
                <w:kern w:val="0"/>
                <w:szCs w:val="21"/>
              </w:rPr>
              <w:t>240,700</w:t>
            </w:r>
          </w:p>
        </w:tc>
        <w:tc>
          <w:tcPr>
            <w:tcW w:w="1842" w:type="dxa"/>
            <w:vAlign w:val="center"/>
          </w:tcPr>
          <w:p w:rsidR="00C21FA1" w:rsidRDefault="008A4B29">
            <w:pPr>
              <w:jc w:val="right"/>
            </w:pPr>
            <w:r>
              <w:rPr>
                <w:rFonts w:eastAsiaTheme="minorEastAsia"/>
                <w:kern w:val="0"/>
                <w:szCs w:val="21"/>
              </w:rPr>
              <w:t>6,154,699.00</w:t>
            </w:r>
          </w:p>
        </w:tc>
        <w:tc>
          <w:tcPr>
            <w:tcW w:w="1616" w:type="dxa"/>
            <w:vAlign w:val="center"/>
          </w:tcPr>
          <w:p w:rsidR="00C21FA1" w:rsidRDefault="008A4B29">
            <w:pPr>
              <w:jc w:val="right"/>
            </w:pPr>
            <w:r>
              <w:rPr>
                <w:rFonts w:eastAsiaTheme="minorEastAsia"/>
                <w:kern w:val="0"/>
                <w:szCs w:val="21"/>
              </w:rPr>
              <w:t>2.46</w:t>
            </w:r>
          </w:p>
        </w:tc>
      </w:tr>
      <w:tr w:rsidR="00C21FA1">
        <w:tc>
          <w:tcPr>
            <w:tcW w:w="817" w:type="dxa"/>
            <w:vAlign w:val="center"/>
          </w:tcPr>
          <w:p w:rsidR="00C21FA1" w:rsidRDefault="008A4B29">
            <w:pPr>
              <w:jc w:val="center"/>
            </w:pPr>
            <w:r>
              <w:rPr>
                <w:rFonts w:eastAsiaTheme="minorEastAsia"/>
                <w:kern w:val="0"/>
                <w:szCs w:val="21"/>
              </w:rPr>
              <w:t>6</w:t>
            </w:r>
          </w:p>
        </w:tc>
        <w:tc>
          <w:tcPr>
            <w:tcW w:w="1276" w:type="dxa"/>
            <w:vAlign w:val="center"/>
          </w:tcPr>
          <w:p w:rsidR="00C21FA1" w:rsidRDefault="008A4B29">
            <w:pPr>
              <w:jc w:val="center"/>
            </w:pPr>
            <w:r>
              <w:rPr>
                <w:rFonts w:eastAsiaTheme="minorEastAsia"/>
                <w:kern w:val="0"/>
                <w:szCs w:val="21"/>
              </w:rPr>
              <w:t>601799</w:t>
            </w:r>
          </w:p>
        </w:tc>
        <w:tc>
          <w:tcPr>
            <w:tcW w:w="1701" w:type="dxa"/>
            <w:vAlign w:val="center"/>
          </w:tcPr>
          <w:p w:rsidR="00C21FA1" w:rsidRDefault="008A4B29">
            <w:pPr>
              <w:jc w:val="center"/>
            </w:pPr>
            <w:r>
              <w:rPr>
                <w:rFonts w:eastAsiaTheme="minorEastAsia"/>
                <w:kern w:val="0"/>
                <w:szCs w:val="21"/>
              </w:rPr>
              <w:t>星宇股份</w:t>
            </w:r>
          </w:p>
        </w:tc>
        <w:tc>
          <w:tcPr>
            <w:tcW w:w="1276" w:type="dxa"/>
            <w:vAlign w:val="center"/>
          </w:tcPr>
          <w:p w:rsidR="00C21FA1" w:rsidRDefault="008A4B29">
            <w:pPr>
              <w:jc w:val="right"/>
            </w:pPr>
            <w:r>
              <w:rPr>
                <w:rFonts w:eastAsiaTheme="minorEastAsia"/>
                <w:kern w:val="0"/>
                <w:szCs w:val="21"/>
              </w:rPr>
              <w:t>39,700</w:t>
            </w:r>
          </w:p>
        </w:tc>
        <w:tc>
          <w:tcPr>
            <w:tcW w:w="1842" w:type="dxa"/>
            <w:vAlign w:val="center"/>
          </w:tcPr>
          <w:p w:rsidR="00C21FA1" w:rsidRDefault="008A4B29">
            <w:pPr>
              <w:jc w:val="right"/>
            </w:pPr>
            <w:r>
              <w:rPr>
                <w:rFonts w:eastAsiaTheme="minorEastAsia"/>
                <w:kern w:val="0"/>
                <w:szCs w:val="21"/>
              </w:rPr>
              <w:t>6,034,400.00</w:t>
            </w:r>
          </w:p>
        </w:tc>
        <w:tc>
          <w:tcPr>
            <w:tcW w:w="1616" w:type="dxa"/>
            <w:vAlign w:val="center"/>
          </w:tcPr>
          <w:p w:rsidR="00C21FA1" w:rsidRDefault="008A4B29">
            <w:pPr>
              <w:jc w:val="right"/>
            </w:pPr>
            <w:r>
              <w:rPr>
                <w:rFonts w:eastAsiaTheme="minorEastAsia"/>
                <w:kern w:val="0"/>
                <w:szCs w:val="21"/>
              </w:rPr>
              <w:t>2.41</w:t>
            </w:r>
          </w:p>
        </w:tc>
      </w:tr>
      <w:tr w:rsidR="00C21FA1">
        <w:tc>
          <w:tcPr>
            <w:tcW w:w="817" w:type="dxa"/>
            <w:vAlign w:val="center"/>
          </w:tcPr>
          <w:p w:rsidR="00C21FA1" w:rsidRDefault="008A4B29">
            <w:pPr>
              <w:jc w:val="center"/>
            </w:pPr>
            <w:r>
              <w:rPr>
                <w:rFonts w:eastAsiaTheme="minorEastAsia"/>
                <w:kern w:val="0"/>
                <w:szCs w:val="21"/>
              </w:rPr>
              <w:t>7</w:t>
            </w:r>
          </w:p>
        </w:tc>
        <w:tc>
          <w:tcPr>
            <w:tcW w:w="1276" w:type="dxa"/>
            <w:vAlign w:val="center"/>
          </w:tcPr>
          <w:p w:rsidR="00C21FA1" w:rsidRDefault="008A4B29">
            <w:pPr>
              <w:jc w:val="center"/>
            </w:pPr>
            <w:r>
              <w:rPr>
                <w:rFonts w:eastAsiaTheme="minorEastAsia"/>
                <w:kern w:val="0"/>
                <w:szCs w:val="21"/>
              </w:rPr>
              <w:t>002028</w:t>
            </w:r>
          </w:p>
        </w:tc>
        <w:tc>
          <w:tcPr>
            <w:tcW w:w="1701" w:type="dxa"/>
            <w:vAlign w:val="center"/>
          </w:tcPr>
          <w:p w:rsidR="00C21FA1" w:rsidRDefault="008A4B29">
            <w:pPr>
              <w:jc w:val="center"/>
            </w:pPr>
            <w:r>
              <w:rPr>
                <w:rFonts w:eastAsiaTheme="minorEastAsia"/>
                <w:kern w:val="0"/>
                <w:szCs w:val="21"/>
              </w:rPr>
              <w:t>思源电气</w:t>
            </w:r>
          </w:p>
        </w:tc>
        <w:tc>
          <w:tcPr>
            <w:tcW w:w="1276" w:type="dxa"/>
            <w:vAlign w:val="center"/>
          </w:tcPr>
          <w:p w:rsidR="00C21FA1" w:rsidRDefault="008A4B29">
            <w:pPr>
              <w:jc w:val="right"/>
            </w:pPr>
            <w:r>
              <w:rPr>
                <w:rFonts w:eastAsiaTheme="minorEastAsia"/>
                <w:kern w:val="0"/>
                <w:szCs w:val="21"/>
              </w:rPr>
              <w:t>113,800</w:t>
            </w:r>
          </w:p>
        </w:tc>
        <w:tc>
          <w:tcPr>
            <w:tcW w:w="1842" w:type="dxa"/>
            <w:vAlign w:val="center"/>
          </w:tcPr>
          <w:p w:rsidR="00C21FA1" w:rsidRDefault="008A4B29">
            <w:pPr>
              <w:jc w:val="right"/>
            </w:pPr>
            <w:r>
              <w:rPr>
                <w:rFonts w:eastAsiaTheme="minorEastAsia"/>
                <w:kern w:val="0"/>
                <w:szCs w:val="21"/>
              </w:rPr>
              <w:t>5,881,184.00</w:t>
            </w:r>
          </w:p>
        </w:tc>
        <w:tc>
          <w:tcPr>
            <w:tcW w:w="1616" w:type="dxa"/>
            <w:vAlign w:val="center"/>
          </w:tcPr>
          <w:p w:rsidR="00C21FA1" w:rsidRDefault="008A4B29">
            <w:pPr>
              <w:jc w:val="right"/>
            </w:pPr>
            <w:r>
              <w:rPr>
                <w:rFonts w:eastAsiaTheme="minorEastAsia"/>
                <w:kern w:val="0"/>
                <w:szCs w:val="21"/>
              </w:rPr>
              <w:t>2.35</w:t>
            </w:r>
          </w:p>
        </w:tc>
      </w:tr>
      <w:tr w:rsidR="00C21FA1">
        <w:tc>
          <w:tcPr>
            <w:tcW w:w="817" w:type="dxa"/>
            <w:vAlign w:val="center"/>
          </w:tcPr>
          <w:p w:rsidR="00C21FA1" w:rsidRDefault="008A4B29">
            <w:pPr>
              <w:jc w:val="center"/>
            </w:pPr>
            <w:r>
              <w:rPr>
                <w:rFonts w:eastAsiaTheme="minorEastAsia"/>
                <w:kern w:val="0"/>
                <w:szCs w:val="21"/>
              </w:rPr>
              <w:t>8</w:t>
            </w:r>
          </w:p>
        </w:tc>
        <w:tc>
          <w:tcPr>
            <w:tcW w:w="1276" w:type="dxa"/>
            <w:vAlign w:val="center"/>
          </w:tcPr>
          <w:p w:rsidR="00C21FA1" w:rsidRDefault="008A4B29">
            <w:pPr>
              <w:jc w:val="center"/>
            </w:pPr>
            <w:r>
              <w:rPr>
                <w:rFonts w:eastAsiaTheme="minorEastAsia"/>
                <w:kern w:val="0"/>
                <w:szCs w:val="21"/>
              </w:rPr>
              <w:t>600941</w:t>
            </w:r>
          </w:p>
        </w:tc>
        <w:tc>
          <w:tcPr>
            <w:tcW w:w="1701" w:type="dxa"/>
            <w:vAlign w:val="center"/>
          </w:tcPr>
          <w:p w:rsidR="00C21FA1" w:rsidRDefault="008A4B29">
            <w:pPr>
              <w:jc w:val="center"/>
            </w:pPr>
            <w:r>
              <w:rPr>
                <w:rFonts w:eastAsiaTheme="minorEastAsia"/>
                <w:kern w:val="0"/>
                <w:szCs w:val="21"/>
              </w:rPr>
              <w:t>中国移动</w:t>
            </w:r>
          </w:p>
        </w:tc>
        <w:tc>
          <w:tcPr>
            <w:tcW w:w="1276" w:type="dxa"/>
            <w:vAlign w:val="center"/>
          </w:tcPr>
          <w:p w:rsidR="00C21FA1" w:rsidRDefault="008A4B29">
            <w:pPr>
              <w:jc w:val="right"/>
            </w:pPr>
            <w:r>
              <w:rPr>
                <w:rFonts w:eastAsiaTheme="minorEastAsia"/>
                <w:kern w:val="0"/>
                <w:szCs w:val="21"/>
              </w:rPr>
              <w:t>55,300</w:t>
            </w:r>
          </w:p>
        </w:tc>
        <w:tc>
          <w:tcPr>
            <w:tcW w:w="1842" w:type="dxa"/>
            <w:vAlign w:val="center"/>
          </w:tcPr>
          <w:p w:rsidR="00C21FA1" w:rsidRDefault="008A4B29">
            <w:pPr>
              <w:jc w:val="right"/>
            </w:pPr>
            <w:r>
              <w:rPr>
                <w:rFonts w:eastAsiaTheme="minorEastAsia"/>
                <w:kern w:val="0"/>
                <w:szCs w:val="21"/>
              </w:rPr>
              <w:t>5,354,146.00</w:t>
            </w:r>
          </w:p>
        </w:tc>
        <w:tc>
          <w:tcPr>
            <w:tcW w:w="1616" w:type="dxa"/>
            <w:vAlign w:val="center"/>
          </w:tcPr>
          <w:p w:rsidR="00C21FA1" w:rsidRDefault="008A4B29">
            <w:pPr>
              <w:jc w:val="right"/>
            </w:pPr>
            <w:r>
              <w:rPr>
                <w:rFonts w:eastAsiaTheme="minorEastAsia"/>
                <w:kern w:val="0"/>
                <w:szCs w:val="21"/>
              </w:rPr>
              <w:t>2.14</w:t>
            </w:r>
          </w:p>
        </w:tc>
      </w:tr>
      <w:tr w:rsidR="00C21FA1">
        <w:tc>
          <w:tcPr>
            <w:tcW w:w="817" w:type="dxa"/>
            <w:vAlign w:val="center"/>
          </w:tcPr>
          <w:p w:rsidR="00C21FA1" w:rsidRDefault="008A4B29">
            <w:pPr>
              <w:jc w:val="center"/>
            </w:pPr>
            <w:r>
              <w:rPr>
                <w:rFonts w:eastAsiaTheme="minorEastAsia"/>
                <w:kern w:val="0"/>
                <w:szCs w:val="21"/>
              </w:rPr>
              <w:t>9</w:t>
            </w:r>
          </w:p>
        </w:tc>
        <w:tc>
          <w:tcPr>
            <w:tcW w:w="1276" w:type="dxa"/>
            <w:vAlign w:val="center"/>
          </w:tcPr>
          <w:p w:rsidR="00C21FA1" w:rsidRDefault="008A4B29">
            <w:pPr>
              <w:jc w:val="center"/>
            </w:pPr>
            <w:r>
              <w:rPr>
                <w:rFonts w:eastAsiaTheme="minorEastAsia"/>
                <w:kern w:val="0"/>
                <w:szCs w:val="21"/>
              </w:rPr>
              <w:t>002353</w:t>
            </w:r>
          </w:p>
        </w:tc>
        <w:tc>
          <w:tcPr>
            <w:tcW w:w="1701" w:type="dxa"/>
            <w:vAlign w:val="center"/>
          </w:tcPr>
          <w:p w:rsidR="00C21FA1" w:rsidRDefault="008A4B29">
            <w:pPr>
              <w:jc w:val="center"/>
            </w:pPr>
            <w:r>
              <w:rPr>
                <w:rFonts w:eastAsiaTheme="minorEastAsia"/>
                <w:kern w:val="0"/>
                <w:szCs w:val="21"/>
              </w:rPr>
              <w:t>杰瑞股份</w:t>
            </w:r>
          </w:p>
        </w:tc>
        <w:tc>
          <w:tcPr>
            <w:tcW w:w="1276" w:type="dxa"/>
            <w:vAlign w:val="center"/>
          </w:tcPr>
          <w:p w:rsidR="00C21FA1" w:rsidRDefault="008A4B29">
            <w:pPr>
              <w:jc w:val="right"/>
            </w:pPr>
            <w:r>
              <w:rPr>
                <w:rFonts w:eastAsiaTheme="minorEastAsia"/>
                <w:kern w:val="0"/>
                <w:szCs w:val="21"/>
              </w:rPr>
              <w:t>146,600</w:t>
            </w:r>
          </w:p>
        </w:tc>
        <w:tc>
          <w:tcPr>
            <w:tcW w:w="1842" w:type="dxa"/>
            <w:vAlign w:val="center"/>
          </w:tcPr>
          <w:p w:rsidR="00C21FA1" w:rsidRDefault="008A4B29">
            <w:pPr>
              <w:jc w:val="right"/>
            </w:pPr>
            <w:r>
              <w:rPr>
                <w:rFonts w:eastAsiaTheme="minorEastAsia"/>
                <w:kern w:val="0"/>
                <w:szCs w:val="21"/>
              </w:rPr>
              <w:t>4,675,074.00</w:t>
            </w:r>
          </w:p>
        </w:tc>
        <w:tc>
          <w:tcPr>
            <w:tcW w:w="1616" w:type="dxa"/>
            <w:vAlign w:val="center"/>
          </w:tcPr>
          <w:p w:rsidR="00C21FA1" w:rsidRDefault="008A4B29">
            <w:pPr>
              <w:jc w:val="right"/>
            </w:pPr>
            <w:r>
              <w:rPr>
                <w:rFonts w:eastAsiaTheme="minorEastAsia"/>
                <w:kern w:val="0"/>
                <w:szCs w:val="21"/>
              </w:rPr>
              <w:t>1.87</w:t>
            </w:r>
          </w:p>
        </w:tc>
      </w:tr>
      <w:tr w:rsidR="00C21FA1">
        <w:tc>
          <w:tcPr>
            <w:tcW w:w="817" w:type="dxa"/>
            <w:vAlign w:val="center"/>
          </w:tcPr>
          <w:p w:rsidR="00C21FA1" w:rsidRDefault="008A4B29">
            <w:pPr>
              <w:jc w:val="center"/>
            </w:pPr>
            <w:r>
              <w:rPr>
                <w:rFonts w:eastAsiaTheme="minorEastAsia"/>
                <w:kern w:val="0"/>
                <w:szCs w:val="21"/>
              </w:rPr>
              <w:t>10</w:t>
            </w:r>
          </w:p>
        </w:tc>
        <w:tc>
          <w:tcPr>
            <w:tcW w:w="1276" w:type="dxa"/>
            <w:vAlign w:val="center"/>
          </w:tcPr>
          <w:p w:rsidR="00C21FA1" w:rsidRDefault="008A4B29">
            <w:pPr>
              <w:jc w:val="center"/>
            </w:pPr>
            <w:r>
              <w:rPr>
                <w:rFonts w:eastAsiaTheme="minorEastAsia"/>
                <w:kern w:val="0"/>
                <w:szCs w:val="21"/>
              </w:rPr>
              <w:t>603699</w:t>
            </w:r>
          </w:p>
        </w:tc>
        <w:tc>
          <w:tcPr>
            <w:tcW w:w="1701" w:type="dxa"/>
            <w:vAlign w:val="center"/>
          </w:tcPr>
          <w:p w:rsidR="00C21FA1" w:rsidRDefault="008A4B29">
            <w:pPr>
              <w:jc w:val="center"/>
            </w:pPr>
            <w:r>
              <w:rPr>
                <w:rFonts w:eastAsiaTheme="minorEastAsia"/>
                <w:kern w:val="0"/>
                <w:szCs w:val="21"/>
              </w:rPr>
              <w:t>纽威股份</w:t>
            </w:r>
          </w:p>
        </w:tc>
        <w:tc>
          <w:tcPr>
            <w:tcW w:w="1276" w:type="dxa"/>
            <w:vAlign w:val="center"/>
          </w:tcPr>
          <w:p w:rsidR="00C21FA1" w:rsidRDefault="008A4B29">
            <w:pPr>
              <w:jc w:val="right"/>
            </w:pPr>
            <w:r>
              <w:rPr>
                <w:rFonts w:eastAsiaTheme="minorEastAsia"/>
                <w:kern w:val="0"/>
                <w:szCs w:val="21"/>
              </w:rPr>
              <w:t>301,400</w:t>
            </w:r>
          </w:p>
        </w:tc>
        <w:tc>
          <w:tcPr>
            <w:tcW w:w="1842" w:type="dxa"/>
            <w:vAlign w:val="center"/>
          </w:tcPr>
          <w:p w:rsidR="00C21FA1" w:rsidRDefault="008A4B29">
            <w:pPr>
              <w:jc w:val="right"/>
            </w:pPr>
            <w:r>
              <w:rPr>
                <w:rFonts w:eastAsiaTheme="minorEastAsia"/>
                <w:kern w:val="0"/>
                <w:szCs w:val="21"/>
              </w:rPr>
              <w:t>4,608,406.00</w:t>
            </w:r>
          </w:p>
        </w:tc>
        <w:tc>
          <w:tcPr>
            <w:tcW w:w="1616" w:type="dxa"/>
            <w:vAlign w:val="center"/>
          </w:tcPr>
          <w:p w:rsidR="00C21FA1" w:rsidRDefault="008A4B29">
            <w:pPr>
              <w:jc w:val="right"/>
            </w:pPr>
            <w:r>
              <w:rPr>
                <w:rFonts w:eastAsiaTheme="minorEastAsia"/>
                <w:kern w:val="0"/>
                <w:szCs w:val="21"/>
              </w:rPr>
              <w:t>1.84</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15,277,277.07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81,077,594.53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32.39</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60,815,415.30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24.29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96,354,871.60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21FA1">
        <w:tc>
          <w:tcPr>
            <w:tcW w:w="1504" w:type="dxa"/>
            <w:vAlign w:val="center"/>
          </w:tcPr>
          <w:p w:rsidR="00C21FA1" w:rsidRDefault="008A4B29">
            <w:pPr>
              <w:jc w:val="center"/>
            </w:pPr>
            <w:r>
              <w:rPr>
                <w:rFonts w:eastAsiaTheme="minorEastAsia"/>
                <w:color w:val="000000" w:themeColor="text1"/>
                <w:szCs w:val="21"/>
              </w:rPr>
              <w:t>1</w:t>
            </w:r>
          </w:p>
        </w:tc>
        <w:tc>
          <w:tcPr>
            <w:tcW w:w="1504" w:type="dxa"/>
            <w:vAlign w:val="center"/>
          </w:tcPr>
          <w:p w:rsidR="00C21FA1" w:rsidRDefault="008A4B29">
            <w:pPr>
              <w:jc w:val="center"/>
            </w:pPr>
            <w:r>
              <w:rPr>
                <w:rFonts w:eastAsiaTheme="minorEastAsia"/>
                <w:color w:val="000000" w:themeColor="text1"/>
                <w:szCs w:val="21"/>
              </w:rPr>
              <w:t>230405</w:t>
            </w:r>
          </w:p>
        </w:tc>
        <w:tc>
          <w:tcPr>
            <w:tcW w:w="1504" w:type="dxa"/>
            <w:vAlign w:val="center"/>
          </w:tcPr>
          <w:p w:rsidR="00C21FA1" w:rsidRDefault="008A4B29">
            <w:pPr>
              <w:jc w:val="center"/>
            </w:pPr>
            <w:r>
              <w:rPr>
                <w:rFonts w:eastAsiaTheme="minorEastAsia"/>
                <w:color w:val="000000" w:themeColor="text1"/>
                <w:szCs w:val="21"/>
              </w:rPr>
              <w:t>23</w:t>
            </w:r>
            <w:r>
              <w:rPr>
                <w:rFonts w:eastAsiaTheme="minorEastAsia"/>
                <w:color w:val="000000" w:themeColor="text1"/>
                <w:szCs w:val="21"/>
              </w:rPr>
              <w:t>农发</w:t>
            </w:r>
            <w:r>
              <w:rPr>
                <w:rFonts w:eastAsiaTheme="minorEastAsia"/>
                <w:color w:val="000000" w:themeColor="text1"/>
                <w:szCs w:val="21"/>
              </w:rPr>
              <w:t>05</w:t>
            </w:r>
          </w:p>
        </w:tc>
        <w:tc>
          <w:tcPr>
            <w:tcW w:w="1503" w:type="dxa"/>
            <w:vAlign w:val="center"/>
          </w:tcPr>
          <w:p w:rsidR="00C21FA1" w:rsidRDefault="008A4B29">
            <w:pPr>
              <w:jc w:val="right"/>
            </w:pPr>
            <w:r>
              <w:rPr>
                <w:rFonts w:eastAsiaTheme="minorEastAsia"/>
                <w:color w:val="000000" w:themeColor="text1"/>
                <w:szCs w:val="21"/>
              </w:rPr>
              <w:t>300,000</w:t>
            </w:r>
          </w:p>
        </w:tc>
        <w:tc>
          <w:tcPr>
            <w:tcW w:w="1503" w:type="dxa"/>
            <w:vAlign w:val="center"/>
          </w:tcPr>
          <w:p w:rsidR="00C21FA1" w:rsidRDefault="008A4B29">
            <w:pPr>
              <w:jc w:val="right"/>
            </w:pPr>
            <w:r>
              <w:rPr>
                <w:rFonts w:eastAsiaTheme="minorEastAsia"/>
                <w:color w:val="000000" w:themeColor="text1"/>
                <w:szCs w:val="21"/>
              </w:rPr>
              <w:t>30,367,893.44</w:t>
            </w:r>
          </w:p>
        </w:tc>
        <w:tc>
          <w:tcPr>
            <w:tcW w:w="1503" w:type="dxa"/>
            <w:vAlign w:val="center"/>
          </w:tcPr>
          <w:p w:rsidR="00C21FA1" w:rsidRDefault="008A4B29">
            <w:pPr>
              <w:jc w:val="right"/>
            </w:pPr>
            <w:r>
              <w:rPr>
                <w:rFonts w:eastAsiaTheme="minorEastAsia"/>
                <w:color w:val="000000" w:themeColor="text1"/>
                <w:szCs w:val="21"/>
              </w:rPr>
              <w:t>12.13</w:t>
            </w:r>
          </w:p>
        </w:tc>
      </w:tr>
      <w:tr w:rsidR="00C21FA1">
        <w:tc>
          <w:tcPr>
            <w:tcW w:w="1504" w:type="dxa"/>
            <w:vAlign w:val="center"/>
          </w:tcPr>
          <w:p w:rsidR="00C21FA1" w:rsidRDefault="008A4B29">
            <w:pPr>
              <w:jc w:val="center"/>
            </w:pPr>
            <w:r>
              <w:rPr>
                <w:rFonts w:eastAsiaTheme="minorEastAsia"/>
                <w:color w:val="000000" w:themeColor="text1"/>
                <w:szCs w:val="21"/>
              </w:rPr>
              <w:t>2</w:t>
            </w:r>
          </w:p>
        </w:tc>
        <w:tc>
          <w:tcPr>
            <w:tcW w:w="1504" w:type="dxa"/>
            <w:vAlign w:val="center"/>
          </w:tcPr>
          <w:p w:rsidR="00C21FA1" w:rsidRDefault="008A4B29">
            <w:pPr>
              <w:jc w:val="center"/>
            </w:pPr>
            <w:r>
              <w:rPr>
                <w:rFonts w:eastAsiaTheme="minorEastAsia"/>
                <w:color w:val="000000" w:themeColor="text1"/>
                <w:szCs w:val="21"/>
              </w:rPr>
              <w:t>210207</w:t>
            </w:r>
          </w:p>
        </w:tc>
        <w:tc>
          <w:tcPr>
            <w:tcW w:w="1504" w:type="dxa"/>
            <w:vAlign w:val="center"/>
          </w:tcPr>
          <w:p w:rsidR="00C21FA1" w:rsidRDefault="008A4B29">
            <w:pPr>
              <w:jc w:val="center"/>
            </w:pPr>
            <w:r>
              <w:rPr>
                <w:rFonts w:eastAsiaTheme="minorEastAsia"/>
                <w:color w:val="000000" w:themeColor="text1"/>
                <w:szCs w:val="21"/>
              </w:rPr>
              <w:t>21</w:t>
            </w:r>
            <w:r>
              <w:rPr>
                <w:rFonts w:eastAsiaTheme="minorEastAsia"/>
                <w:color w:val="000000" w:themeColor="text1"/>
                <w:szCs w:val="21"/>
              </w:rPr>
              <w:t>国开</w:t>
            </w:r>
            <w:r>
              <w:rPr>
                <w:rFonts w:eastAsiaTheme="minorEastAsia"/>
                <w:color w:val="000000" w:themeColor="text1"/>
                <w:szCs w:val="21"/>
              </w:rPr>
              <w:t>07</w:t>
            </w:r>
          </w:p>
        </w:tc>
        <w:tc>
          <w:tcPr>
            <w:tcW w:w="1503" w:type="dxa"/>
            <w:vAlign w:val="center"/>
          </w:tcPr>
          <w:p w:rsidR="00C21FA1" w:rsidRDefault="008A4B29">
            <w:pPr>
              <w:jc w:val="right"/>
            </w:pPr>
            <w:r>
              <w:rPr>
                <w:rFonts w:eastAsiaTheme="minorEastAsia"/>
                <w:color w:val="000000" w:themeColor="text1"/>
                <w:szCs w:val="21"/>
              </w:rPr>
              <w:t>200,000</w:t>
            </w:r>
          </w:p>
        </w:tc>
        <w:tc>
          <w:tcPr>
            <w:tcW w:w="1503" w:type="dxa"/>
            <w:vAlign w:val="center"/>
          </w:tcPr>
          <w:p w:rsidR="00C21FA1" w:rsidRDefault="008A4B29">
            <w:pPr>
              <w:jc w:val="right"/>
            </w:pPr>
            <w:r>
              <w:rPr>
                <w:rFonts w:eastAsiaTheme="minorEastAsia"/>
                <w:color w:val="000000" w:themeColor="text1"/>
                <w:szCs w:val="21"/>
              </w:rPr>
              <w:t>20,279,770.49</w:t>
            </w:r>
          </w:p>
        </w:tc>
        <w:tc>
          <w:tcPr>
            <w:tcW w:w="1503" w:type="dxa"/>
            <w:vAlign w:val="center"/>
          </w:tcPr>
          <w:p w:rsidR="00C21FA1" w:rsidRDefault="008A4B29">
            <w:pPr>
              <w:jc w:val="right"/>
            </w:pPr>
            <w:r>
              <w:rPr>
                <w:rFonts w:eastAsiaTheme="minorEastAsia"/>
                <w:color w:val="000000" w:themeColor="text1"/>
                <w:szCs w:val="21"/>
              </w:rPr>
              <w:t>8.10</w:t>
            </w:r>
          </w:p>
        </w:tc>
      </w:tr>
      <w:tr w:rsidR="00C21FA1">
        <w:tc>
          <w:tcPr>
            <w:tcW w:w="1504" w:type="dxa"/>
            <w:vAlign w:val="center"/>
          </w:tcPr>
          <w:p w:rsidR="00C21FA1" w:rsidRDefault="008A4B29">
            <w:pPr>
              <w:jc w:val="center"/>
            </w:pPr>
            <w:r>
              <w:rPr>
                <w:rFonts w:eastAsiaTheme="minorEastAsia"/>
                <w:color w:val="000000" w:themeColor="text1"/>
                <w:szCs w:val="21"/>
              </w:rPr>
              <w:t>3</w:t>
            </w:r>
          </w:p>
        </w:tc>
        <w:tc>
          <w:tcPr>
            <w:tcW w:w="1504" w:type="dxa"/>
            <w:vAlign w:val="center"/>
          </w:tcPr>
          <w:p w:rsidR="00C21FA1" w:rsidRDefault="008A4B29">
            <w:pPr>
              <w:jc w:val="center"/>
            </w:pPr>
            <w:r>
              <w:rPr>
                <w:rFonts w:eastAsiaTheme="minorEastAsia"/>
                <w:color w:val="000000" w:themeColor="text1"/>
                <w:szCs w:val="21"/>
              </w:rPr>
              <w:t>1928028</w:t>
            </w:r>
          </w:p>
        </w:tc>
        <w:tc>
          <w:tcPr>
            <w:tcW w:w="1504" w:type="dxa"/>
            <w:vAlign w:val="center"/>
          </w:tcPr>
          <w:p w:rsidR="00C21FA1" w:rsidRDefault="008A4B29">
            <w:pPr>
              <w:jc w:val="center"/>
            </w:pPr>
            <w:r>
              <w:rPr>
                <w:rFonts w:eastAsiaTheme="minorEastAsia"/>
                <w:color w:val="000000" w:themeColor="text1"/>
                <w:szCs w:val="21"/>
              </w:rPr>
              <w:t>19</w:t>
            </w:r>
            <w:r>
              <w:rPr>
                <w:rFonts w:eastAsiaTheme="minorEastAsia"/>
                <w:color w:val="000000" w:themeColor="text1"/>
                <w:szCs w:val="21"/>
              </w:rPr>
              <w:t>中国银行二级</w:t>
            </w:r>
            <w:r>
              <w:rPr>
                <w:rFonts w:eastAsiaTheme="minorEastAsia"/>
                <w:color w:val="000000" w:themeColor="text1"/>
                <w:szCs w:val="21"/>
              </w:rPr>
              <w:t>01</w:t>
            </w:r>
          </w:p>
        </w:tc>
        <w:tc>
          <w:tcPr>
            <w:tcW w:w="1503" w:type="dxa"/>
            <w:vAlign w:val="center"/>
          </w:tcPr>
          <w:p w:rsidR="00C21FA1" w:rsidRDefault="008A4B29">
            <w:pPr>
              <w:jc w:val="right"/>
            </w:pPr>
            <w:r>
              <w:rPr>
                <w:rFonts w:eastAsiaTheme="minorEastAsia"/>
                <w:color w:val="000000" w:themeColor="text1"/>
                <w:szCs w:val="21"/>
              </w:rPr>
              <w:t>200,000</w:t>
            </w:r>
          </w:p>
        </w:tc>
        <w:tc>
          <w:tcPr>
            <w:tcW w:w="1503" w:type="dxa"/>
            <w:vAlign w:val="center"/>
          </w:tcPr>
          <w:p w:rsidR="00C21FA1" w:rsidRDefault="008A4B29">
            <w:pPr>
              <w:jc w:val="right"/>
            </w:pPr>
            <w:r>
              <w:rPr>
                <w:rFonts w:eastAsiaTheme="minorEastAsia"/>
                <w:color w:val="000000" w:themeColor="text1"/>
                <w:szCs w:val="21"/>
              </w:rPr>
              <w:t>20,262,179.23</w:t>
            </w:r>
          </w:p>
        </w:tc>
        <w:tc>
          <w:tcPr>
            <w:tcW w:w="1503" w:type="dxa"/>
            <w:vAlign w:val="center"/>
          </w:tcPr>
          <w:p w:rsidR="00C21FA1" w:rsidRDefault="008A4B29">
            <w:pPr>
              <w:jc w:val="right"/>
            </w:pPr>
            <w:r>
              <w:rPr>
                <w:rFonts w:eastAsiaTheme="minorEastAsia"/>
                <w:color w:val="000000" w:themeColor="text1"/>
                <w:szCs w:val="21"/>
              </w:rPr>
              <w:t>8.09</w:t>
            </w:r>
          </w:p>
        </w:tc>
      </w:tr>
      <w:tr w:rsidR="00C21FA1">
        <w:tc>
          <w:tcPr>
            <w:tcW w:w="1504" w:type="dxa"/>
            <w:vAlign w:val="center"/>
          </w:tcPr>
          <w:p w:rsidR="00C21FA1" w:rsidRDefault="008A4B29">
            <w:pPr>
              <w:jc w:val="center"/>
            </w:pPr>
            <w:r>
              <w:rPr>
                <w:rFonts w:eastAsiaTheme="minorEastAsia"/>
                <w:color w:val="000000" w:themeColor="text1"/>
                <w:szCs w:val="21"/>
              </w:rPr>
              <w:t>4</w:t>
            </w:r>
          </w:p>
        </w:tc>
        <w:tc>
          <w:tcPr>
            <w:tcW w:w="1504" w:type="dxa"/>
            <w:vAlign w:val="center"/>
          </w:tcPr>
          <w:p w:rsidR="00C21FA1" w:rsidRDefault="008A4B29">
            <w:pPr>
              <w:jc w:val="center"/>
            </w:pPr>
            <w:r>
              <w:rPr>
                <w:rFonts w:eastAsiaTheme="minorEastAsia"/>
                <w:color w:val="000000" w:themeColor="text1"/>
                <w:szCs w:val="21"/>
              </w:rPr>
              <w:t>230004</w:t>
            </w:r>
          </w:p>
        </w:tc>
        <w:tc>
          <w:tcPr>
            <w:tcW w:w="1504" w:type="dxa"/>
            <w:vAlign w:val="center"/>
          </w:tcPr>
          <w:p w:rsidR="00C21FA1" w:rsidRDefault="008A4B29">
            <w:pPr>
              <w:jc w:val="center"/>
            </w:pPr>
            <w:r>
              <w:rPr>
                <w:rFonts w:eastAsiaTheme="minorEastAsia"/>
                <w:color w:val="000000" w:themeColor="text1"/>
                <w:szCs w:val="21"/>
              </w:rPr>
              <w:t>23</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C21FA1" w:rsidRDefault="008A4B29">
            <w:pPr>
              <w:jc w:val="right"/>
            </w:pPr>
            <w:r>
              <w:rPr>
                <w:rFonts w:eastAsiaTheme="minorEastAsia"/>
                <w:color w:val="000000" w:themeColor="text1"/>
                <w:szCs w:val="21"/>
              </w:rPr>
              <w:t>100,000</w:t>
            </w:r>
          </w:p>
        </w:tc>
        <w:tc>
          <w:tcPr>
            <w:tcW w:w="1503" w:type="dxa"/>
            <w:vAlign w:val="center"/>
          </w:tcPr>
          <w:p w:rsidR="00C21FA1" w:rsidRDefault="008A4B29">
            <w:pPr>
              <w:jc w:val="right"/>
            </w:pPr>
            <w:r>
              <w:rPr>
                <w:rFonts w:eastAsiaTheme="minorEastAsia"/>
                <w:color w:val="000000" w:themeColor="text1"/>
                <w:szCs w:val="21"/>
              </w:rPr>
              <w:t>10,167,956.52</w:t>
            </w:r>
          </w:p>
        </w:tc>
        <w:tc>
          <w:tcPr>
            <w:tcW w:w="1503" w:type="dxa"/>
            <w:vAlign w:val="center"/>
          </w:tcPr>
          <w:p w:rsidR="00C21FA1" w:rsidRDefault="008A4B29">
            <w:pPr>
              <w:jc w:val="right"/>
            </w:pPr>
            <w:r>
              <w:rPr>
                <w:rFonts w:eastAsiaTheme="minorEastAsia"/>
                <w:color w:val="000000" w:themeColor="text1"/>
                <w:szCs w:val="21"/>
              </w:rPr>
              <w:t>4.06</w:t>
            </w:r>
          </w:p>
        </w:tc>
      </w:tr>
      <w:tr w:rsidR="00C21FA1">
        <w:tc>
          <w:tcPr>
            <w:tcW w:w="1504" w:type="dxa"/>
            <w:vAlign w:val="center"/>
          </w:tcPr>
          <w:p w:rsidR="00C21FA1" w:rsidRDefault="008A4B29">
            <w:pPr>
              <w:jc w:val="center"/>
            </w:pPr>
            <w:r>
              <w:rPr>
                <w:rFonts w:eastAsiaTheme="minorEastAsia"/>
                <w:color w:val="000000" w:themeColor="text1"/>
                <w:szCs w:val="21"/>
              </w:rPr>
              <w:t>5</w:t>
            </w:r>
          </w:p>
        </w:tc>
        <w:tc>
          <w:tcPr>
            <w:tcW w:w="1504" w:type="dxa"/>
            <w:vAlign w:val="center"/>
          </w:tcPr>
          <w:p w:rsidR="00C21FA1" w:rsidRDefault="008A4B29">
            <w:pPr>
              <w:jc w:val="center"/>
            </w:pPr>
            <w:r>
              <w:rPr>
                <w:rFonts w:eastAsiaTheme="minorEastAsia"/>
                <w:color w:val="000000" w:themeColor="text1"/>
                <w:szCs w:val="21"/>
              </w:rPr>
              <w:t>200208</w:t>
            </w:r>
          </w:p>
        </w:tc>
        <w:tc>
          <w:tcPr>
            <w:tcW w:w="1504" w:type="dxa"/>
            <w:vAlign w:val="center"/>
          </w:tcPr>
          <w:p w:rsidR="00C21FA1" w:rsidRDefault="008A4B29">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08</w:t>
            </w:r>
          </w:p>
        </w:tc>
        <w:tc>
          <w:tcPr>
            <w:tcW w:w="1503" w:type="dxa"/>
            <w:vAlign w:val="center"/>
          </w:tcPr>
          <w:p w:rsidR="00C21FA1" w:rsidRDefault="008A4B29">
            <w:pPr>
              <w:jc w:val="right"/>
            </w:pPr>
            <w:r>
              <w:rPr>
                <w:rFonts w:eastAsiaTheme="minorEastAsia"/>
                <w:color w:val="000000" w:themeColor="text1"/>
                <w:szCs w:val="21"/>
              </w:rPr>
              <w:t>100,000</w:t>
            </w:r>
          </w:p>
        </w:tc>
        <w:tc>
          <w:tcPr>
            <w:tcW w:w="1503" w:type="dxa"/>
            <w:vAlign w:val="center"/>
          </w:tcPr>
          <w:p w:rsidR="00C21FA1" w:rsidRDefault="008A4B29">
            <w:pPr>
              <w:jc w:val="right"/>
            </w:pPr>
            <w:r>
              <w:rPr>
                <w:rFonts w:eastAsiaTheme="minorEastAsia"/>
                <w:color w:val="000000" w:themeColor="text1"/>
                <w:szCs w:val="21"/>
              </w:rPr>
              <w:t>10,167,751.37</w:t>
            </w:r>
          </w:p>
        </w:tc>
        <w:tc>
          <w:tcPr>
            <w:tcW w:w="1503" w:type="dxa"/>
            <w:vAlign w:val="center"/>
          </w:tcPr>
          <w:p w:rsidR="00C21FA1" w:rsidRDefault="008A4B29">
            <w:pPr>
              <w:jc w:val="right"/>
            </w:pPr>
            <w:r>
              <w:rPr>
                <w:rFonts w:eastAsiaTheme="minorEastAsia"/>
                <w:color w:val="000000" w:themeColor="text1"/>
                <w:szCs w:val="21"/>
              </w:rPr>
              <w:t>4.06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123,584.20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4,306,862.02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11,029.21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4,441,475.43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摩根双核平衡混合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185,563,390.38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167,337.72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1,609,495.88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11,214.76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6,545,612.10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13,584.86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180,627,274.16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164,967.62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、中国证监会核准本基金募集的文件；</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、《摩根双核平衡混合型证券投资基金基金合同》；</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、《摩根基金管理（中国）有限公司开放式基金业务规则》；</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、《摩根双核平衡混合型证券投资基金托管协议》；</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、法律意见书；</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6</w:t>
      </w:r>
      <w:r>
        <w:rPr>
          <w:rFonts w:eastAsiaTheme="minorEastAsia"/>
          <w:color w:val="000000" w:themeColor="text1"/>
          <w:szCs w:val="21"/>
        </w:rPr>
        <w:t>、基金管理人业务资格批件、营业执照；</w:t>
      </w:r>
    </w:p>
    <w:p w:rsidR="00C21FA1" w:rsidRDefault="008A4B29">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8</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二〇二三年十月二十五日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A4B2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A4B29">
      <w:rPr>
        <w:noProof/>
        <w:kern w:val="0"/>
        <w:szCs w:val="21"/>
      </w:rPr>
      <w:t>17</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A4B29">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摩根双核平衡混合型证券投资基金</w:t>
    </w:r>
    <w:r>
      <w:t>2023</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4B29"/>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1FA1"/>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493FC-FB5E-4255-BA30-D1BDD1D5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17</Pages>
  <Words>1489</Words>
  <Characters>8491</Characters>
  <Application>Microsoft Office Word</Application>
  <DocSecurity>0</DocSecurity>
  <Lines>70</Lines>
  <Paragraphs>19</Paragraphs>
  <ScaleCrop>false</ScaleCrop>
  <Company>TRT. Ltd. Co.</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220</cp:revision>
  <cp:lastPrinted>2007-07-19T00:46:00Z</cp:lastPrinted>
  <dcterms:created xsi:type="dcterms:W3CDTF">2013-06-21T06:56:00Z</dcterms:created>
  <dcterms:modified xsi:type="dcterms:W3CDTF">2023-10-24T07:34:00Z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