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3398F" w:rsidRDefault="00397616" w:rsidP="00397616">
      <w:pPr>
        <w:autoSpaceDE w:val="0"/>
        <w:autoSpaceDN w:val="0"/>
        <w:adjustRightInd w:val="0"/>
        <w:spacing w:line="360" w:lineRule="auto"/>
        <w:jc w:val="left"/>
        <w:rPr>
          <w:rFonts w:eastAsiaTheme="minorEastAsia" w:hint="eastAsia"/>
          <w:color w:val="000000" w:themeColor="text1"/>
          <w:kern w:val="0"/>
          <w:sz w:val="24"/>
        </w:rPr>
      </w:pPr>
      <w:bookmarkStart w:id="0" w:name="_GoBack"/>
      <w:bookmarkEnd w:id="0"/>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摩根欧洲动力策略股票型证券投资基金</w:t>
      </w:r>
      <w:r w:rsidRPr="00A3398F">
        <w:rPr>
          <w:rFonts w:eastAsiaTheme="minorEastAsia"/>
          <w:b/>
          <w:color w:val="000000" w:themeColor="text1"/>
          <w:sz w:val="36"/>
          <w:szCs w:val="36"/>
        </w:rPr>
        <w:t>(QDII)</w:t>
      </w: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2024</w:t>
      </w:r>
      <w:r w:rsidRPr="00A3398F">
        <w:rPr>
          <w:rFonts w:eastAsiaTheme="minorEastAsia"/>
          <w:b/>
          <w:color w:val="000000" w:themeColor="text1"/>
          <w:sz w:val="36"/>
          <w:szCs w:val="36"/>
        </w:rPr>
        <w:t>年第</w:t>
      </w:r>
      <w:r w:rsidRPr="00A3398F">
        <w:rPr>
          <w:rFonts w:eastAsiaTheme="minorEastAsia"/>
          <w:b/>
          <w:color w:val="000000" w:themeColor="text1"/>
          <w:sz w:val="36"/>
          <w:szCs w:val="36"/>
        </w:rPr>
        <w:t>1</w:t>
      </w:r>
      <w:r w:rsidRPr="00A3398F">
        <w:rPr>
          <w:rFonts w:eastAsiaTheme="minorEastAsia"/>
          <w:b/>
          <w:color w:val="000000" w:themeColor="text1"/>
          <w:sz w:val="36"/>
          <w:szCs w:val="36"/>
        </w:rPr>
        <w:t>季度报告</w:t>
      </w:r>
    </w:p>
    <w:p w:rsidR="00397616" w:rsidRPr="00A3398F" w:rsidRDefault="00623556" w:rsidP="00506D57">
      <w:pPr>
        <w:spacing w:line="360" w:lineRule="auto"/>
        <w:jc w:val="center"/>
        <w:rPr>
          <w:rFonts w:eastAsiaTheme="minorEastAsia"/>
          <w:b/>
          <w:color w:val="000000" w:themeColor="text1"/>
          <w:sz w:val="24"/>
        </w:rPr>
      </w:pPr>
      <w:r w:rsidRPr="00A3398F">
        <w:rPr>
          <w:rFonts w:eastAsiaTheme="minorEastAsia"/>
          <w:b/>
          <w:color w:val="000000" w:themeColor="text1"/>
          <w:sz w:val="24"/>
        </w:rPr>
        <w:t>2024</w:t>
      </w:r>
      <w:r w:rsidRPr="00A3398F">
        <w:rPr>
          <w:rFonts w:eastAsiaTheme="minorEastAsia"/>
          <w:b/>
          <w:color w:val="000000" w:themeColor="text1"/>
          <w:sz w:val="24"/>
        </w:rPr>
        <w:t>年</w:t>
      </w:r>
      <w:r w:rsidRPr="00A3398F">
        <w:rPr>
          <w:rFonts w:eastAsiaTheme="minorEastAsia"/>
          <w:b/>
          <w:color w:val="000000" w:themeColor="text1"/>
          <w:sz w:val="24"/>
        </w:rPr>
        <w:t>3</w:t>
      </w:r>
      <w:r w:rsidRPr="00A3398F">
        <w:rPr>
          <w:rFonts w:eastAsiaTheme="minorEastAsia"/>
          <w:b/>
          <w:color w:val="000000" w:themeColor="text1"/>
          <w:sz w:val="24"/>
        </w:rPr>
        <w:t>月</w:t>
      </w:r>
      <w:r w:rsidRPr="00A3398F">
        <w:rPr>
          <w:rFonts w:eastAsiaTheme="minorEastAsia"/>
          <w:b/>
          <w:color w:val="000000" w:themeColor="text1"/>
          <w:sz w:val="24"/>
        </w:rPr>
        <w:t>31</w:t>
      </w:r>
      <w:r w:rsidRPr="00A3398F">
        <w:rPr>
          <w:rFonts w:eastAsiaTheme="minorEastAsia"/>
          <w:b/>
          <w:color w:val="000000" w:themeColor="text1"/>
          <w:sz w:val="24"/>
        </w:rPr>
        <w:t>日</w:t>
      </w: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826B12">
      <w:pPr>
        <w:spacing w:line="288" w:lineRule="auto"/>
        <w:ind w:firstLineChars="900" w:firstLine="2168"/>
        <w:rPr>
          <w:rFonts w:eastAsiaTheme="minorEastAsia"/>
          <w:b/>
          <w:color w:val="000000" w:themeColor="text1"/>
          <w:sz w:val="24"/>
        </w:rPr>
      </w:pP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基金管理人：摩根基金管理（中国）有限公司</w:t>
      </w: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基金托管人：招商银行股份有限公司</w:t>
      </w:r>
    </w:p>
    <w:p w:rsidR="007D1292" w:rsidRPr="00A3398F" w:rsidRDefault="007D1292" w:rsidP="00506D57">
      <w:pPr>
        <w:spacing w:line="360" w:lineRule="auto"/>
        <w:ind w:firstLineChars="900" w:firstLine="2168"/>
        <w:rPr>
          <w:rFonts w:eastAsiaTheme="minorEastAsia"/>
          <w:b/>
          <w:color w:val="000000" w:themeColor="text1"/>
          <w:sz w:val="24"/>
        </w:rPr>
        <w:sectPr w:rsidR="007D1292" w:rsidRPr="00A3398F" w:rsidSect="00B918B8">
          <w:headerReference w:type="default" r:id="rId7"/>
          <w:footerReference w:type="default" r:id="rId8"/>
          <w:pgSz w:w="11926" w:h="15840"/>
          <w:pgMar w:top="1418" w:right="1418" w:bottom="851" w:left="1418" w:header="851" w:footer="992" w:gutter="0"/>
          <w:cols w:space="720"/>
          <w:noEndnote/>
        </w:sectPr>
      </w:pPr>
      <w:r w:rsidRPr="00A3398F">
        <w:rPr>
          <w:rFonts w:eastAsiaTheme="minorEastAsia"/>
          <w:b/>
          <w:color w:val="000000" w:themeColor="text1"/>
          <w:sz w:val="24"/>
        </w:rPr>
        <w:t>报告送出日期：</w:t>
      </w:r>
      <w:r w:rsidR="00CB44DE" w:rsidRPr="00A3398F">
        <w:rPr>
          <w:rFonts w:eastAsiaTheme="minorEastAsia"/>
          <w:b/>
          <w:color w:val="000000" w:themeColor="text1"/>
          <w:sz w:val="24"/>
        </w:rPr>
        <w:t>二〇二四年四月二十二日</w:t>
      </w:r>
    </w:p>
    <w:p w:rsidR="0076518F" w:rsidRPr="00A3398F" w:rsidRDefault="0076518F" w:rsidP="009E705F">
      <w:pPr>
        <w:pStyle w:val="1"/>
        <w:spacing w:beforeLines="100" w:before="312" w:afterLines="100" w:after="312" w:line="360" w:lineRule="auto"/>
        <w:jc w:val="center"/>
        <w:rPr>
          <w:rFonts w:eastAsiaTheme="minorEastAsia"/>
          <w:b w:val="0"/>
          <w:color w:val="000000" w:themeColor="text1"/>
          <w:kern w:val="0"/>
          <w:sz w:val="24"/>
          <w:szCs w:val="24"/>
        </w:rPr>
      </w:pPr>
      <w:r w:rsidRPr="00A3398F">
        <w:rPr>
          <w:rFonts w:eastAsiaTheme="minorEastAsia"/>
          <w:color w:val="000000" w:themeColor="text1"/>
          <w:kern w:val="0"/>
          <w:sz w:val="24"/>
          <w:szCs w:val="24"/>
        </w:rPr>
        <w:lastRenderedPageBreak/>
        <w:t xml:space="preserve">§1  </w:t>
      </w:r>
      <w:r w:rsidRPr="00A3398F">
        <w:rPr>
          <w:rFonts w:eastAsiaTheme="minorEastAsia"/>
          <w:color w:val="000000" w:themeColor="text1"/>
          <w:kern w:val="0"/>
          <w:sz w:val="24"/>
          <w:szCs w:val="24"/>
        </w:rPr>
        <w:t>重要提示</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3398F" w:rsidRDefault="007D1292" w:rsidP="006669C9">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本报告期自</w:t>
      </w: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1</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日起至</w:t>
      </w:r>
      <w:r w:rsidRPr="00A3398F">
        <w:rPr>
          <w:rFonts w:eastAsiaTheme="minorEastAsia"/>
          <w:color w:val="000000" w:themeColor="text1"/>
          <w:szCs w:val="21"/>
        </w:rPr>
        <w:t>3</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日止。</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§2  </w:t>
      </w:r>
      <w:r w:rsidRPr="00A3398F">
        <w:rPr>
          <w:rFonts w:eastAsiaTheme="minorEastAsia"/>
          <w:color w:val="000000" w:themeColor="text1"/>
          <w:kern w:val="0"/>
          <w:sz w:val="24"/>
          <w:szCs w:val="24"/>
        </w:rPr>
        <w:t>基金产品概况</w:t>
      </w:r>
    </w:p>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780"/>
        <w:gridCol w:w="2663"/>
      </w:tblGrid>
      <w:tr w:rsidR="008277FF" w:rsidRPr="00A3398F" w:rsidTr="003376D5">
        <w:tc>
          <w:tcPr>
            <w:tcW w:w="2980" w:type="dxa"/>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基金简称</w:t>
            </w:r>
          </w:p>
        </w:tc>
        <w:tc>
          <w:tcPr>
            <w:tcW w:w="5443" w:type="dxa"/>
            <w:gridSpan w:val="2"/>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摩根欧洲动力策略股票</w:t>
            </w:r>
            <w:r w:rsidRPr="00A3398F">
              <w:rPr>
                <w:rFonts w:eastAsiaTheme="minorEastAsia"/>
                <w:color w:val="000000" w:themeColor="text1"/>
                <w:kern w:val="0"/>
                <w:szCs w:val="21"/>
              </w:rPr>
              <w:t>(QDII)</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基金主代码</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006282</w:t>
            </w:r>
          </w:p>
        </w:tc>
      </w:tr>
      <w:tr w:rsidR="008277FF" w:rsidRPr="00A3398F" w:rsidTr="003376D5">
        <w:tc>
          <w:tcPr>
            <w:tcW w:w="2980" w:type="dxa"/>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交易代码</w:t>
            </w:r>
          </w:p>
        </w:tc>
        <w:tc>
          <w:tcPr>
            <w:tcW w:w="5443" w:type="dxa"/>
            <w:gridSpan w:val="2"/>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006282</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基金运作方式</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契约型开放式</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基金合同生效日</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2018</w:t>
            </w:r>
            <w:r w:rsidRPr="00A3398F">
              <w:rPr>
                <w:rFonts w:eastAsiaTheme="minorEastAsia"/>
                <w:color w:val="000000" w:themeColor="text1"/>
                <w:kern w:val="0"/>
                <w:szCs w:val="21"/>
              </w:rPr>
              <w:t>年</w:t>
            </w:r>
            <w:r w:rsidRPr="00A3398F">
              <w:rPr>
                <w:rFonts w:eastAsiaTheme="minorEastAsia"/>
                <w:color w:val="000000" w:themeColor="text1"/>
                <w:kern w:val="0"/>
                <w:szCs w:val="21"/>
              </w:rPr>
              <w:t>10</w:t>
            </w:r>
            <w:r w:rsidRPr="00A3398F">
              <w:rPr>
                <w:rFonts w:eastAsiaTheme="minorEastAsia"/>
                <w:color w:val="000000" w:themeColor="text1"/>
                <w:kern w:val="0"/>
                <w:szCs w:val="21"/>
              </w:rPr>
              <w:t>月</w:t>
            </w:r>
            <w:r w:rsidRPr="00A3398F">
              <w:rPr>
                <w:rFonts w:eastAsiaTheme="minorEastAsia"/>
                <w:color w:val="000000" w:themeColor="text1"/>
                <w:kern w:val="0"/>
                <w:szCs w:val="21"/>
              </w:rPr>
              <w:t>31</w:t>
            </w:r>
            <w:r w:rsidRPr="00A3398F">
              <w:rPr>
                <w:rFonts w:eastAsiaTheme="minorEastAsia"/>
                <w:color w:val="000000" w:themeColor="text1"/>
                <w:kern w:val="0"/>
                <w:szCs w:val="21"/>
              </w:rPr>
              <w:t>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报告期末基金份额总额</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90,155,761.76</w:t>
            </w:r>
            <w:r w:rsidRPr="00A3398F">
              <w:rPr>
                <w:rFonts w:eastAsiaTheme="minorEastAsia"/>
                <w:color w:val="000000" w:themeColor="text1"/>
                <w:kern w:val="0"/>
                <w:szCs w:val="21"/>
              </w:rPr>
              <w:t>份</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投资目标</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本基金主要投资于欧洲股票，在严格控制风险的前提下追求超越业绩比较基准的回报。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投资策略</w:t>
            </w:r>
          </w:p>
        </w:tc>
        <w:tc>
          <w:tcPr>
            <w:tcW w:w="5443" w:type="dxa"/>
            <w:gridSpan w:val="2"/>
            <w:vAlign w:val="center"/>
          </w:tcPr>
          <w:p w:rsidR="009B566F" w:rsidRDefault="00190F9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B566F" w:rsidRDefault="00190F9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本基金将根据欧洲资本市场情况、企业竞争优势等进行综合分析、评估，精选优秀的欧洲企业进行跨市场配置以构建股票投资组合。</w:t>
            </w:r>
          </w:p>
          <w:p w:rsidR="009B566F" w:rsidRDefault="00190F9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、本基金的股票投资策略如下：</w:t>
            </w:r>
          </w:p>
          <w:p w:rsidR="009B566F" w:rsidRDefault="00190F9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w:t>
            </w:r>
            <w:r>
              <w:rPr>
                <w:rFonts w:eastAsiaTheme="minorEastAsia"/>
                <w:color w:val="000000" w:themeColor="text1"/>
                <w:kern w:val="0"/>
                <w:szCs w:val="21"/>
              </w:rPr>
              <w:t>1</w:t>
            </w:r>
            <w:r>
              <w:rPr>
                <w:rFonts w:eastAsiaTheme="minorEastAsia"/>
                <w:color w:val="000000" w:themeColor="text1"/>
                <w:kern w:val="0"/>
                <w:szCs w:val="21"/>
              </w:rPr>
              <w:t>）本基金综合考虑不同欧洲地区不同市场的宏观经济环境、增长和通胀背景、不同市场的估值水平和流动性因素、相关公司所处的发展阶段、盈利前景和竞争环境以及其他影响投资组合回报及风险的重要要素将基金资产在欧洲市场之间进行配置。</w:t>
            </w:r>
          </w:p>
          <w:p w:rsidR="009B566F" w:rsidRDefault="00190F9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个股选择：从估值、股票质量及趋势三个维度在欧洲上市公司股票中进行筛选，估值方面主要考虑基于市盈率、自由现金流收益率和其他相关价值衡量指标，横向对比选取估值相对便宜的股票；股票质量方面主要考虑企业盈利的可持续性、企业资本的运用配置情况及实际盈利能力，选取拥有可持续利润及严谨的资本管理的盈利公司；股票动能方面，通过每日跟踪公司盈利公告、订单及产品计划，选取正处于正面盈利趋势及正面价格趋势双支撑的股票。除前述三个维度外，本基金还将综合分析企业的财务状况、商业模式以及公司管理层三个方面，从中筛选出优秀的上市公司。</w:t>
            </w:r>
          </w:p>
          <w:p w:rsidR="009B566F" w:rsidRDefault="00190F9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）投资组合构建：根据上述精选出的个股，结合各项定量和定性指标挑选出最具上涨潜力的标的自下而上构建投资组合。</w:t>
            </w:r>
          </w:p>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3</w:t>
            </w:r>
            <w:r w:rsidRPr="00A3398F">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lastRenderedPageBreak/>
              <w:t>业绩比较基准</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本基金的业绩比较基准：</w:t>
            </w:r>
            <w:r w:rsidRPr="00A3398F">
              <w:rPr>
                <w:rFonts w:eastAsiaTheme="minorEastAsia"/>
                <w:color w:val="000000" w:themeColor="text1"/>
                <w:kern w:val="0"/>
                <w:szCs w:val="21"/>
              </w:rPr>
              <w:t>90%×MSCI</w:t>
            </w:r>
            <w:r w:rsidRPr="00A3398F">
              <w:rPr>
                <w:rFonts w:eastAsiaTheme="minorEastAsia"/>
                <w:color w:val="000000" w:themeColor="text1"/>
                <w:kern w:val="0"/>
                <w:szCs w:val="21"/>
              </w:rPr>
              <w:t>欧洲净收益指数（</w:t>
            </w:r>
            <w:r w:rsidRPr="00A3398F">
              <w:rPr>
                <w:rFonts w:eastAsiaTheme="minorEastAsia"/>
                <w:color w:val="000000" w:themeColor="text1"/>
                <w:kern w:val="0"/>
                <w:szCs w:val="21"/>
              </w:rPr>
              <w:t>MSCI Europe Index (Total Return Net)</w:t>
            </w:r>
            <w:r w:rsidRPr="00A3398F">
              <w:rPr>
                <w:rFonts w:eastAsiaTheme="minorEastAsia"/>
                <w:color w:val="000000" w:themeColor="text1"/>
                <w:kern w:val="0"/>
                <w:szCs w:val="21"/>
              </w:rPr>
              <w:t>）收益率</w:t>
            </w:r>
            <w:r w:rsidRPr="00A3398F">
              <w:rPr>
                <w:rFonts w:eastAsiaTheme="minorEastAsia"/>
                <w:color w:val="000000" w:themeColor="text1"/>
                <w:kern w:val="0"/>
                <w:szCs w:val="21"/>
              </w:rPr>
              <w:t>+ 10%×</w:t>
            </w:r>
            <w:r w:rsidRPr="00A3398F">
              <w:rPr>
                <w:rFonts w:eastAsiaTheme="minorEastAsia"/>
                <w:color w:val="000000" w:themeColor="text1"/>
                <w:kern w:val="0"/>
                <w:szCs w:val="21"/>
              </w:rPr>
              <w:t>税后银行活期存款收益率</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风险收益特征</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本基金属于股票型基金产品，预期风险和收益水平高于混合型基金、债券型基金和货币市场基金。</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基金管理人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摩根基金管理（中国）有限公司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基金托管人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招商银行股份有限公司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lastRenderedPageBreak/>
              <w:t>境外投资顾问英文名称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JPMorgan Asset Management(UK) Limited</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境外投资顾问中文名称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摩根资产管理（英国）有限公司</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The Hong Kong and Shanghai Banking Corporation Limited</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香港上海汇丰银行有限公司</w:t>
            </w:r>
          </w:p>
        </w:tc>
      </w:tr>
      <w:tr w:rsidR="00070DD6" w:rsidRPr="00A3398F" w:rsidTr="00845292">
        <w:tblPrEx>
          <w:tblLook w:val="0000" w:firstRow="0" w:lastRow="0" w:firstColumn="0" w:lastColumn="0" w:noHBand="0" w:noVBand="0"/>
        </w:tblPrEx>
        <w:trPr>
          <w:trHeight w:val="866"/>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szCs w:val="21"/>
              </w:rPr>
              <w:t>下属分级基金的基金简称</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p>
        </w:tc>
      </w:tr>
      <w:tr w:rsidR="00070DD6" w:rsidRPr="00A3398F" w:rsidTr="00845292">
        <w:tblPrEx>
          <w:tblLook w:val="0000" w:firstRow="0" w:lastRow="0" w:firstColumn="0" w:lastColumn="0" w:noHBand="0" w:noVBand="0"/>
        </w:tblPrEx>
        <w:trPr>
          <w:trHeight w:val="628"/>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szCs w:val="21"/>
              </w:rPr>
            </w:pPr>
            <w:r w:rsidRPr="00A3398F">
              <w:rPr>
                <w:rFonts w:eastAsiaTheme="minorEastAsia"/>
                <w:color w:val="000000" w:themeColor="text1"/>
                <w:szCs w:val="21"/>
              </w:rPr>
              <w:t>下属分级基金的交易代码</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006282</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019450</w:t>
            </w:r>
          </w:p>
        </w:tc>
      </w:tr>
      <w:tr w:rsidR="00322A5E" w:rsidRPr="00A3398F" w:rsidTr="0031104D">
        <w:tblPrEx>
          <w:tblLook w:val="0000" w:firstRow="0" w:lastRow="0" w:firstColumn="0" w:lastColumn="0" w:noHBand="0" w:noVBand="0"/>
        </w:tblPrEx>
        <w:trPr>
          <w:trHeight w:val="555"/>
        </w:trPr>
        <w:tc>
          <w:tcPr>
            <w:tcW w:w="2980" w:type="dxa"/>
            <w:vAlign w:val="center"/>
          </w:tcPr>
          <w:p w:rsidR="00322A5E" w:rsidRPr="00A3398F" w:rsidRDefault="00322A5E" w:rsidP="00845292">
            <w:pPr>
              <w:adjustRightInd w:val="0"/>
              <w:spacing w:before="29" w:line="360" w:lineRule="auto"/>
              <w:ind w:left="17"/>
              <w:rPr>
                <w:rFonts w:eastAsiaTheme="minorEastAsia"/>
                <w:color w:val="000000" w:themeColor="text1"/>
                <w:szCs w:val="21"/>
              </w:rPr>
            </w:pPr>
            <w:r w:rsidRPr="00A3398F">
              <w:rPr>
                <w:rFonts w:eastAsiaTheme="minorEastAsia"/>
                <w:color w:val="000000" w:themeColor="text1"/>
                <w:szCs w:val="21"/>
              </w:rPr>
              <w:t>报告期末下属分级基金的份额总额</w:t>
            </w:r>
          </w:p>
        </w:tc>
        <w:tc>
          <w:tcPr>
            <w:tcW w:w="2780"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69,330,502.42</w:t>
            </w:r>
            <w:r w:rsidRPr="00A3398F">
              <w:rPr>
                <w:rFonts w:eastAsiaTheme="minorEastAsia"/>
                <w:color w:val="000000" w:themeColor="text1"/>
                <w:kern w:val="0"/>
                <w:szCs w:val="21"/>
              </w:rPr>
              <w:t>份</w:t>
            </w:r>
          </w:p>
        </w:tc>
        <w:tc>
          <w:tcPr>
            <w:tcW w:w="2663"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20,825,259.34</w:t>
            </w:r>
            <w:r w:rsidRPr="00A3398F">
              <w:rPr>
                <w:rFonts w:eastAsiaTheme="minorEastAsia"/>
                <w:color w:val="000000" w:themeColor="text1"/>
                <w:kern w:val="0"/>
                <w:szCs w:val="21"/>
              </w:rPr>
              <w:t>份</w:t>
            </w:r>
          </w:p>
        </w:tc>
      </w:tr>
    </w:tbl>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§3  </w:t>
      </w:r>
      <w:r w:rsidRPr="00A3398F">
        <w:rPr>
          <w:rFonts w:eastAsiaTheme="minorEastAsia"/>
          <w:color w:val="000000" w:themeColor="text1"/>
          <w:kern w:val="0"/>
          <w:sz w:val="24"/>
          <w:szCs w:val="24"/>
        </w:rPr>
        <w:t>主要财务指标和基金净值表现</w:t>
      </w:r>
    </w:p>
    <w:p w:rsidR="0076518F" w:rsidRPr="00A3398F" w:rsidRDefault="0076518F" w:rsidP="00506D57">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3.1 </w:t>
      </w:r>
      <w:r w:rsidRPr="00A3398F">
        <w:rPr>
          <w:rFonts w:eastAsiaTheme="minorEastAsia"/>
          <w:b/>
          <w:color w:val="000000" w:themeColor="text1"/>
          <w:kern w:val="0"/>
          <w:sz w:val="24"/>
        </w:rPr>
        <w:t>主要财务指标</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5051" w:rsidRPr="00A3398F" w:rsidTr="00845292">
        <w:tc>
          <w:tcPr>
            <w:tcW w:w="3402" w:type="dxa"/>
            <w:vMerge w:val="restart"/>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主要财务指标</w:t>
            </w:r>
          </w:p>
        </w:tc>
        <w:tc>
          <w:tcPr>
            <w:tcW w:w="4962" w:type="dxa"/>
            <w:gridSpan w:val="2"/>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报告期</w:t>
            </w:r>
          </w:p>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1</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w:t>
            </w: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3</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w:t>
            </w:r>
            <w:r w:rsidRPr="00A3398F">
              <w:rPr>
                <w:rFonts w:eastAsiaTheme="minorEastAsia"/>
                <w:color w:val="000000" w:themeColor="text1"/>
                <w:szCs w:val="21"/>
              </w:rPr>
              <w:t>)</w:t>
            </w:r>
          </w:p>
        </w:tc>
      </w:tr>
      <w:tr w:rsidR="00225051" w:rsidRPr="00A3398F" w:rsidTr="00845292">
        <w:tc>
          <w:tcPr>
            <w:tcW w:w="3402" w:type="dxa"/>
            <w:vMerge/>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1.</w:t>
            </w:r>
            <w:r w:rsidRPr="00A3398F">
              <w:rPr>
                <w:rFonts w:eastAsiaTheme="minorEastAsia"/>
                <w:color w:val="000000" w:themeColor="text1"/>
                <w:kern w:val="0"/>
                <w:szCs w:val="21"/>
              </w:rPr>
              <w:t>本期已实现收益</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932,474.52</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59,835.83</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w:t>
            </w:r>
            <w:r w:rsidRPr="00A3398F">
              <w:rPr>
                <w:rFonts w:eastAsiaTheme="minorEastAsia"/>
                <w:color w:val="000000" w:themeColor="text1"/>
                <w:kern w:val="0"/>
                <w:szCs w:val="21"/>
              </w:rPr>
              <w:t>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4,714,505.13</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797,328.42</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3.</w:t>
            </w:r>
            <w:r w:rsidRPr="00A3398F">
              <w:rPr>
                <w:rFonts w:eastAsiaTheme="minorEastAsia"/>
                <w:color w:val="000000" w:themeColor="text1"/>
                <w:kern w:val="0"/>
                <w:szCs w:val="21"/>
              </w:rPr>
              <w:t>加权平均基金份额本期利润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0.0776</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0.1041</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4.</w:t>
            </w:r>
            <w:r w:rsidRPr="00A3398F">
              <w:rPr>
                <w:rFonts w:eastAsiaTheme="minorEastAsia"/>
                <w:color w:val="000000" w:themeColor="text1"/>
                <w:kern w:val="0"/>
                <w:szCs w:val="21"/>
              </w:rPr>
              <w:t>期末基金资产净值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97,326,394.87</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29,285,588.67</w:t>
            </w:r>
          </w:p>
        </w:tc>
      </w:tr>
      <w:tr w:rsidR="00225051" w:rsidRPr="00A3398F" w:rsidTr="00845292">
        <w:trPr>
          <w:trHeight w:val="158"/>
        </w:trPr>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5.</w:t>
            </w:r>
            <w:r w:rsidRPr="00A3398F">
              <w:rPr>
                <w:rFonts w:eastAsiaTheme="minorEastAsia"/>
                <w:color w:val="000000" w:themeColor="text1"/>
                <w:kern w:val="0"/>
                <w:szCs w:val="21"/>
              </w:rPr>
              <w:t>期末基金份额净值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1.4038</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1.4063</w:t>
            </w:r>
          </w:p>
        </w:tc>
      </w:tr>
    </w:tbl>
    <w:p w:rsidR="009B566F" w:rsidRDefault="00190F9A">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7D1292" w:rsidRPr="00A3398F" w:rsidRDefault="007D1292"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3.2 </w:t>
      </w:r>
      <w:r w:rsidRPr="00A3398F">
        <w:rPr>
          <w:rFonts w:eastAsiaTheme="minorEastAsia"/>
          <w:b/>
          <w:color w:val="000000" w:themeColor="text1"/>
          <w:kern w:val="0"/>
          <w:sz w:val="24"/>
        </w:rPr>
        <w:t>基金净值表现</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3398F">
          <w:rPr>
            <w:rFonts w:eastAsiaTheme="minorEastAsia"/>
            <w:b/>
            <w:color w:val="000000" w:themeColor="text1"/>
            <w:kern w:val="0"/>
            <w:sz w:val="24"/>
          </w:rPr>
          <w:lastRenderedPageBreak/>
          <w:t>3.2.1</w:t>
        </w:r>
      </w:smartTag>
      <w:r w:rsidRPr="00A3398F">
        <w:rPr>
          <w:rFonts w:eastAsiaTheme="minorEastAsia"/>
          <w:b/>
          <w:color w:val="000000" w:themeColor="text1"/>
          <w:kern w:val="0"/>
          <w:sz w:val="24"/>
        </w:rPr>
        <w:t>本报告期基金份额净值增长率及其与同期业绩比较基准收益率的比较</w:t>
      </w:r>
    </w:p>
    <w:p w:rsidR="0065601A" w:rsidRPr="00A3398F" w:rsidRDefault="0065601A" w:rsidP="0065601A">
      <w:pPr>
        <w:spacing w:line="360" w:lineRule="auto"/>
        <w:rPr>
          <w:rFonts w:eastAsiaTheme="minorEastAsia"/>
          <w:b/>
          <w:color w:val="000000" w:themeColor="text1"/>
          <w:szCs w:val="21"/>
        </w:rPr>
      </w:pPr>
      <w:r w:rsidRPr="00A3398F">
        <w:rPr>
          <w:rFonts w:eastAsiaTheme="minorEastAsia"/>
          <w:b/>
          <w:color w:val="000000" w:themeColor="text1"/>
          <w:szCs w:val="21"/>
        </w:rPr>
        <w:t>1</w:t>
      </w:r>
      <w:r w:rsidRPr="00A3398F">
        <w:rPr>
          <w:rFonts w:eastAsiaTheme="minorEastAsia"/>
          <w:b/>
          <w:color w:val="000000" w:themeColor="text1"/>
          <w:szCs w:val="21"/>
        </w:rPr>
        <w:t>、</w:t>
      </w:r>
      <w:r w:rsidRPr="00A3398F">
        <w:rPr>
          <w:rFonts w:eastAsiaTheme="minorEastAsia"/>
          <w:b/>
          <w:color w:val="000000" w:themeColor="text1"/>
          <w:kern w:val="0"/>
          <w:szCs w:val="21"/>
        </w:rPr>
        <w:t>摩根欧洲动力策略股票</w:t>
      </w:r>
      <w:r w:rsidRPr="00A3398F">
        <w:rPr>
          <w:rFonts w:eastAsiaTheme="minorEastAsia"/>
          <w:b/>
          <w:color w:val="000000" w:themeColor="text1"/>
          <w:kern w:val="0"/>
          <w:szCs w:val="21"/>
        </w:rPr>
        <w:t>(QDII)A</w:t>
      </w:r>
      <w:r w:rsidRPr="00A3398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093223" w:rsidRPr="00A3398F" w:rsidTr="00093223">
        <w:tc>
          <w:tcPr>
            <w:tcW w:w="1290"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阶段</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093223" w:rsidTr="00093223">
        <w:tc>
          <w:tcPr>
            <w:tcW w:w="1290" w:type="dxa"/>
          </w:tcPr>
          <w:p w:rsidR="00093223" w:rsidRDefault="00093223" w:rsidP="00E1796A">
            <w:pPr>
              <w:jc w:val="left"/>
            </w:pPr>
            <w:r>
              <w:rPr>
                <w:rFonts w:eastAsiaTheme="minorEastAsia"/>
                <w:color w:val="000000" w:themeColor="text1"/>
                <w:szCs w:val="21"/>
              </w:rPr>
              <w:t>过去三个月</w:t>
            </w:r>
          </w:p>
        </w:tc>
        <w:tc>
          <w:tcPr>
            <w:tcW w:w="1291" w:type="dxa"/>
          </w:tcPr>
          <w:p w:rsidR="00093223" w:rsidRDefault="00093223" w:rsidP="00E1796A">
            <w:pPr>
              <w:jc w:val="right"/>
            </w:pPr>
            <w:r>
              <w:rPr>
                <w:rFonts w:eastAsiaTheme="minorEastAsia"/>
                <w:color w:val="000000" w:themeColor="text1"/>
                <w:szCs w:val="21"/>
              </w:rPr>
              <w:t>5.68%</w:t>
            </w:r>
          </w:p>
        </w:tc>
        <w:tc>
          <w:tcPr>
            <w:tcW w:w="1291" w:type="dxa"/>
          </w:tcPr>
          <w:p w:rsidR="00093223" w:rsidRDefault="00093223" w:rsidP="00E1796A">
            <w:pPr>
              <w:jc w:val="right"/>
            </w:pPr>
            <w:r>
              <w:rPr>
                <w:rFonts w:eastAsiaTheme="minorEastAsia"/>
                <w:color w:val="000000" w:themeColor="text1"/>
                <w:szCs w:val="21"/>
              </w:rPr>
              <w:t>0.54%</w:t>
            </w:r>
          </w:p>
        </w:tc>
        <w:tc>
          <w:tcPr>
            <w:tcW w:w="1291" w:type="dxa"/>
          </w:tcPr>
          <w:p w:rsidR="00093223" w:rsidRDefault="00093223" w:rsidP="00E1796A">
            <w:pPr>
              <w:jc w:val="right"/>
            </w:pPr>
            <w:r>
              <w:rPr>
                <w:rFonts w:eastAsiaTheme="minorEastAsia"/>
                <w:color w:val="000000" w:themeColor="text1"/>
                <w:szCs w:val="21"/>
              </w:rPr>
              <w:t>4.88%</w:t>
            </w:r>
          </w:p>
        </w:tc>
        <w:tc>
          <w:tcPr>
            <w:tcW w:w="1291" w:type="dxa"/>
          </w:tcPr>
          <w:p w:rsidR="00093223" w:rsidRDefault="00093223" w:rsidP="00E1796A">
            <w:pPr>
              <w:jc w:val="right"/>
            </w:pPr>
            <w:r>
              <w:rPr>
                <w:rFonts w:eastAsiaTheme="minorEastAsia"/>
                <w:color w:val="000000" w:themeColor="text1"/>
                <w:szCs w:val="21"/>
              </w:rPr>
              <w:t>0.61%</w:t>
            </w:r>
          </w:p>
        </w:tc>
        <w:tc>
          <w:tcPr>
            <w:tcW w:w="1291" w:type="dxa"/>
          </w:tcPr>
          <w:p w:rsidR="00093223" w:rsidRDefault="00093223" w:rsidP="00E1796A">
            <w:pPr>
              <w:jc w:val="right"/>
            </w:pPr>
            <w:r>
              <w:rPr>
                <w:rFonts w:eastAsiaTheme="minorEastAsia"/>
                <w:color w:val="000000" w:themeColor="text1"/>
                <w:szCs w:val="21"/>
              </w:rPr>
              <w:t>0.80%</w:t>
            </w:r>
          </w:p>
        </w:tc>
        <w:tc>
          <w:tcPr>
            <w:tcW w:w="1291" w:type="dxa"/>
          </w:tcPr>
          <w:p w:rsidR="00093223" w:rsidRDefault="00093223" w:rsidP="00E1796A">
            <w:pPr>
              <w:jc w:val="right"/>
            </w:pPr>
            <w:r>
              <w:rPr>
                <w:rFonts w:eastAsiaTheme="minorEastAsia"/>
                <w:color w:val="000000" w:themeColor="text1"/>
                <w:szCs w:val="21"/>
              </w:rPr>
              <w:t>-0.07%</w:t>
            </w:r>
          </w:p>
        </w:tc>
      </w:tr>
      <w:tr w:rsidR="00093223" w:rsidTr="00093223">
        <w:tc>
          <w:tcPr>
            <w:tcW w:w="1290" w:type="dxa"/>
          </w:tcPr>
          <w:p w:rsidR="00093223" w:rsidRDefault="00093223" w:rsidP="00E1796A">
            <w:pPr>
              <w:jc w:val="left"/>
            </w:pPr>
            <w:r>
              <w:rPr>
                <w:rFonts w:eastAsiaTheme="minorEastAsia"/>
                <w:color w:val="000000" w:themeColor="text1"/>
                <w:szCs w:val="21"/>
              </w:rPr>
              <w:t>过去六个月</w:t>
            </w:r>
          </w:p>
        </w:tc>
        <w:tc>
          <w:tcPr>
            <w:tcW w:w="1291" w:type="dxa"/>
          </w:tcPr>
          <w:p w:rsidR="00093223" w:rsidRDefault="00093223" w:rsidP="00E1796A">
            <w:pPr>
              <w:jc w:val="right"/>
            </w:pPr>
            <w:r>
              <w:rPr>
                <w:rFonts w:eastAsiaTheme="minorEastAsia"/>
                <w:color w:val="000000" w:themeColor="text1"/>
                <w:szCs w:val="21"/>
              </w:rPr>
              <w:t>14.91%</w:t>
            </w:r>
          </w:p>
        </w:tc>
        <w:tc>
          <w:tcPr>
            <w:tcW w:w="1291" w:type="dxa"/>
          </w:tcPr>
          <w:p w:rsidR="00093223" w:rsidRDefault="00093223" w:rsidP="00E1796A">
            <w:pPr>
              <w:jc w:val="right"/>
            </w:pPr>
            <w:r>
              <w:rPr>
                <w:rFonts w:eastAsiaTheme="minorEastAsia"/>
                <w:color w:val="000000" w:themeColor="text1"/>
                <w:szCs w:val="21"/>
              </w:rPr>
              <w:t>0.61%</w:t>
            </w:r>
          </w:p>
        </w:tc>
        <w:tc>
          <w:tcPr>
            <w:tcW w:w="1291" w:type="dxa"/>
          </w:tcPr>
          <w:p w:rsidR="00093223" w:rsidRDefault="00093223" w:rsidP="00E1796A">
            <w:pPr>
              <w:jc w:val="right"/>
            </w:pPr>
            <w:r>
              <w:rPr>
                <w:rFonts w:eastAsiaTheme="minorEastAsia"/>
                <w:color w:val="000000" w:themeColor="text1"/>
                <w:szCs w:val="21"/>
              </w:rPr>
              <w:t>13.95%</w:t>
            </w:r>
          </w:p>
        </w:tc>
        <w:tc>
          <w:tcPr>
            <w:tcW w:w="1291" w:type="dxa"/>
          </w:tcPr>
          <w:p w:rsidR="00093223" w:rsidRDefault="00093223" w:rsidP="00E1796A">
            <w:pPr>
              <w:jc w:val="right"/>
            </w:pPr>
            <w:r>
              <w:rPr>
                <w:rFonts w:eastAsiaTheme="minorEastAsia"/>
                <w:color w:val="000000" w:themeColor="text1"/>
                <w:szCs w:val="21"/>
              </w:rPr>
              <w:t>0.73%</w:t>
            </w:r>
          </w:p>
        </w:tc>
        <w:tc>
          <w:tcPr>
            <w:tcW w:w="1291" w:type="dxa"/>
          </w:tcPr>
          <w:p w:rsidR="00093223" w:rsidRDefault="00093223" w:rsidP="00E1796A">
            <w:pPr>
              <w:jc w:val="right"/>
            </w:pPr>
            <w:r>
              <w:rPr>
                <w:rFonts w:eastAsiaTheme="minorEastAsia"/>
                <w:color w:val="000000" w:themeColor="text1"/>
                <w:szCs w:val="21"/>
              </w:rPr>
              <w:t>0.96%</w:t>
            </w:r>
          </w:p>
        </w:tc>
        <w:tc>
          <w:tcPr>
            <w:tcW w:w="1291" w:type="dxa"/>
          </w:tcPr>
          <w:p w:rsidR="00093223" w:rsidRDefault="00093223" w:rsidP="00E1796A">
            <w:pPr>
              <w:jc w:val="right"/>
            </w:pPr>
            <w:r>
              <w:rPr>
                <w:rFonts w:eastAsiaTheme="minorEastAsia"/>
                <w:color w:val="000000" w:themeColor="text1"/>
                <w:szCs w:val="21"/>
              </w:rPr>
              <w:t>-0.12%</w:t>
            </w:r>
          </w:p>
        </w:tc>
      </w:tr>
      <w:tr w:rsidR="00093223" w:rsidTr="00093223">
        <w:tc>
          <w:tcPr>
            <w:tcW w:w="1290" w:type="dxa"/>
          </w:tcPr>
          <w:p w:rsidR="00093223" w:rsidRDefault="00093223" w:rsidP="00E1796A">
            <w:pPr>
              <w:jc w:val="left"/>
            </w:pPr>
            <w:r>
              <w:rPr>
                <w:rFonts w:eastAsiaTheme="minorEastAsia"/>
                <w:color w:val="000000" w:themeColor="text1"/>
                <w:szCs w:val="21"/>
              </w:rPr>
              <w:t>过去一年</w:t>
            </w:r>
          </w:p>
        </w:tc>
        <w:tc>
          <w:tcPr>
            <w:tcW w:w="1291" w:type="dxa"/>
          </w:tcPr>
          <w:p w:rsidR="00093223" w:rsidRDefault="00093223" w:rsidP="00E1796A">
            <w:pPr>
              <w:jc w:val="right"/>
            </w:pPr>
            <w:r>
              <w:rPr>
                <w:rFonts w:eastAsiaTheme="minorEastAsia"/>
                <w:color w:val="000000" w:themeColor="text1"/>
                <w:szCs w:val="21"/>
              </w:rPr>
              <w:t>14.13%</w:t>
            </w:r>
          </w:p>
        </w:tc>
        <w:tc>
          <w:tcPr>
            <w:tcW w:w="1291" w:type="dxa"/>
          </w:tcPr>
          <w:p w:rsidR="00093223" w:rsidRDefault="00093223" w:rsidP="00E1796A">
            <w:pPr>
              <w:jc w:val="right"/>
            </w:pPr>
            <w:r>
              <w:rPr>
                <w:rFonts w:eastAsiaTheme="minorEastAsia"/>
                <w:color w:val="000000" w:themeColor="text1"/>
                <w:szCs w:val="21"/>
              </w:rPr>
              <w:t>0.63%</w:t>
            </w:r>
          </w:p>
        </w:tc>
        <w:tc>
          <w:tcPr>
            <w:tcW w:w="1291" w:type="dxa"/>
          </w:tcPr>
          <w:p w:rsidR="00093223" w:rsidRDefault="00093223" w:rsidP="00E1796A">
            <w:pPr>
              <w:jc w:val="right"/>
            </w:pPr>
            <w:r>
              <w:rPr>
                <w:rFonts w:eastAsiaTheme="minorEastAsia"/>
                <w:color w:val="000000" w:themeColor="text1"/>
                <w:szCs w:val="21"/>
              </w:rPr>
              <w:t>16.07%</w:t>
            </w:r>
          </w:p>
        </w:tc>
        <w:tc>
          <w:tcPr>
            <w:tcW w:w="1291" w:type="dxa"/>
          </w:tcPr>
          <w:p w:rsidR="00093223" w:rsidRDefault="00093223" w:rsidP="00E1796A">
            <w:pPr>
              <w:jc w:val="right"/>
            </w:pPr>
            <w:r>
              <w:rPr>
                <w:rFonts w:eastAsiaTheme="minorEastAsia"/>
                <w:color w:val="000000" w:themeColor="text1"/>
                <w:szCs w:val="21"/>
              </w:rPr>
              <w:t>0.74%</w:t>
            </w:r>
          </w:p>
        </w:tc>
        <w:tc>
          <w:tcPr>
            <w:tcW w:w="1291" w:type="dxa"/>
          </w:tcPr>
          <w:p w:rsidR="00093223" w:rsidRDefault="00093223" w:rsidP="00E1796A">
            <w:pPr>
              <w:jc w:val="right"/>
            </w:pPr>
            <w:r>
              <w:rPr>
                <w:rFonts w:eastAsiaTheme="minorEastAsia"/>
                <w:color w:val="000000" w:themeColor="text1"/>
                <w:szCs w:val="21"/>
              </w:rPr>
              <w:t>-1.94%</w:t>
            </w:r>
          </w:p>
        </w:tc>
        <w:tc>
          <w:tcPr>
            <w:tcW w:w="1291" w:type="dxa"/>
          </w:tcPr>
          <w:p w:rsidR="00093223" w:rsidRDefault="00093223" w:rsidP="00E1796A">
            <w:pPr>
              <w:jc w:val="right"/>
            </w:pPr>
            <w:r>
              <w:rPr>
                <w:rFonts w:eastAsiaTheme="minorEastAsia"/>
                <w:color w:val="000000" w:themeColor="text1"/>
                <w:szCs w:val="21"/>
              </w:rPr>
              <w:t>-0.11%</w:t>
            </w:r>
          </w:p>
        </w:tc>
      </w:tr>
      <w:tr w:rsidR="00093223" w:rsidTr="00093223">
        <w:tc>
          <w:tcPr>
            <w:tcW w:w="1290" w:type="dxa"/>
          </w:tcPr>
          <w:p w:rsidR="00093223" w:rsidRDefault="00093223" w:rsidP="00E1796A">
            <w:pPr>
              <w:jc w:val="left"/>
            </w:pPr>
            <w:r>
              <w:rPr>
                <w:rFonts w:eastAsiaTheme="minorEastAsia"/>
                <w:color w:val="000000" w:themeColor="text1"/>
                <w:szCs w:val="21"/>
              </w:rPr>
              <w:t>过去三年</w:t>
            </w:r>
          </w:p>
        </w:tc>
        <w:tc>
          <w:tcPr>
            <w:tcW w:w="1291" w:type="dxa"/>
          </w:tcPr>
          <w:p w:rsidR="00093223" w:rsidRDefault="00093223" w:rsidP="00E1796A">
            <w:pPr>
              <w:jc w:val="right"/>
            </w:pPr>
            <w:r>
              <w:rPr>
                <w:rFonts w:eastAsiaTheme="minorEastAsia"/>
                <w:color w:val="000000" w:themeColor="text1"/>
                <w:szCs w:val="21"/>
              </w:rPr>
              <w:t>16.01%</w:t>
            </w:r>
          </w:p>
        </w:tc>
        <w:tc>
          <w:tcPr>
            <w:tcW w:w="1291" w:type="dxa"/>
          </w:tcPr>
          <w:p w:rsidR="00093223" w:rsidRDefault="00093223" w:rsidP="00E1796A">
            <w:pPr>
              <w:jc w:val="right"/>
            </w:pPr>
            <w:r>
              <w:rPr>
                <w:rFonts w:eastAsiaTheme="minorEastAsia"/>
                <w:color w:val="000000" w:themeColor="text1"/>
                <w:szCs w:val="21"/>
              </w:rPr>
              <w:t>0.91%</w:t>
            </w:r>
          </w:p>
        </w:tc>
        <w:tc>
          <w:tcPr>
            <w:tcW w:w="1291" w:type="dxa"/>
          </w:tcPr>
          <w:p w:rsidR="00093223" w:rsidRDefault="00093223" w:rsidP="00E1796A">
            <w:pPr>
              <w:jc w:val="right"/>
            </w:pPr>
            <w:r>
              <w:rPr>
                <w:rFonts w:eastAsiaTheme="minorEastAsia"/>
                <w:color w:val="000000" w:themeColor="text1"/>
                <w:szCs w:val="21"/>
              </w:rPr>
              <w:t>26.46%</w:t>
            </w:r>
          </w:p>
        </w:tc>
        <w:tc>
          <w:tcPr>
            <w:tcW w:w="1291" w:type="dxa"/>
          </w:tcPr>
          <w:p w:rsidR="00093223" w:rsidRDefault="00093223" w:rsidP="00E1796A">
            <w:pPr>
              <w:jc w:val="right"/>
            </w:pPr>
            <w:r>
              <w:rPr>
                <w:rFonts w:eastAsiaTheme="minorEastAsia"/>
                <w:color w:val="000000" w:themeColor="text1"/>
                <w:szCs w:val="21"/>
              </w:rPr>
              <w:t>1.05%</w:t>
            </w:r>
          </w:p>
        </w:tc>
        <w:tc>
          <w:tcPr>
            <w:tcW w:w="1291" w:type="dxa"/>
          </w:tcPr>
          <w:p w:rsidR="00093223" w:rsidRDefault="00093223" w:rsidP="00E1796A">
            <w:pPr>
              <w:jc w:val="right"/>
            </w:pPr>
            <w:r>
              <w:rPr>
                <w:rFonts w:eastAsiaTheme="minorEastAsia"/>
                <w:color w:val="000000" w:themeColor="text1"/>
                <w:szCs w:val="21"/>
              </w:rPr>
              <w:t>-10.45%</w:t>
            </w:r>
          </w:p>
        </w:tc>
        <w:tc>
          <w:tcPr>
            <w:tcW w:w="1291" w:type="dxa"/>
          </w:tcPr>
          <w:p w:rsidR="00093223" w:rsidRDefault="00093223" w:rsidP="00E1796A">
            <w:pPr>
              <w:jc w:val="right"/>
            </w:pPr>
            <w:r>
              <w:rPr>
                <w:rFonts w:eastAsiaTheme="minorEastAsia"/>
                <w:color w:val="000000" w:themeColor="text1"/>
                <w:szCs w:val="21"/>
              </w:rPr>
              <w:t>-0.14%</w:t>
            </w:r>
          </w:p>
        </w:tc>
      </w:tr>
      <w:tr w:rsidR="00093223" w:rsidTr="00093223">
        <w:tc>
          <w:tcPr>
            <w:tcW w:w="1290" w:type="dxa"/>
          </w:tcPr>
          <w:p w:rsidR="00093223" w:rsidRDefault="00093223" w:rsidP="00E1796A">
            <w:pPr>
              <w:jc w:val="left"/>
            </w:pPr>
            <w:r>
              <w:rPr>
                <w:rFonts w:eastAsiaTheme="minorEastAsia"/>
                <w:color w:val="000000" w:themeColor="text1"/>
                <w:szCs w:val="21"/>
              </w:rPr>
              <w:t>过去五年</w:t>
            </w:r>
          </w:p>
        </w:tc>
        <w:tc>
          <w:tcPr>
            <w:tcW w:w="1291" w:type="dxa"/>
          </w:tcPr>
          <w:p w:rsidR="00093223" w:rsidRDefault="00093223" w:rsidP="00E1796A">
            <w:pPr>
              <w:jc w:val="right"/>
            </w:pPr>
            <w:r>
              <w:rPr>
                <w:rFonts w:eastAsiaTheme="minorEastAsia"/>
                <w:color w:val="000000" w:themeColor="text1"/>
                <w:szCs w:val="21"/>
              </w:rPr>
              <w:t>36.86%</w:t>
            </w:r>
          </w:p>
        </w:tc>
        <w:tc>
          <w:tcPr>
            <w:tcW w:w="1291" w:type="dxa"/>
          </w:tcPr>
          <w:p w:rsidR="00093223" w:rsidRDefault="00093223" w:rsidP="00E1796A">
            <w:pPr>
              <w:jc w:val="right"/>
            </w:pPr>
            <w:r>
              <w:rPr>
                <w:rFonts w:eastAsiaTheme="minorEastAsia"/>
                <w:color w:val="000000" w:themeColor="text1"/>
                <w:szCs w:val="21"/>
              </w:rPr>
              <w:t>1.04%</w:t>
            </w:r>
          </w:p>
        </w:tc>
        <w:tc>
          <w:tcPr>
            <w:tcW w:w="1291" w:type="dxa"/>
          </w:tcPr>
          <w:p w:rsidR="00093223" w:rsidRDefault="00093223" w:rsidP="00E1796A">
            <w:pPr>
              <w:jc w:val="right"/>
            </w:pPr>
            <w:r>
              <w:rPr>
                <w:rFonts w:eastAsiaTheme="minorEastAsia"/>
                <w:color w:val="000000" w:themeColor="text1"/>
                <w:szCs w:val="21"/>
              </w:rPr>
              <w:t>50.06%</w:t>
            </w:r>
          </w:p>
        </w:tc>
        <w:tc>
          <w:tcPr>
            <w:tcW w:w="1291" w:type="dxa"/>
          </w:tcPr>
          <w:p w:rsidR="00093223" w:rsidRDefault="00093223" w:rsidP="00E1796A">
            <w:pPr>
              <w:jc w:val="right"/>
            </w:pPr>
            <w:r>
              <w:rPr>
                <w:rFonts w:eastAsiaTheme="minorEastAsia"/>
                <w:color w:val="000000" w:themeColor="text1"/>
                <w:szCs w:val="21"/>
              </w:rPr>
              <w:t>1.17%</w:t>
            </w:r>
          </w:p>
        </w:tc>
        <w:tc>
          <w:tcPr>
            <w:tcW w:w="1291" w:type="dxa"/>
          </w:tcPr>
          <w:p w:rsidR="00093223" w:rsidRDefault="00093223" w:rsidP="00E1796A">
            <w:pPr>
              <w:jc w:val="right"/>
            </w:pPr>
            <w:r>
              <w:rPr>
                <w:rFonts w:eastAsiaTheme="minorEastAsia"/>
                <w:color w:val="000000" w:themeColor="text1"/>
                <w:szCs w:val="21"/>
              </w:rPr>
              <w:t>-13.20%</w:t>
            </w:r>
          </w:p>
        </w:tc>
        <w:tc>
          <w:tcPr>
            <w:tcW w:w="1291" w:type="dxa"/>
          </w:tcPr>
          <w:p w:rsidR="00093223" w:rsidRDefault="00093223" w:rsidP="00E1796A">
            <w:pPr>
              <w:jc w:val="right"/>
            </w:pPr>
            <w:r>
              <w:rPr>
                <w:rFonts w:eastAsiaTheme="minorEastAsia"/>
                <w:color w:val="000000" w:themeColor="text1"/>
                <w:szCs w:val="21"/>
              </w:rPr>
              <w:t>-0.13%</w:t>
            </w:r>
          </w:p>
        </w:tc>
      </w:tr>
      <w:tr w:rsidR="00093223" w:rsidTr="00093223">
        <w:tc>
          <w:tcPr>
            <w:tcW w:w="1290" w:type="dxa"/>
          </w:tcPr>
          <w:p w:rsidR="00093223" w:rsidRDefault="00093223" w:rsidP="00E1796A">
            <w:pPr>
              <w:jc w:val="left"/>
            </w:pPr>
            <w:r>
              <w:rPr>
                <w:rFonts w:eastAsiaTheme="minorEastAsia"/>
                <w:color w:val="000000" w:themeColor="text1"/>
                <w:szCs w:val="21"/>
              </w:rPr>
              <w:t>自基金合同生效起至今</w:t>
            </w:r>
          </w:p>
        </w:tc>
        <w:tc>
          <w:tcPr>
            <w:tcW w:w="1291" w:type="dxa"/>
          </w:tcPr>
          <w:p w:rsidR="00093223" w:rsidRDefault="00093223" w:rsidP="00E1796A">
            <w:pPr>
              <w:jc w:val="right"/>
            </w:pPr>
            <w:r>
              <w:rPr>
                <w:rFonts w:eastAsiaTheme="minorEastAsia"/>
                <w:color w:val="000000" w:themeColor="text1"/>
                <w:szCs w:val="21"/>
              </w:rPr>
              <w:t>40.38%</w:t>
            </w:r>
          </w:p>
        </w:tc>
        <w:tc>
          <w:tcPr>
            <w:tcW w:w="1291" w:type="dxa"/>
          </w:tcPr>
          <w:p w:rsidR="00093223" w:rsidRDefault="00093223" w:rsidP="00E1796A">
            <w:pPr>
              <w:jc w:val="right"/>
            </w:pPr>
            <w:r>
              <w:rPr>
                <w:rFonts w:eastAsiaTheme="minorEastAsia"/>
                <w:color w:val="000000" w:themeColor="text1"/>
                <w:szCs w:val="21"/>
              </w:rPr>
              <w:t>1.01%</w:t>
            </w:r>
          </w:p>
        </w:tc>
        <w:tc>
          <w:tcPr>
            <w:tcW w:w="1291" w:type="dxa"/>
          </w:tcPr>
          <w:p w:rsidR="00093223" w:rsidRDefault="00093223" w:rsidP="00E1796A">
            <w:pPr>
              <w:jc w:val="right"/>
            </w:pPr>
            <w:r>
              <w:rPr>
                <w:rFonts w:eastAsiaTheme="minorEastAsia"/>
                <w:color w:val="000000" w:themeColor="text1"/>
                <w:szCs w:val="21"/>
              </w:rPr>
              <w:t>53.19%</w:t>
            </w:r>
          </w:p>
        </w:tc>
        <w:tc>
          <w:tcPr>
            <w:tcW w:w="1291" w:type="dxa"/>
          </w:tcPr>
          <w:p w:rsidR="00093223" w:rsidRDefault="00093223" w:rsidP="00E1796A">
            <w:pPr>
              <w:jc w:val="right"/>
            </w:pPr>
            <w:r>
              <w:rPr>
                <w:rFonts w:eastAsiaTheme="minorEastAsia"/>
                <w:color w:val="000000" w:themeColor="text1"/>
                <w:szCs w:val="21"/>
              </w:rPr>
              <w:t>1.15%</w:t>
            </w:r>
          </w:p>
        </w:tc>
        <w:tc>
          <w:tcPr>
            <w:tcW w:w="1291" w:type="dxa"/>
          </w:tcPr>
          <w:p w:rsidR="00093223" w:rsidRDefault="00093223" w:rsidP="00E1796A">
            <w:pPr>
              <w:jc w:val="right"/>
            </w:pPr>
            <w:r>
              <w:rPr>
                <w:rFonts w:eastAsiaTheme="minorEastAsia"/>
                <w:color w:val="000000" w:themeColor="text1"/>
                <w:szCs w:val="21"/>
              </w:rPr>
              <w:t>-12.81%</w:t>
            </w:r>
          </w:p>
        </w:tc>
        <w:tc>
          <w:tcPr>
            <w:tcW w:w="1291" w:type="dxa"/>
          </w:tcPr>
          <w:p w:rsidR="00093223" w:rsidRDefault="00093223" w:rsidP="00E1796A">
            <w:pPr>
              <w:jc w:val="right"/>
            </w:pPr>
            <w:r>
              <w:rPr>
                <w:rFonts w:eastAsiaTheme="minorEastAsia"/>
                <w:color w:val="000000" w:themeColor="text1"/>
                <w:szCs w:val="21"/>
              </w:rPr>
              <w:t>-0.14%</w:t>
            </w:r>
          </w:p>
        </w:tc>
      </w:tr>
    </w:tbl>
    <w:p w:rsidR="0065601A" w:rsidRPr="00A3398F" w:rsidRDefault="0065601A" w:rsidP="009E705F">
      <w:pPr>
        <w:adjustRightInd w:val="0"/>
        <w:spacing w:beforeLines="50" w:before="156" w:line="360" w:lineRule="auto"/>
        <w:rPr>
          <w:rFonts w:eastAsiaTheme="minorEastAsia"/>
          <w:b/>
          <w:color w:val="000000" w:themeColor="text1"/>
          <w:kern w:val="0"/>
          <w:szCs w:val="21"/>
        </w:rPr>
      </w:pPr>
      <w:r w:rsidRPr="00A3398F">
        <w:rPr>
          <w:rFonts w:eastAsiaTheme="minorEastAsia"/>
          <w:b/>
          <w:color w:val="000000" w:themeColor="text1"/>
          <w:szCs w:val="21"/>
        </w:rPr>
        <w:t>、</w:t>
      </w:r>
      <w:r w:rsidRPr="00A3398F">
        <w:rPr>
          <w:rFonts w:eastAsiaTheme="minorEastAsia"/>
          <w:b/>
          <w:color w:val="000000" w:themeColor="text1"/>
          <w:kern w:val="0"/>
          <w:szCs w:val="21"/>
        </w:rPr>
        <w:t>摩根欧洲动力策略股票</w:t>
      </w:r>
      <w:r w:rsidRPr="00A3398F">
        <w:rPr>
          <w:rFonts w:eastAsiaTheme="minorEastAsia"/>
          <w:b/>
          <w:color w:val="000000" w:themeColor="text1"/>
          <w:kern w:val="0"/>
          <w:szCs w:val="21"/>
        </w:rPr>
        <w:t>(QDII)C</w:t>
      </w:r>
      <w:r w:rsidRPr="00A3398F">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093223" w:rsidRPr="00A3398F" w:rsidTr="00093223">
        <w:tc>
          <w:tcPr>
            <w:tcW w:w="1290"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阶段</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tcPr>
          <w:p w:rsidR="00093223" w:rsidRPr="00A3398F" w:rsidRDefault="00093223" w:rsidP="00E1796A">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093223" w:rsidTr="00093223">
        <w:tc>
          <w:tcPr>
            <w:tcW w:w="1290" w:type="dxa"/>
          </w:tcPr>
          <w:p w:rsidR="00093223" w:rsidRDefault="00093223" w:rsidP="00E1796A">
            <w:pPr>
              <w:jc w:val="left"/>
            </w:pPr>
            <w:r>
              <w:rPr>
                <w:rFonts w:eastAsiaTheme="minorEastAsia"/>
                <w:color w:val="000000" w:themeColor="text1"/>
                <w:szCs w:val="21"/>
              </w:rPr>
              <w:t>过去三个月</w:t>
            </w:r>
          </w:p>
        </w:tc>
        <w:tc>
          <w:tcPr>
            <w:tcW w:w="1291" w:type="dxa"/>
          </w:tcPr>
          <w:p w:rsidR="00093223" w:rsidRDefault="00093223" w:rsidP="00E1796A">
            <w:pPr>
              <w:jc w:val="right"/>
            </w:pPr>
            <w:r>
              <w:rPr>
                <w:rFonts w:eastAsiaTheme="minorEastAsia"/>
                <w:color w:val="000000" w:themeColor="text1"/>
                <w:szCs w:val="21"/>
              </w:rPr>
              <w:t>5.59%</w:t>
            </w:r>
          </w:p>
        </w:tc>
        <w:tc>
          <w:tcPr>
            <w:tcW w:w="1291" w:type="dxa"/>
          </w:tcPr>
          <w:p w:rsidR="00093223" w:rsidRDefault="00093223" w:rsidP="00E1796A">
            <w:pPr>
              <w:jc w:val="right"/>
            </w:pPr>
            <w:r>
              <w:rPr>
                <w:rFonts w:eastAsiaTheme="minorEastAsia"/>
                <w:color w:val="000000" w:themeColor="text1"/>
                <w:szCs w:val="21"/>
              </w:rPr>
              <w:t>0.54%</w:t>
            </w:r>
          </w:p>
        </w:tc>
        <w:tc>
          <w:tcPr>
            <w:tcW w:w="1291" w:type="dxa"/>
          </w:tcPr>
          <w:p w:rsidR="00093223" w:rsidRDefault="00093223" w:rsidP="00E1796A">
            <w:pPr>
              <w:jc w:val="right"/>
            </w:pPr>
            <w:r>
              <w:rPr>
                <w:rFonts w:eastAsiaTheme="minorEastAsia"/>
                <w:color w:val="000000" w:themeColor="text1"/>
                <w:szCs w:val="21"/>
              </w:rPr>
              <w:t>4.88%</w:t>
            </w:r>
          </w:p>
        </w:tc>
        <w:tc>
          <w:tcPr>
            <w:tcW w:w="1291" w:type="dxa"/>
          </w:tcPr>
          <w:p w:rsidR="00093223" w:rsidRDefault="00093223" w:rsidP="00E1796A">
            <w:pPr>
              <w:jc w:val="right"/>
            </w:pPr>
            <w:r>
              <w:rPr>
                <w:rFonts w:eastAsiaTheme="minorEastAsia"/>
                <w:color w:val="000000" w:themeColor="text1"/>
                <w:szCs w:val="21"/>
              </w:rPr>
              <w:t>0.61%</w:t>
            </w:r>
          </w:p>
        </w:tc>
        <w:tc>
          <w:tcPr>
            <w:tcW w:w="1291" w:type="dxa"/>
          </w:tcPr>
          <w:p w:rsidR="00093223" w:rsidRDefault="00093223" w:rsidP="00E1796A">
            <w:pPr>
              <w:jc w:val="right"/>
            </w:pPr>
            <w:r>
              <w:rPr>
                <w:rFonts w:eastAsiaTheme="minorEastAsia"/>
                <w:color w:val="000000" w:themeColor="text1"/>
                <w:szCs w:val="21"/>
              </w:rPr>
              <w:t>0.71%</w:t>
            </w:r>
          </w:p>
        </w:tc>
        <w:tc>
          <w:tcPr>
            <w:tcW w:w="1291" w:type="dxa"/>
          </w:tcPr>
          <w:p w:rsidR="00093223" w:rsidRDefault="00093223" w:rsidP="00E1796A">
            <w:pPr>
              <w:jc w:val="right"/>
            </w:pPr>
            <w:r>
              <w:rPr>
                <w:rFonts w:eastAsiaTheme="minorEastAsia"/>
                <w:color w:val="000000" w:themeColor="text1"/>
                <w:szCs w:val="21"/>
              </w:rPr>
              <w:t>-0.07%</w:t>
            </w:r>
          </w:p>
        </w:tc>
      </w:tr>
      <w:tr w:rsidR="00093223" w:rsidTr="00093223">
        <w:tc>
          <w:tcPr>
            <w:tcW w:w="1290" w:type="dxa"/>
          </w:tcPr>
          <w:p w:rsidR="00093223" w:rsidRDefault="00093223" w:rsidP="00E1796A">
            <w:pPr>
              <w:jc w:val="left"/>
            </w:pPr>
            <w:r>
              <w:rPr>
                <w:rFonts w:eastAsiaTheme="minorEastAsia"/>
                <w:color w:val="000000" w:themeColor="text1"/>
                <w:szCs w:val="21"/>
              </w:rPr>
              <w:t>过去六个月</w:t>
            </w:r>
          </w:p>
        </w:tc>
        <w:tc>
          <w:tcPr>
            <w:tcW w:w="1291" w:type="dxa"/>
          </w:tcPr>
          <w:p w:rsidR="00093223" w:rsidRDefault="00093223" w:rsidP="00E1796A">
            <w:pPr>
              <w:jc w:val="right"/>
            </w:pPr>
            <w:r>
              <w:rPr>
                <w:rFonts w:eastAsiaTheme="minorEastAsia"/>
                <w:color w:val="000000" w:themeColor="text1"/>
                <w:szCs w:val="21"/>
              </w:rPr>
              <w:t>15.11%</w:t>
            </w:r>
          </w:p>
        </w:tc>
        <w:tc>
          <w:tcPr>
            <w:tcW w:w="1291" w:type="dxa"/>
          </w:tcPr>
          <w:p w:rsidR="00093223" w:rsidRDefault="00093223" w:rsidP="00E1796A">
            <w:pPr>
              <w:jc w:val="right"/>
            </w:pPr>
            <w:r>
              <w:rPr>
                <w:rFonts w:eastAsiaTheme="minorEastAsia"/>
                <w:color w:val="000000" w:themeColor="text1"/>
                <w:szCs w:val="21"/>
              </w:rPr>
              <w:t>0.60%</w:t>
            </w:r>
          </w:p>
        </w:tc>
        <w:tc>
          <w:tcPr>
            <w:tcW w:w="1291" w:type="dxa"/>
          </w:tcPr>
          <w:p w:rsidR="00093223" w:rsidRDefault="00093223" w:rsidP="00E1796A">
            <w:pPr>
              <w:jc w:val="right"/>
            </w:pPr>
            <w:r>
              <w:rPr>
                <w:rFonts w:eastAsiaTheme="minorEastAsia"/>
                <w:color w:val="000000" w:themeColor="text1"/>
                <w:szCs w:val="21"/>
              </w:rPr>
              <w:t>13.95%</w:t>
            </w:r>
          </w:p>
        </w:tc>
        <w:tc>
          <w:tcPr>
            <w:tcW w:w="1291" w:type="dxa"/>
          </w:tcPr>
          <w:p w:rsidR="00093223" w:rsidRDefault="00093223" w:rsidP="00E1796A">
            <w:pPr>
              <w:jc w:val="right"/>
            </w:pPr>
            <w:r>
              <w:rPr>
                <w:rFonts w:eastAsiaTheme="minorEastAsia"/>
                <w:color w:val="000000" w:themeColor="text1"/>
                <w:szCs w:val="21"/>
              </w:rPr>
              <w:t>0.73%</w:t>
            </w:r>
          </w:p>
        </w:tc>
        <w:tc>
          <w:tcPr>
            <w:tcW w:w="1291" w:type="dxa"/>
          </w:tcPr>
          <w:p w:rsidR="00093223" w:rsidRDefault="00093223" w:rsidP="00E1796A">
            <w:pPr>
              <w:jc w:val="right"/>
            </w:pPr>
            <w:r>
              <w:rPr>
                <w:rFonts w:eastAsiaTheme="minorEastAsia"/>
                <w:color w:val="000000" w:themeColor="text1"/>
                <w:szCs w:val="21"/>
              </w:rPr>
              <w:t>1.16%</w:t>
            </w:r>
          </w:p>
        </w:tc>
        <w:tc>
          <w:tcPr>
            <w:tcW w:w="1291" w:type="dxa"/>
          </w:tcPr>
          <w:p w:rsidR="00093223" w:rsidRDefault="00093223" w:rsidP="00E1796A">
            <w:pPr>
              <w:jc w:val="right"/>
            </w:pPr>
            <w:r>
              <w:rPr>
                <w:rFonts w:eastAsiaTheme="minorEastAsia"/>
                <w:color w:val="000000" w:themeColor="text1"/>
                <w:szCs w:val="21"/>
              </w:rPr>
              <w:t>-0.13%</w:t>
            </w:r>
          </w:p>
        </w:tc>
      </w:tr>
      <w:tr w:rsidR="00093223" w:rsidTr="00093223">
        <w:tc>
          <w:tcPr>
            <w:tcW w:w="1290" w:type="dxa"/>
          </w:tcPr>
          <w:p w:rsidR="00093223" w:rsidRDefault="00093223" w:rsidP="00E1796A">
            <w:pPr>
              <w:jc w:val="left"/>
            </w:pPr>
            <w:r>
              <w:rPr>
                <w:rFonts w:eastAsiaTheme="minorEastAsia"/>
                <w:color w:val="000000" w:themeColor="text1"/>
                <w:szCs w:val="21"/>
              </w:rPr>
              <w:t>过去一年</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r>
      <w:tr w:rsidR="00093223" w:rsidTr="00093223">
        <w:tc>
          <w:tcPr>
            <w:tcW w:w="1290" w:type="dxa"/>
          </w:tcPr>
          <w:p w:rsidR="00093223" w:rsidRDefault="00093223" w:rsidP="00E1796A">
            <w:pPr>
              <w:jc w:val="left"/>
            </w:pPr>
            <w:r>
              <w:rPr>
                <w:rFonts w:eastAsiaTheme="minorEastAsia"/>
                <w:color w:val="000000" w:themeColor="text1"/>
                <w:szCs w:val="21"/>
              </w:rPr>
              <w:t>过去三年</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r>
      <w:tr w:rsidR="00093223" w:rsidTr="00093223">
        <w:tc>
          <w:tcPr>
            <w:tcW w:w="1290" w:type="dxa"/>
          </w:tcPr>
          <w:p w:rsidR="00093223" w:rsidRDefault="00093223" w:rsidP="00E1796A">
            <w:pPr>
              <w:jc w:val="left"/>
            </w:pPr>
            <w:r>
              <w:rPr>
                <w:rFonts w:eastAsiaTheme="minorEastAsia"/>
                <w:color w:val="000000" w:themeColor="text1"/>
                <w:szCs w:val="21"/>
              </w:rPr>
              <w:t>过去五年</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c>
          <w:tcPr>
            <w:tcW w:w="1291" w:type="dxa"/>
          </w:tcPr>
          <w:p w:rsidR="00093223" w:rsidRDefault="00093223" w:rsidP="00E1796A">
            <w:pPr>
              <w:jc w:val="right"/>
            </w:pPr>
            <w:r>
              <w:rPr>
                <w:rFonts w:eastAsiaTheme="minorEastAsia"/>
                <w:color w:val="000000" w:themeColor="text1"/>
                <w:szCs w:val="21"/>
              </w:rPr>
              <w:t>-</w:t>
            </w:r>
          </w:p>
        </w:tc>
      </w:tr>
      <w:tr w:rsidR="00093223" w:rsidTr="00093223">
        <w:tc>
          <w:tcPr>
            <w:tcW w:w="1290" w:type="dxa"/>
          </w:tcPr>
          <w:p w:rsidR="00093223" w:rsidRDefault="00093223" w:rsidP="00E1796A">
            <w:pPr>
              <w:jc w:val="left"/>
            </w:pPr>
            <w:r>
              <w:rPr>
                <w:rFonts w:eastAsiaTheme="minorEastAsia"/>
                <w:color w:val="000000" w:themeColor="text1"/>
                <w:szCs w:val="21"/>
              </w:rPr>
              <w:t>自基金合同生效起至今</w:t>
            </w:r>
          </w:p>
        </w:tc>
        <w:tc>
          <w:tcPr>
            <w:tcW w:w="1291" w:type="dxa"/>
          </w:tcPr>
          <w:p w:rsidR="00093223" w:rsidRDefault="00093223" w:rsidP="00E1796A">
            <w:pPr>
              <w:jc w:val="right"/>
            </w:pPr>
            <w:r>
              <w:rPr>
                <w:rFonts w:eastAsiaTheme="minorEastAsia"/>
                <w:color w:val="000000" w:themeColor="text1"/>
                <w:szCs w:val="21"/>
              </w:rPr>
              <w:t>11.22%</w:t>
            </w:r>
          </w:p>
        </w:tc>
        <w:tc>
          <w:tcPr>
            <w:tcW w:w="1291" w:type="dxa"/>
          </w:tcPr>
          <w:p w:rsidR="00093223" w:rsidRDefault="00093223" w:rsidP="00E1796A">
            <w:pPr>
              <w:jc w:val="right"/>
            </w:pPr>
            <w:r>
              <w:rPr>
                <w:rFonts w:eastAsiaTheme="minorEastAsia"/>
                <w:color w:val="000000" w:themeColor="text1"/>
                <w:szCs w:val="21"/>
              </w:rPr>
              <w:t>0.61%</w:t>
            </w:r>
          </w:p>
        </w:tc>
        <w:tc>
          <w:tcPr>
            <w:tcW w:w="1291" w:type="dxa"/>
          </w:tcPr>
          <w:p w:rsidR="00093223" w:rsidRDefault="00093223" w:rsidP="00E1796A">
            <w:pPr>
              <w:jc w:val="right"/>
            </w:pPr>
            <w:r>
              <w:rPr>
                <w:rFonts w:eastAsiaTheme="minorEastAsia"/>
                <w:color w:val="000000" w:themeColor="text1"/>
                <w:szCs w:val="21"/>
              </w:rPr>
              <w:t>11.30%</w:t>
            </w:r>
          </w:p>
        </w:tc>
        <w:tc>
          <w:tcPr>
            <w:tcW w:w="1291" w:type="dxa"/>
          </w:tcPr>
          <w:p w:rsidR="00093223" w:rsidRDefault="00093223" w:rsidP="00E1796A">
            <w:pPr>
              <w:jc w:val="right"/>
            </w:pPr>
            <w:r>
              <w:rPr>
                <w:rFonts w:eastAsiaTheme="minorEastAsia"/>
                <w:color w:val="000000" w:themeColor="text1"/>
                <w:szCs w:val="21"/>
              </w:rPr>
              <w:t>0.74%</w:t>
            </w:r>
          </w:p>
        </w:tc>
        <w:tc>
          <w:tcPr>
            <w:tcW w:w="1291" w:type="dxa"/>
          </w:tcPr>
          <w:p w:rsidR="00093223" w:rsidRDefault="00093223" w:rsidP="00E1796A">
            <w:pPr>
              <w:jc w:val="right"/>
            </w:pPr>
            <w:r>
              <w:rPr>
                <w:rFonts w:eastAsiaTheme="minorEastAsia"/>
                <w:color w:val="000000" w:themeColor="text1"/>
                <w:szCs w:val="21"/>
              </w:rPr>
              <w:t>-0.08%</w:t>
            </w:r>
          </w:p>
        </w:tc>
        <w:tc>
          <w:tcPr>
            <w:tcW w:w="1291" w:type="dxa"/>
          </w:tcPr>
          <w:p w:rsidR="00093223" w:rsidRDefault="00093223" w:rsidP="00E1796A">
            <w:pPr>
              <w:jc w:val="right"/>
            </w:pPr>
            <w:r>
              <w:rPr>
                <w:rFonts w:eastAsiaTheme="minorEastAsia"/>
                <w:color w:val="000000" w:themeColor="text1"/>
                <w:szCs w:val="21"/>
              </w:rPr>
              <w:t>-0.13%</w:t>
            </w:r>
          </w:p>
        </w:tc>
      </w:tr>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3.2.2</w:t>
      </w:r>
      <w:r w:rsidRPr="00A3398F">
        <w:rPr>
          <w:rFonts w:eastAsiaTheme="minorEastAsia"/>
          <w:b/>
          <w:color w:val="000000" w:themeColor="text1"/>
          <w:kern w:val="0"/>
          <w:sz w:val="24"/>
        </w:rPr>
        <w:t xml:space="preserve">　</w:t>
      </w:r>
      <w:r w:rsidR="009779FD" w:rsidRPr="00A3398F">
        <w:rPr>
          <w:rStyle w:val="afb"/>
          <w:color w:val="000000" w:themeColor="text1"/>
          <w:sz w:val="24"/>
          <w:shd w:val="clear" w:color="auto" w:fill="FFFFFF"/>
        </w:rPr>
        <w:t>自基金合同生效以来</w:t>
      </w:r>
      <w:r w:rsidRPr="00A3398F">
        <w:rPr>
          <w:rFonts w:eastAsiaTheme="minorEastAsia"/>
          <w:b/>
          <w:color w:val="000000" w:themeColor="text1"/>
          <w:kern w:val="0"/>
          <w:sz w:val="24"/>
        </w:rPr>
        <w:t>基金累计</w:t>
      </w:r>
      <w:r w:rsidR="004339D9" w:rsidRPr="00A3398F">
        <w:rPr>
          <w:rFonts w:eastAsiaTheme="minorEastAsia"/>
          <w:b/>
          <w:color w:val="000000" w:themeColor="text1"/>
          <w:kern w:val="0"/>
          <w:sz w:val="24"/>
        </w:rPr>
        <w:t>份额</w:t>
      </w:r>
      <w:r w:rsidRPr="00A3398F">
        <w:rPr>
          <w:rFonts w:eastAsiaTheme="minorEastAsia"/>
          <w:b/>
          <w:color w:val="000000" w:themeColor="text1"/>
          <w:kern w:val="0"/>
          <w:sz w:val="24"/>
        </w:rPr>
        <w:t>净值增长率变动及其与同期业绩比较基准收益率变动的比较</w:t>
      </w:r>
    </w:p>
    <w:p w:rsidR="00A96FD9" w:rsidRPr="00A3398F" w:rsidRDefault="00A96FD9" w:rsidP="00EC4BA3">
      <w:pPr>
        <w:spacing w:line="360" w:lineRule="auto"/>
        <w:jc w:val="center"/>
        <w:rPr>
          <w:rFonts w:eastAsiaTheme="minorEastAsia"/>
          <w:color w:val="000000" w:themeColor="text1"/>
          <w:szCs w:val="21"/>
        </w:rPr>
      </w:pPr>
      <w:r w:rsidRPr="00A3398F">
        <w:rPr>
          <w:rFonts w:eastAsiaTheme="minorEastAsia"/>
          <w:color w:val="000000" w:themeColor="text1"/>
          <w:szCs w:val="21"/>
        </w:rPr>
        <w:t>摩根欧洲动力策略股票型证券投资基金</w:t>
      </w:r>
      <w:r w:rsidRPr="00A3398F">
        <w:rPr>
          <w:rFonts w:eastAsiaTheme="minorEastAsia"/>
          <w:color w:val="000000" w:themeColor="text1"/>
          <w:szCs w:val="21"/>
        </w:rPr>
        <w:t>(QDII)</w:t>
      </w:r>
    </w:p>
    <w:p w:rsidR="00FB39F7" w:rsidRPr="00A3398F"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3398F">
        <w:rPr>
          <w:rFonts w:ascii="Times New Roman" w:eastAsiaTheme="minorEastAsia" w:hAnsi="Times New Roman"/>
          <w:color w:val="000000" w:themeColor="text1"/>
        </w:rPr>
        <w:t>累计</w:t>
      </w:r>
      <w:r w:rsidR="00C67DCB" w:rsidRPr="00A3398F">
        <w:rPr>
          <w:rFonts w:ascii="Times New Roman" w:eastAsiaTheme="minorEastAsia" w:hAnsi="Times New Roman"/>
          <w:color w:val="000000" w:themeColor="text1"/>
        </w:rPr>
        <w:t>份额</w:t>
      </w:r>
      <w:r w:rsidRPr="00A3398F">
        <w:rPr>
          <w:rFonts w:ascii="Times New Roman" w:eastAsiaTheme="minorEastAsia" w:hAnsi="Times New Roman"/>
          <w:color w:val="000000" w:themeColor="text1"/>
        </w:rPr>
        <w:t>净值增长率与业绩比较基准收益率历史走势对比图</w:t>
      </w:r>
    </w:p>
    <w:p w:rsidR="005908C0" w:rsidRPr="00A3398F" w:rsidRDefault="005908C0" w:rsidP="00EC4BA3">
      <w:pPr>
        <w:spacing w:line="360" w:lineRule="auto"/>
        <w:jc w:val="center"/>
        <w:rPr>
          <w:rFonts w:eastAsiaTheme="minorEastAsia"/>
          <w:color w:val="000000" w:themeColor="text1"/>
          <w:szCs w:val="21"/>
        </w:rPr>
      </w:pPr>
      <w:r w:rsidRPr="00A3398F">
        <w:rPr>
          <w:rFonts w:eastAsiaTheme="minorEastAsia"/>
          <w:color w:val="000000" w:themeColor="text1"/>
          <w:kern w:val="0"/>
          <w:szCs w:val="21"/>
        </w:rPr>
        <w:t>（</w:t>
      </w:r>
      <w:r w:rsidR="00623556" w:rsidRPr="00A3398F">
        <w:rPr>
          <w:rFonts w:eastAsiaTheme="minorEastAsia"/>
          <w:color w:val="000000" w:themeColor="text1"/>
          <w:kern w:val="0"/>
          <w:szCs w:val="21"/>
        </w:rPr>
        <w:t>2018</w:t>
      </w:r>
      <w:r w:rsidR="00623556" w:rsidRPr="00A3398F">
        <w:rPr>
          <w:rFonts w:eastAsiaTheme="minorEastAsia"/>
          <w:color w:val="000000" w:themeColor="text1"/>
          <w:kern w:val="0"/>
          <w:szCs w:val="21"/>
        </w:rPr>
        <w:t>年</w:t>
      </w:r>
      <w:r w:rsidR="00623556" w:rsidRPr="00A3398F">
        <w:rPr>
          <w:rFonts w:eastAsiaTheme="minorEastAsia"/>
          <w:color w:val="000000" w:themeColor="text1"/>
          <w:kern w:val="0"/>
          <w:szCs w:val="21"/>
        </w:rPr>
        <w:t>10</w:t>
      </w:r>
      <w:r w:rsidR="00623556" w:rsidRPr="00A3398F">
        <w:rPr>
          <w:rFonts w:eastAsiaTheme="minorEastAsia"/>
          <w:color w:val="000000" w:themeColor="text1"/>
          <w:kern w:val="0"/>
          <w:szCs w:val="21"/>
        </w:rPr>
        <w:t>月</w:t>
      </w:r>
      <w:r w:rsidR="00623556" w:rsidRPr="00A3398F">
        <w:rPr>
          <w:rFonts w:eastAsiaTheme="minorEastAsia"/>
          <w:color w:val="000000" w:themeColor="text1"/>
          <w:kern w:val="0"/>
          <w:szCs w:val="21"/>
        </w:rPr>
        <w:t>31</w:t>
      </w:r>
      <w:r w:rsidR="00623556" w:rsidRPr="00A3398F">
        <w:rPr>
          <w:rFonts w:eastAsiaTheme="minorEastAsia"/>
          <w:color w:val="000000" w:themeColor="text1"/>
          <w:kern w:val="0"/>
          <w:szCs w:val="21"/>
        </w:rPr>
        <w:t>日</w:t>
      </w:r>
      <w:r w:rsidRPr="00A3398F">
        <w:rPr>
          <w:rFonts w:eastAsiaTheme="minorEastAsia"/>
          <w:color w:val="000000" w:themeColor="text1"/>
          <w:kern w:val="0"/>
          <w:szCs w:val="21"/>
        </w:rPr>
        <w:t>至</w:t>
      </w:r>
      <w:r w:rsidRPr="00A3398F">
        <w:rPr>
          <w:rFonts w:eastAsiaTheme="minorEastAsia"/>
          <w:color w:val="000000" w:themeColor="text1"/>
          <w:kern w:val="0"/>
          <w:szCs w:val="21"/>
        </w:rPr>
        <w:t>2024</w:t>
      </w:r>
      <w:r w:rsidRPr="00A3398F">
        <w:rPr>
          <w:rFonts w:eastAsiaTheme="minorEastAsia"/>
          <w:color w:val="000000" w:themeColor="text1"/>
          <w:kern w:val="0"/>
          <w:szCs w:val="21"/>
        </w:rPr>
        <w:t>年</w:t>
      </w:r>
      <w:r w:rsidRPr="00A3398F">
        <w:rPr>
          <w:rFonts w:eastAsiaTheme="minorEastAsia"/>
          <w:color w:val="000000" w:themeColor="text1"/>
          <w:kern w:val="0"/>
          <w:szCs w:val="21"/>
        </w:rPr>
        <w:t>3</w:t>
      </w:r>
      <w:r w:rsidRPr="00A3398F">
        <w:rPr>
          <w:rFonts w:eastAsiaTheme="minorEastAsia"/>
          <w:color w:val="000000" w:themeColor="text1"/>
          <w:kern w:val="0"/>
          <w:szCs w:val="21"/>
        </w:rPr>
        <w:t>月</w:t>
      </w:r>
      <w:r w:rsidRPr="00A3398F">
        <w:rPr>
          <w:rFonts w:eastAsiaTheme="minorEastAsia"/>
          <w:color w:val="000000" w:themeColor="text1"/>
          <w:kern w:val="0"/>
          <w:szCs w:val="21"/>
        </w:rPr>
        <w:t>31</w:t>
      </w:r>
      <w:r w:rsidRPr="00A3398F">
        <w:rPr>
          <w:rFonts w:eastAsiaTheme="minorEastAsia"/>
          <w:color w:val="000000" w:themeColor="text1"/>
          <w:kern w:val="0"/>
          <w:szCs w:val="21"/>
        </w:rPr>
        <w:t>日）</w:t>
      </w:r>
    </w:p>
    <w:p w:rsidR="0065601A" w:rsidRPr="00A3398F" w:rsidRDefault="0065601A" w:rsidP="0065601A">
      <w:pPr>
        <w:snapToGrid w:val="0"/>
        <w:spacing w:line="360" w:lineRule="auto"/>
        <w:rPr>
          <w:rFonts w:eastAsiaTheme="minorEastAsia"/>
          <w:color w:val="000000" w:themeColor="text1"/>
          <w:szCs w:val="21"/>
        </w:rPr>
      </w:pPr>
      <w:r w:rsidRPr="00A3398F">
        <w:rPr>
          <w:rFonts w:eastAsiaTheme="minorEastAsia"/>
          <w:color w:val="000000" w:themeColor="text1"/>
          <w:szCs w:val="21"/>
        </w:rPr>
        <w:t>1</w:t>
      </w: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r w:rsidRPr="00A3398F">
        <w:rPr>
          <w:rFonts w:eastAsiaTheme="minorEastAsia"/>
          <w:color w:val="000000" w:themeColor="text1"/>
          <w:szCs w:val="21"/>
        </w:rPr>
        <w:t>：</w:t>
      </w:r>
    </w:p>
    <w:p w:rsidR="009B566F" w:rsidRDefault="00093223" w:rsidP="00F862D0">
      <w:pPr>
        <w:pStyle w:val="20"/>
        <w:spacing w:line="288" w:lineRule="auto"/>
        <w:ind w:firstLineChars="0" w:firstLine="0"/>
        <w:jc w:val="center"/>
        <w:rPr>
          <w:rFonts w:eastAsiaTheme="minorEastAsia"/>
          <w:color w:val="000000" w:themeColor="text1"/>
          <w:szCs w:val="21"/>
        </w:rPr>
      </w:pPr>
      <w:r w:rsidRPr="00A3398F">
        <w:rPr>
          <w:rFonts w:ascii="Times New Roman" w:eastAsiaTheme="minorEastAsia" w:hAnsi="Times New Roman"/>
          <w:noProof/>
          <w:color w:val="000000" w:themeColor="text1"/>
          <w:sz w:val="21"/>
          <w:szCs w:val="21"/>
        </w:rPr>
        <w:lastRenderedPageBreak/>
        <w:drawing>
          <wp:inline distT="0" distB="0" distL="0" distR="0" wp14:anchorId="2E047BAF" wp14:editId="7D09BD77">
            <wp:extent cx="5278120" cy="309314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3093140"/>
                    </a:xfrm>
                    <a:prstGeom prst="rect">
                      <a:avLst/>
                    </a:prstGeom>
                    <a:noFill/>
                    <a:ln>
                      <a:noFill/>
                    </a:ln>
                  </pic:spPr>
                </pic:pic>
              </a:graphicData>
            </a:graphic>
          </wp:inline>
        </w:drawing>
      </w:r>
      <w:r w:rsidR="00190F9A">
        <w:rPr>
          <w:rFonts w:eastAsiaTheme="minorEastAsia"/>
          <w:color w:val="000000" w:themeColor="text1"/>
          <w:szCs w:val="21"/>
        </w:rPr>
        <w:t>注：本基金合同生效日为2018年10月31日，图示的时间段为合同生效日至本报告期末。</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 xml:space="preserve"> 6 </w:t>
      </w:r>
      <w:r w:rsidRPr="00A3398F">
        <w:rPr>
          <w:rFonts w:eastAsiaTheme="minorEastAsia"/>
          <w:color w:val="000000" w:themeColor="text1"/>
          <w:szCs w:val="21"/>
        </w:rPr>
        <w:t>个月，建仓期结束时资产配置比例符合本基金基金合同规定。</w:t>
      </w:r>
    </w:p>
    <w:p w:rsidR="0065601A" w:rsidRPr="00A3398F" w:rsidRDefault="0065601A" w:rsidP="009E705F">
      <w:pPr>
        <w:snapToGrid w:val="0"/>
        <w:spacing w:beforeLines="100" w:before="312" w:line="360" w:lineRule="auto"/>
        <w:rPr>
          <w:rFonts w:eastAsiaTheme="minorEastAsia"/>
          <w:color w:val="000000" w:themeColor="text1"/>
          <w:szCs w:val="21"/>
        </w:rPr>
      </w:pPr>
      <w:r w:rsidRPr="00A3398F">
        <w:rPr>
          <w:rFonts w:eastAsiaTheme="minorEastAsia"/>
          <w:color w:val="000000" w:themeColor="text1"/>
          <w:szCs w:val="21"/>
        </w:rPr>
        <w:t>2</w:t>
      </w: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r w:rsidRPr="00A3398F">
        <w:rPr>
          <w:rFonts w:eastAsiaTheme="minorEastAsia"/>
          <w:color w:val="000000" w:themeColor="text1"/>
          <w:szCs w:val="21"/>
        </w:rPr>
        <w:t>：</w:t>
      </w:r>
    </w:p>
    <w:p w:rsidR="0065601A" w:rsidRPr="00A3398F" w:rsidRDefault="0065601A" w:rsidP="0065601A">
      <w:pPr>
        <w:pStyle w:val="20"/>
        <w:spacing w:line="288" w:lineRule="auto"/>
        <w:ind w:firstLineChars="0" w:firstLine="0"/>
        <w:jc w:val="center"/>
        <w:rPr>
          <w:rFonts w:ascii="Times New Roman" w:eastAsiaTheme="minorEastAsia" w:hAnsi="Times New Roman"/>
          <w:color w:val="000000" w:themeColor="text1"/>
          <w:sz w:val="21"/>
          <w:szCs w:val="21"/>
        </w:rPr>
      </w:pPr>
    </w:p>
    <w:p w:rsidR="009B566F" w:rsidRDefault="00093223">
      <w:pPr>
        <w:spacing w:line="360" w:lineRule="auto"/>
        <w:ind w:firstLineChars="200" w:firstLine="420"/>
        <w:rPr>
          <w:rFonts w:eastAsiaTheme="minorEastAsia"/>
          <w:color w:val="000000" w:themeColor="text1"/>
          <w:szCs w:val="21"/>
        </w:rPr>
      </w:pPr>
      <w:r w:rsidRPr="00A3398F">
        <w:rPr>
          <w:rFonts w:eastAsiaTheme="minorEastAsia"/>
          <w:noProof/>
          <w:color w:val="000000" w:themeColor="text1"/>
          <w:szCs w:val="21"/>
        </w:rPr>
        <w:drawing>
          <wp:inline distT="0" distB="0" distL="0" distR="0" wp14:anchorId="42F22A5D" wp14:editId="5F5006C1">
            <wp:extent cx="5278120" cy="3093140"/>
            <wp:effectExtent l="0" t="0" r="0" b="0"/>
            <wp:docPr id="4" name="图片 4"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3093140"/>
                    </a:xfrm>
                    <a:prstGeom prst="rect">
                      <a:avLst/>
                    </a:prstGeom>
                    <a:noFill/>
                    <a:ln>
                      <a:noFill/>
                    </a:ln>
                  </pic:spPr>
                </pic:pic>
              </a:graphicData>
            </a:graphic>
          </wp:inline>
        </w:drawing>
      </w:r>
      <w:r w:rsidR="00190F9A">
        <w:rPr>
          <w:rFonts w:eastAsiaTheme="minorEastAsia"/>
          <w:color w:val="000000" w:themeColor="text1"/>
          <w:szCs w:val="21"/>
        </w:rPr>
        <w:t>注：本基金自</w:t>
      </w:r>
      <w:r w:rsidR="00190F9A">
        <w:rPr>
          <w:rFonts w:eastAsiaTheme="minorEastAsia"/>
          <w:color w:val="000000" w:themeColor="text1"/>
          <w:szCs w:val="21"/>
        </w:rPr>
        <w:t xml:space="preserve"> 2023</w:t>
      </w:r>
      <w:r w:rsidR="00190F9A">
        <w:rPr>
          <w:rFonts w:eastAsiaTheme="minorEastAsia"/>
          <w:color w:val="000000" w:themeColor="text1"/>
          <w:szCs w:val="21"/>
        </w:rPr>
        <w:t>年</w:t>
      </w:r>
      <w:r w:rsidR="00190F9A">
        <w:rPr>
          <w:rFonts w:eastAsiaTheme="minorEastAsia"/>
          <w:color w:val="000000" w:themeColor="text1"/>
          <w:szCs w:val="21"/>
        </w:rPr>
        <w:t>9</w:t>
      </w:r>
      <w:r w:rsidR="00190F9A">
        <w:rPr>
          <w:rFonts w:eastAsiaTheme="minorEastAsia"/>
          <w:color w:val="000000" w:themeColor="text1"/>
          <w:szCs w:val="21"/>
        </w:rPr>
        <w:t>月</w:t>
      </w:r>
      <w:r w:rsidR="00190F9A">
        <w:rPr>
          <w:rFonts w:eastAsiaTheme="minorEastAsia"/>
          <w:color w:val="000000" w:themeColor="text1"/>
          <w:szCs w:val="21"/>
        </w:rPr>
        <w:t>8</w:t>
      </w:r>
      <w:r w:rsidR="00190F9A">
        <w:rPr>
          <w:rFonts w:eastAsiaTheme="minorEastAsia"/>
          <w:color w:val="000000" w:themeColor="text1"/>
          <w:szCs w:val="21"/>
        </w:rPr>
        <w:t>日起增加</w:t>
      </w:r>
      <w:r w:rsidR="00190F9A">
        <w:rPr>
          <w:rFonts w:eastAsiaTheme="minorEastAsia"/>
          <w:color w:val="000000" w:themeColor="text1"/>
          <w:szCs w:val="21"/>
        </w:rPr>
        <w:t>C</w:t>
      </w:r>
      <w:r w:rsidR="00190F9A">
        <w:rPr>
          <w:rFonts w:eastAsiaTheme="minorEastAsia"/>
          <w:color w:val="000000" w:themeColor="text1"/>
          <w:szCs w:val="21"/>
        </w:rPr>
        <w:t>类份额，相关数据按实际存续期计算。</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6</w:t>
      </w:r>
      <w:r w:rsidRPr="00A3398F">
        <w:rPr>
          <w:rFonts w:eastAsiaTheme="minorEastAsia"/>
          <w:color w:val="000000" w:themeColor="text1"/>
          <w:szCs w:val="21"/>
        </w:rPr>
        <w:t>个月，建仓期结束时资产配置比例符合本基金基</w:t>
      </w:r>
      <w:r w:rsidRPr="00A3398F">
        <w:rPr>
          <w:rFonts w:eastAsiaTheme="minorEastAsia"/>
          <w:color w:val="000000" w:themeColor="text1"/>
          <w:szCs w:val="21"/>
        </w:rPr>
        <w:lastRenderedPageBreak/>
        <w:t>金合同规定。</w:t>
      </w:r>
    </w:p>
    <w:p w:rsidR="00845292" w:rsidRPr="00A3398F" w:rsidRDefault="00845292" w:rsidP="0065601A">
      <w:pPr>
        <w:spacing w:line="360" w:lineRule="auto"/>
        <w:ind w:firstLineChars="200" w:firstLine="420"/>
        <w:rPr>
          <w:rFonts w:eastAsiaTheme="minorEastAsia"/>
          <w:color w:val="000000" w:themeColor="text1"/>
          <w:szCs w:val="21"/>
        </w:rPr>
      </w:pP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§4  </w:t>
      </w:r>
      <w:r w:rsidRPr="00A3398F">
        <w:rPr>
          <w:rFonts w:eastAsiaTheme="minorEastAsia"/>
          <w:color w:val="000000" w:themeColor="text1"/>
          <w:kern w:val="0"/>
          <w:sz w:val="24"/>
          <w:szCs w:val="24"/>
        </w:rPr>
        <w:t>管理人报告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4.1 </w:t>
      </w:r>
      <w:r w:rsidRPr="00A3398F">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3398F" w:rsidTr="00797DD2">
        <w:trPr>
          <w:cantSplit/>
          <w:trHeight w:val="292"/>
        </w:trPr>
        <w:tc>
          <w:tcPr>
            <w:tcW w:w="851"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850"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职务</w:t>
            </w:r>
          </w:p>
        </w:tc>
        <w:tc>
          <w:tcPr>
            <w:tcW w:w="3119" w:type="dxa"/>
            <w:gridSpan w:val="2"/>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任本基金的基金经理期限</w:t>
            </w:r>
          </w:p>
        </w:tc>
        <w:tc>
          <w:tcPr>
            <w:tcW w:w="1417" w:type="dxa"/>
            <w:vMerge w:val="restart"/>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694" w:type="dxa"/>
            <w:vMerge w:val="restart"/>
            <w:vAlign w:val="center"/>
          </w:tcPr>
          <w:p w:rsidR="007D1292" w:rsidRPr="00A3398F" w:rsidRDefault="007D1292" w:rsidP="00797DD2">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8277FF" w:rsidRPr="00A3398F" w:rsidTr="00797DD2">
        <w:trPr>
          <w:cantSplit/>
        </w:trPr>
        <w:tc>
          <w:tcPr>
            <w:tcW w:w="851"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任职日期</w:t>
            </w:r>
          </w:p>
        </w:tc>
        <w:tc>
          <w:tcPr>
            <w:tcW w:w="1559"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离任日期</w:t>
            </w:r>
          </w:p>
        </w:tc>
        <w:tc>
          <w:tcPr>
            <w:tcW w:w="1417"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r>
      <w:tr w:rsidR="009B566F">
        <w:tc>
          <w:tcPr>
            <w:tcW w:w="851" w:type="dxa"/>
            <w:vAlign w:val="center"/>
          </w:tcPr>
          <w:p w:rsidR="009B566F" w:rsidRDefault="00190F9A">
            <w:pPr>
              <w:jc w:val="center"/>
            </w:pPr>
            <w:r>
              <w:rPr>
                <w:rFonts w:eastAsiaTheme="minorEastAsia"/>
                <w:color w:val="000000" w:themeColor="text1"/>
                <w:szCs w:val="21"/>
              </w:rPr>
              <w:t>张军</w:t>
            </w:r>
          </w:p>
        </w:tc>
        <w:tc>
          <w:tcPr>
            <w:tcW w:w="850" w:type="dxa"/>
            <w:vAlign w:val="center"/>
          </w:tcPr>
          <w:p w:rsidR="009B566F" w:rsidRDefault="00190F9A">
            <w:pPr>
              <w:jc w:val="center"/>
            </w:pPr>
            <w:r>
              <w:rPr>
                <w:rFonts w:eastAsiaTheme="minorEastAsia"/>
                <w:color w:val="000000" w:themeColor="text1"/>
                <w:szCs w:val="21"/>
              </w:rPr>
              <w:t>本基金基金经理</w:t>
            </w:r>
          </w:p>
        </w:tc>
        <w:tc>
          <w:tcPr>
            <w:tcW w:w="1560" w:type="dxa"/>
            <w:vAlign w:val="center"/>
          </w:tcPr>
          <w:p w:rsidR="009B566F" w:rsidRDefault="00190F9A">
            <w:pPr>
              <w:jc w:val="center"/>
            </w:pPr>
            <w:r>
              <w:rPr>
                <w:rFonts w:eastAsiaTheme="minorEastAsia"/>
                <w:color w:val="000000" w:themeColor="text1"/>
                <w:szCs w:val="21"/>
              </w:rPr>
              <w:t>2018-10-31</w:t>
            </w:r>
          </w:p>
        </w:tc>
        <w:tc>
          <w:tcPr>
            <w:tcW w:w="1559" w:type="dxa"/>
            <w:vAlign w:val="center"/>
          </w:tcPr>
          <w:p w:rsidR="009B566F" w:rsidRDefault="00190F9A">
            <w:pPr>
              <w:jc w:val="center"/>
            </w:pPr>
            <w:r>
              <w:rPr>
                <w:rFonts w:eastAsiaTheme="minorEastAsia"/>
                <w:color w:val="000000" w:themeColor="text1"/>
                <w:szCs w:val="21"/>
              </w:rPr>
              <w:t>-</w:t>
            </w:r>
          </w:p>
        </w:tc>
        <w:tc>
          <w:tcPr>
            <w:tcW w:w="1417" w:type="dxa"/>
            <w:vAlign w:val="center"/>
          </w:tcPr>
          <w:p w:rsidR="009B566F" w:rsidRDefault="00190F9A">
            <w:pPr>
              <w:jc w:val="center"/>
            </w:pPr>
            <w:r>
              <w:rPr>
                <w:rFonts w:eastAsiaTheme="minorEastAsia"/>
                <w:color w:val="000000" w:themeColor="text1"/>
                <w:szCs w:val="21"/>
              </w:rPr>
              <w:t>20</w:t>
            </w:r>
            <w:r>
              <w:rPr>
                <w:rFonts w:eastAsiaTheme="minorEastAsia"/>
                <w:color w:val="000000" w:themeColor="text1"/>
                <w:szCs w:val="21"/>
              </w:rPr>
              <w:t>年（金融领域从业经验</w:t>
            </w:r>
            <w:r>
              <w:rPr>
                <w:rFonts w:eastAsiaTheme="minorEastAsia"/>
                <w:color w:val="000000" w:themeColor="text1"/>
                <w:szCs w:val="21"/>
              </w:rPr>
              <w:t>31</w:t>
            </w:r>
            <w:r>
              <w:rPr>
                <w:rFonts w:eastAsiaTheme="minorEastAsia"/>
                <w:color w:val="000000" w:themeColor="text1"/>
                <w:szCs w:val="21"/>
              </w:rPr>
              <w:t>年）</w:t>
            </w:r>
          </w:p>
        </w:tc>
        <w:tc>
          <w:tcPr>
            <w:tcW w:w="2694" w:type="dxa"/>
            <w:vAlign w:val="center"/>
          </w:tcPr>
          <w:p w:rsidR="009B566F" w:rsidRDefault="00190F9A">
            <w:pPr>
              <w:jc w:val="left"/>
            </w:pPr>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bl>
    <w:p w:rsidR="009B566F" w:rsidRDefault="00190F9A">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9B566F" w:rsidRDefault="00190F9A">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张军先生为本基金首任基金经理，其任职日期为本基金基金合同生效之日；</w:t>
      </w:r>
    </w:p>
    <w:p w:rsidR="00A47E47" w:rsidRPr="00A3398F" w:rsidRDefault="00A47E47"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 xml:space="preserve">3. </w:t>
      </w:r>
      <w:r w:rsidRPr="00A3398F">
        <w:rPr>
          <w:rFonts w:eastAsiaTheme="minorEastAsia"/>
          <w:color w:val="000000" w:themeColor="text1"/>
          <w:szCs w:val="21"/>
        </w:rPr>
        <w:t>证券从业的含义遵从行业协会《证券业从业人员资格管理办法》的相关规定。</w:t>
      </w:r>
    </w:p>
    <w:p w:rsidR="00EE1749" w:rsidRPr="00A3398F" w:rsidRDefault="00EE1749" w:rsidP="00EE1749">
      <w:pPr>
        <w:autoSpaceDE w:val="0"/>
        <w:autoSpaceDN w:val="0"/>
        <w:adjustRightInd w:val="0"/>
        <w:spacing w:line="360" w:lineRule="auto"/>
        <w:jc w:val="left"/>
        <w:rPr>
          <w:rFonts w:eastAsia="Times New Roman"/>
          <w:b/>
          <w:color w:val="000000"/>
          <w:kern w:val="0"/>
          <w:sz w:val="24"/>
          <w:szCs w:val="21"/>
        </w:rPr>
      </w:pPr>
      <w:bookmarkStart w:id="1" w:name="_Hlk44921484"/>
      <w:bookmarkStart w:id="2" w:name="_Hlk52383584"/>
      <w:r w:rsidRPr="00A3398F">
        <w:rPr>
          <w:b/>
          <w:color w:val="000000"/>
          <w:kern w:val="0"/>
          <w:sz w:val="24"/>
        </w:rPr>
        <w:t>4</w:t>
      </w:r>
      <w:r w:rsidRPr="00A3398F">
        <w:rPr>
          <w:rFonts w:eastAsia="Times New Roman"/>
          <w:b/>
          <w:color w:val="000000"/>
          <w:kern w:val="0"/>
          <w:sz w:val="24"/>
        </w:rPr>
        <w:t>.</w:t>
      </w:r>
      <w:r w:rsidRPr="00A3398F">
        <w:rPr>
          <w:b/>
          <w:color w:val="000000"/>
          <w:kern w:val="0"/>
          <w:sz w:val="24"/>
        </w:rPr>
        <w:t xml:space="preserve">1.1 </w:t>
      </w:r>
      <w:r w:rsidRPr="00A3398F">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EE1749" w:rsidRPr="00A3398F" w:rsidTr="00EE1749">
        <w:tc>
          <w:tcPr>
            <w:tcW w:w="959"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资产净值</w:t>
            </w:r>
            <w:r w:rsidRPr="00A3398F">
              <w:rPr>
                <w:rFonts w:eastAsiaTheme="minorEastAsia"/>
                <w:color w:val="000000"/>
                <w:szCs w:val="21"/>
              </w:rPr>
              <w:t>(</w:t>
            </w:r>
            <w:r w:rsidRPr="00A3398F">
              <w:rPr>
                <w:rFonts w:eastAsiaTheme="minorEastAsia"/>
                <w:color w:val="000000"/>
                <w:szCs w:val="21"/>
              </w:rPr>
              <w:t>元</w:t>
            </w: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任职时间</w:t>
            </w:r>
          </w:p>
        </w:tc>
      </w:tr>
      <w:tr w:rsidR="00EE1749" w:rsidRPr="00A3398F" w:rsidTr="00EE1749">
        <w:tc>
          <w:tcPr>
            <w:tcW w:w="959" w:type="dxa"/>
            <w:vMerge w:val="restart"/>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8,269,898,674.74</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2008-03-08</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31,398,792.44</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2021-07-09</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8,301,297,467.18</w:t>
            </w:r>
          </w:p>
        </w:tc>
        <w:tc>
          <w:tcPr>
            <w:tcW w:w="1381" w:type="dxa"/>
            <w:tcBorders>
              <w:top w:val="single" w:sz="4" w:space="0" w:color="auto"/>
              <w:left w:val="single" w:sz="4" w:space="0" w:color="auto"/>
              <w:bottom w:val="single" w:sz="4" w:space="0" w:color="auto"/>
              <w:right w:val="single" w:sz="4" w:space="0" w:color="auto"/>
            </w:tcBorders>
          </w:tcPr>
          <w:p w:rsidR="00EE1749" w:rsidRPr="00A3398F" w:rsidRDefault="00EE1749">
            <w:pPr>
              <w:spacing w:line="288" w:lineRule="auto"/>
              <w:jc w:val="left"/>
              <w:rPr>
                <w:rFonts w:eastAsiaTheme="minorEastAsia"/>
                <w:color w:val="000000"/>
                <w:szCs w:val="21"/>
              </w:rPr>
            </w:pPr>
          </w:p>
        </w:tc>
      </w:tr>
      <w:bookmarkEnd w:id="2"/>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F077D2" w:rsidRPr="00A3398F">
        <w:rPr>
          <w:rFonts w:eastAsiaTheme="minorEastAsia"/>
          <w:b/>
          <w:color w:val="000000" w:themeColor="text1"/>
          <w:kern w:val="0"/>
          <w:sz w:val="24"/>
        </w:rPr>
        <w:t>2</w:t>
      </w:r>
      <w:r w:rsidR="00A32FDA"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273"/>
        <w:gridCol w:w="2101"/>
        <w:gridCol w:w="738"/>
        <w:gridCol w:w="4401"/>
      </w:tblGrid>
      <w:tr w:rsidR="008277FF" w:rsidRPr="00A3398F" w:rsidTr="00797DD2">
        <w:tc>
          <w:tcPr>
            <w:tcW w:w="2129"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在境外投资顾问所任职务</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9B566F">
        <w:tc>
          <w:tcPr>
            <w:tcW w:w="0" w:type="auto"/>
            <w:vAlign w:val="center"/>
          </w:tcPr>
          <w:p w:rsidR="009B566F" w:rsidRDefault="00190F9A">
            <w:pPr>
              <w:jc w:val="center"/>
            </w:pPr>
            <w:r>
              <w:rPr>
                <w:rFonts w:eastAsiaTheme="minorEastAsia"/>
                <w:color w:val="000000" w:themeColor="text1"/>
                <w:szCs w:val="21"/>
              </w:rPr>
              <w:t>Blake Crawford</w:t>
            </w:r>
          </w:p>
        </w:tc>
        <w:tc>
          <w:tcPr>
            <w:tcW w:w="0" w:type="auto"/>
            <w:vAlign w:val="center"/>
          </w:tcPr>
          <w:p w:rsidR="009B566F" w:rsidRDefault="00190F9A">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w:t>
            </w:r>
            <w:r>
              <w:rPr>
                <w:rFonts w:eastAsiaTheme="minorEastAsia"/>
                <w:color w:val="000000" w:themeColor="text1"/>
                <w:szCs w:val="21"/>
              </w:rPr>
              <w:lastRenderedPageBreak/>
              <w:t>管理国际股票团队中不受限投资组合子团队的投资经理</w:t>
            </w:r>
          </w:p>
        </w:tc>
        <w:tc>
          <w:tcPr>
            <w:tcW w:w="0" w:type="auto"/>
            <w:vAlign w:val="center"/>
          </w:tcPr>
          <w:p w:rsidR="009B566F" w:rsidRDefault="00190F9A">
            <w:pPr>
              <w:jc w:val="center"/>
            </w:pPr>
            <w:r>
              <w:rPr>
                <w:rFonts w:eastAsiaTheme="minorEastAsia"/>
                <w:color w:val="000000" w:themeColor="text1"/>
                <w:szCs w:val="21"/>
              </w:rPr>
              <w:lastRenderedPageBreak/>
              <w:t>15</w:t>
            </w:r>
            <w:r>
              <w:rPr>
                <w:rFonts w:eastAsiaTheme="minorEastAsia"/>
                <w:color w:val="000000" w:themeColor="text1"/>
                <w:szCs w:val="21"/>
              </w:rPr>
              <w:t>年</w:t>
            </w:r>
          </w:p>
        </w:tc>
        <w:tc>
          <w:tcPr>
            <w:tcW w:w="0" w:type="auto"/>
            <w:vAlign w:val="center"/>
          </w:tcPr>
          <w:p w:rsidR="009B566F" w:rsidRDefault="00190F9A">
            <w:pPr>
              <w:jc w:val="left"/>
            </w:pPr>
            <w:r>
              <w:rPr>
                <w:rFonts w:eastAsiaTheme="minorEastAsia"/>
                <w:color w:val="000000" w:themeColor="text1"/>
                <w:szCs w:val="21"/>
              </w:rPr>
              <w:t>Blake Crawford</w:t>
            </w:r>
            <w:r>
              <w:rPr>
                <w:rFonts w:eastAsiaTheme="minorEastAsia"/>
                <w:color w:val="000000" w:themeColor="text1"/>
                <w:szCs w:val="21"/>
              </w:rPr>
              <w:t>，执行董事，是摩根资产管理国际股票团队的投资经理。在</w:t>
            </w:r>
            <w:r>
              <w:rPr>
                <w:rFonts w:eastAsiaTheme="minorEastAsia"/>
                <w:color w:val="000000" w:themeColor="text1"/>
                <w:szCs w:val="21"/>
              </w:rPr>
              <w:t>2008</w:t>
            </w:r>
            <w:r>
              <w:rPr>
                <w:rFonts w:eastAsiaTheme="minorEastAsia"/>
                <w:color w:val="000000" w:themeColor="text1"/>
                <w:szCs w:val="21"/>
              </w:rPr>
              <w:t>年作为管理</w:t>
            </w:r>
            <w:r>
              <w:rPr>
                <w:rFonts w:eastAsiaTheme="minorEastAsia"/>
                <w:color w:val="000000" w:themeColor="text1"/>
                <w:szCs w:val="21"/>
              </w:rPr>
              <w:lastRenderedPageBreak/>
              <w:t>培训生加入公司。</w:t>
            </w:r>
            <w:r>
              <w:rPr>
                <w:rFonts w:eastAsiaTheme="minorEastAsia"/>
                <w:color w:val="000000" w:themeColor="text1"/>
                <w:szCs w:val="21"/>
              </w:rPr>
              <w:t>Blake</w:t>
            </w:r>
            <w:r>
              <w:rPr>
                <w:rFonts w:eastAsiaTheme="minorEastAsia"/>
                <w:color w:val="000000" w:themeColor="text1"/>
                <w:szCs w:val="21"/>
              </w:rPr>
              <w:t>拥有巴斯大学的经济学学士学位，同时也是特许金融分析师。</w:t>
            </w:r>
          </w:p>
        </w:tc>
      </w:tr>
      <w:tr w:rsidR="009B566F">
        <w:tc>
          <w:tcPr>
            <w:tcW w:w="0" w:type="auto"/>
            <w:vAlign w:val="center"/>
          </w:tcPr>
          <w:p w:rsidR="009B566F" w:rsidRDefault="00190F9A">
            <w:pPr>
              <w:jc w:val="center"/>
            </w:pPr>
            <w:r>
              <w:rPr>
                <w:rFonts w:eastAsiaTheme="minorEastAsia"/>
                <w:color w:val="000000" w:themeColor="text1"/>
                <w:szCs w:val="21"/>
              </w:rPr>
              <w:lastRenderedPageBreak/>
              <w:t>Alexander Whyte</w:t>
            </w:r>
          </w:p>
        </w:tc>
        <w:tc>
          <w:tcPr>
            <w:tcW w:w="0" w:type="auto"/>
            <w:vAlign w:val="center"/>
          </w:tcPr>
          <w:p w:rsidR="009B566F" w:rsidRDefault="00190F9A">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0" w:type="auto"/>
            <w:vAlign w:val="center"/>
          </w:tcPr>
          <w:p w:rsidR="009B566F" w:rsidRDefault="00190F9A">
            <w:pPr>
              <w:jc w:val="center"/>
            </w:pPr>
            <w:r>
              <w:rPr>
                <w:rFonts w:eastAsiaTheme="minorEastAsia"/>
                <w:color w:val="000000" w:themeColor="text1"/>
                <w:szCs w:val="21"/>
              </w:rPr>
              <w:t>10</w:t>
            </w:r>
            <w:r>
              <w:rPr>
                <w:rFonts w:eastAsiaTheme="minorEastAsia"/>
                <w:color w:val="000000" w:themeColor="text1"/>
                <w:szCs w:val="21"/>
              </w:rPr>
              <w:t>年</w:t>
            </w:r>
          </w:p>
        </w:tc>
        <w:tc>
          <w:tcPr>
            <w:tcW w:w="0" w:type="auto"/>
            <w:vAlign w:val="center"/>
          </w:tcPr>
          <w:p w:rsidR="009B566F" w:rsidRDefault="00190F9A">
            <w:pPr>
              <w:jc w:val="left"/>
            </w:pPr>
            <w:r>
              <w:rPr>
                <w:rFonts w:eastAsiaTheme="minorEastAsia"/>
                <w:color w:val="000000" w:themeColor="text1"/>
                <w:szCs w:val="21"/>
              </w:rPr>
              <w:t>Alexander Whyte</w:t>
            </w:r>
            <w:r>
              <w:rPr>
                <w:rFonts w:eastAsiaTheme="minorEastAsia"/>
                <w:color w:val="000000" w:themeColor="text1"/>
                <w:szCs w:val="21"/>
              </w:rPr>
              <w:t>，执行董事，是摩根资产管理国际股票团队的投资经理。</w:t>
            </w:r>
            <w:r>
              <w:rPr>
                <w:rFonts w:eastAsiaTheme="minorEastAsia"/>
                <w:color w:val="000000" w:themeColor="text1"/>
                <w:szCs w:val="21"/>
              </w:rPr>
              <w:t>Alex</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Alex</w:t>
            </w:r>
            <w:r>
              <w:rPr>
                <w:rFonts w:eastAsiaTheme="minorEastAsia"/>
                <w:color w:val="000000" w:themeColor="text1"/>
                <w:szCs w:val="21"/>
              </w:rPr>
              <w:t>拥有剑桥大学的机械工程学士学位和硕士学位，并且是特许金融分析师。</w:t>
            </w:r>
          </w:p>
        </w:tc>
      </w:tr>
      <w:tr w:rsidR="009B566F">
        <w:tc>
          <w:tcPr>
            <w:tcW w:w="0" w:type="auto"/>
            <w:vAlign w:val="center"/>
          </w:tcPr>
          <w:p w:rsidR="009B566F" w:rsidRDefault="00190F9A">
            <w:pPr>
              <w:jc w:val="center"/>
            </w:pPr>
            <w:r>
              <w:rPr>
                <w:rFonts w:eastAsiaTheme="minorEastAsia"/>
                <w:color w:val="000000" w:themeColor="text1"/>
                <w:szCs w:val="21"/>
              </w:rPr>
              <w:t>Victoria Helvert</w:t>
            </w:r>
          </w:p>
        </w:tc>
        <w:tc>
          <w:tcPr>
            <w:tcW w:w="0" w:type="auto"/>
            <w:vAlign w:val="center"/>
          </w:tcPr>
          <w:p w:rsidR="009B566F" w:rsidRDefault="00190F9A">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副总裁，摩根资产管理国际股票团队投资经理</w:t>
            </w:r>
          </w:p>
        </w:tc>
        <w:tc>
          <w:tcPr>
            <w:tcW w:w="0" w:type="auto"/>
            <w:vAlign w:val="center"/>
          </w:tcPr>
          <w:p w:rsidR="009B566F" w:rsidRDefault="00190F9A">
            <w:pPr>
              <w:jc w:val="center"/>
            </w:pPr>
            <w:r>
              <w:rPr>
                <w:rFonts w:eastAsiaTheme="minorEastAsia"/>
                <w:color w:val="000000" w:themeColor="text1"/>
                <w:szCs w:val="21"/>
              </w:rPr>
              <w:t>10</w:t>
            </w:r>
            <w:r>
              <w:rPr>
                <w:rFonts w:eastAsiaTheme="minorEastAsia"/>
                <w:color w:val="000000" w:themeColor="text1"/>
                <w:szCs w:val="21"/>
              </w:rPr>
              <w:t>年</w:t>
            </w:r>
          </w:p>
        </w:tc>
        <w:tc>
          <w:tcPr>
            <w:tcW w:w="0" w:type="auto"/>
            <w:vAlign w:val="center"/>
          </w:tcPr>
          <w:p w:rsidR="009B566F" w:rsidRDefault="00190F9A">
            <w:pPr>
              <w:jc w:val="left"/>
            </w:pPr>
            <w:r>
              <w:rPr>
                <w:rFonts w:eastAsiaTheme="minorEastAsia"/>
                <w:color w:val="000000" w:themeColor="text1"/>
                <w:szCs w:val="21"/>
              </w:rPr>
              <w:t>Victoria Helvert</w:t>
            </w:r>
            <w:r>
              <w:rPr>
                <w:rFonts w:eastAsiaTheme="minorEastAsia"/>
                <w:color w:val="000000" w:themeColor="text1"/>
                <w:szCs w:val="21"/>
              </w:rPr>
              <w:t>，副总裁，是摩根资产管理国际股票团队的投资经理。</w:t>
            </w:r>
            <w:r>
              <w:rPr>
                <w:rFonts w:eastAsiaTheme="minorEastAsia"/>
                <w:color w:val="000000" w:themeColor="text1"/>
                <w:szCs w:val="21"/>
              </w:rPr>
              <w:t>Victoria</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Victoria</w:t>
            </w:r>
            <w:r>
              <w:rPr>
                <w:rFonts w:eastAsiaTheme="minorEastAsia"/>
                <w:color w:val="000000" w:themeColor="text1"/>
                <w:szCs w:val="21"/>
              </w:rPr>
              <w:t>拥有杜伦大学的经济学学士学位，并且是英格兰及威尔士特许会计师</w:t>
            </w:r>
            <w:r>
              <w:rPr>
                <w:rFonts w:eastAsiaTheme="minorEastAsia"/>
                <w:color w:val="000000" w:themeColor="text1"/>
                <w:szCs w:val="21"/>
              </w:rPr>
              <w:t>(ACA)</w:t>
            </w:r>
            <w:r>
              <w:rPr>
                <w:rFonts w:eastAsiaTheme="minorEastAsia"/>
                <w:color w:val="000000" w:themeColor="text1"/>
                <w:szCs w:val="21"/>
              </w:rPr>
              <w:t>。</w:t>
            </w:r>
          </w:p>
        </w:tc>
      </w:tr>
    </w:tbl>
    <w:p w:rsidR="00FB47E0" w:rsidRPr="00A3398F"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3</w:t>
      </w:r>
      <w:r w:rsidR="003508B0" w:rsidRPr="00A3398F">
        <w:rPr>
          <w:b/>
          <w:color w:val="000000"/>
          <w:sz w:val="24"/>
          <w:shd w:val="clear" w:color="auto" w:fill="FFFFFF"/>
        </w:rPr>
        <w:t>管理人对报告期内本基金运作遵规守信情况的说明</w:t>
      </w:r>
    </w:p>
    <w:p w:rsidR="00363E15" w:rsidRPr="00A3398F" w:rsidRDefault="00363E15"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4</w:t>
      </w:r>
      <w:r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公平交易专项说明</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4.1</w:t>
      </w:r>
      <w:r w:rsidRPr="00A3398F">
        <w:rPr>
          <w:rFonts w:eastAsiaTheme="minorEastAsia"/>
          <w:color w:val="000000" w:themeColor="text1"/>
          <w:sz w:val="24"/>
        </w:rPr>
        <w:t>公平交易制度的执行情况</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报告期内，通过对不同投资组合之间的收益率差异比较、对同向交易和反向交易的交易</w:t>
      </w:r>
      <w:r w:rsidRPr="00A3398F">
        <w:rPr>
          <w:rFonts w:eastAsiaTheme="minorEastAsia"/>
          <w:color w:val="000000" w:themeColor="text1"/>
          <w:szCs w:val="21"/>
        </w:rPr>
        <w:lastRenderedPageBreak/>
        <w:t>时机和交易价差监控分析，未发现整体公平交易执行出现异常的情况。</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w:t>
      </w:r>
      <w:r w:rsidRPr="00A3398F">
        <w:rPr>
          <w:rFonts w:eastAsiaTheme="minorEastAsia"/>
          <w:color w:val="000000" w:themeColor="text1"/>
          <w:sz w:val="24"/>
        </w:rPr>
        <w:t>.</w:t>
      </w:r>
      <w:r w:rsidR="00A32FDA" w:rsidRPr="00A3398F">
        <w:rPr>
          <w:rFonts w:eastAsiaTheme="minorEastAsia"/>
          <w:color w:val="000000" w:themeColor="text1"/>
          <w:sz w:val="24"/>
        </w:rPr>
        <w:t>2</w:t>
      </w:r>
      <w:r w:rsidRPr="00A3398F">
        <w:rPr>
          <w:rFonts w:eastAsiaTheme="minorEastAsia"/>
          <w:color w:val="000000" w:themeColor="text1"/>
          <w:sz w:val="24"/>
        </w:rPr>
        <w:t>异常交易行为的专项说明</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所有投资组合参与的交易所公开竞价同日反向交易成交较少的单边交易量超过该证券当日成交量的</w:t>
      </w:r>
      <w:r w:rsidRPr="00A3398F">
        <w:rPr>
          <w:rFonts w:eastAsiaTheme="minorEastAsia"/>
          <w:color w:val="000000" w:themeColor="text1"/>
          <w:szCs w:val="21"/>
        </w:rPr>
        <w:t>5%</w:t>
      </w:r>
      <w:r w:rsidRPr="00A3398F">
        <w:rPr>
          <w:rFonts w:eastAsiaTheme="minorEastAsia"/>
          <w:color w:val="000000" w:themeColor="text1"/>
          <w:szCs w:val="21"/>
        </w:rPr>
        <w:t>的情形：无。</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EF4716" w:rsidRPr="00A3398F" w:rsidRDefault="00EF4716" w:rsidP="00EF4716">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4.5 </w:t>
      </w:r>
      <w:r w:rsidRPr="00A3398F">
        <w:rPr>
          <w:rFonts w:eastAsiaTheme="minorEastAsia"/>
          <w:b/>
          <w:color w:val="000000" w:themeColor="text1"/>
          <w:kern w:val="0"/>
          <w:sz w:val="24"/>
        </w:rPr>
        <w:t>报告期内基金的投资策略和业绩表现说明</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报告期内，欧洲股市指数在强劲的经济数据和相对强劲的企业盈利推动下上涨。</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欧元区</w:t>
      </w:r>
      <w:r>
        <w:rPr>
          <w:rFonts w:eastAsiaTheme="minorEastAsia"/>
          <w:color w:val="000000" w:themeColor="text1"/>
          <w:szCs w:val="21"/>
        </w:rPr>
        <w:t>2</w:t>
      </w:r>
      <w:r>
        <w:rPr>
          <w:rFonts w:eastAsiaTheme="minorEastAsia"/>
          <w:color w:val="000000" w:themeColor="text1"/>
          <w:szCs w:val="21"/>
        </w:rPr>
        <w:t>月综合采购经理人指数</w:t>
      </w:r>
      <w:r>
        <w:rPr>
          <w:rFonts w:eastAsiaTheme="minorEastAsia"/>
          <w:color w:val="000000" w:themeColor="text1"/>
          <w:szCs w:val="21"/>
        </w:rPr>
        <w:t xml:space="preserve"> (PMI) </w:t>
      </w:r>
      <w:r>
        <w:rPr>
          <w:rFonts w:eastAsiaTheme="minorEastAsia"/>
          <w:color w:val="000000" w:themeColor="text1"/>
          <w:szCs w:val="21"/>
        </w:rPr>
        <w:t>由</w:t>
      </w:r>
      <w:r>
        <w:rPr>
          <w:rFonts w:eastAsiaTheme="minorEastAsia"/>
          <w:color w:val="000000" w:themeColor="text1"/>
          <w:szCs w:val="21"/>
        </w:rPr>
        <w:t>1</w:t>
      </w:r>
      <w:r>
        <w:rPr>
          <w:rFonts w:eastAsiaTheme="minorEastAsia"/>
          <w:color w:val="000000" w:themeColor="text1"/>
          <w:szCs w:val="21"/>
        </w:rPr>
        <w:t>月的</w:t>
      </w:r>
      <w:r>
        <w:rPr>
          <w:rFonts w:eastAsiaTheme="minorEastAsia"/>
          <w:color w:val="000000" w:themeColor="text1"/>
          <w:szCs w:val="21"/>
        </w:rPr>
        <w:t>47.9</w:t>
      </w:r>
      <w:r>
        <w:rPr>
          <w:rFonts w:eastAsiaTheme="minorEastAsia"/>
          <w:color w:val="000000" w:themeColor="text1"/>
          <w:szCs w:val="21"/>
        </w:rPr>
        <w:t>升至</w:t>
      </w:r>
      <w:r>
        <w:rPr>
          <w:rFonts w:eastAsiaTheme="minorEastAsia"/>
          <w:color w:val="000000" w:themeColor="text1"/>
          <w:szCs w:val="21"/>
        </w:rPr>
        <w:t>48.9</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月最新数据表明产出连续第九个月下降，新订单的流入继续下降，而就业水平连续第二个月上升。此外，商业信心连续第五个月改善，升至去年</w:t>
      </w:r>
      <w:r>
        <w:rPr>
          <w:rFonts w:eastAsiaTheme="minorEastAsia"/>
          <w:color w:val="000000" w:themeColor="text1"/>
          <w:szCs w:val="21"/>
        </w:rPr>
        <w:t>4</w:t>
      </w:r>
      <w:r>
        <w:rPr>
          <w:rFonts w:eastAsiaTheme="minorEastAsia"/>
          <w:color w:val="000000" w:themeColor="text1"/>
          <w:szCs w:val="21"/>
        </w:rPr>
        <w:t>月以来的最高水平。消费者信心指数上升，主要归功于消费者对其家庭财务状况和进行重大购买的意图的负面看法减少。</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欧盟委员会表示，欧盟经济进入</w:t>
      </w:r>
      <w:r>
        <w:rPr>
          <w:rFonts w:eastAsiaTheme="minorEastAsia"/>
          <w:color w:val="000000" w:themeColor="text1"/>
          <w:szCs w:val="21"/>
        </w:rPr>
        <w:t>2024</w:t>
      </w:r>
      <w:r>
        <w:rPr>
          <w:rFonts w:eastAsiaTheme="minorEastAsia"/>
          <w:color w:val="000000" w:themeColor="text1"/>
          <w:szCs w:val="21"/>
        </w:rPr>
        <w:t>的基础弱于预期，并将今年的增长前景下调了</w:t>
      </w:r>
      <w:r>
        <w:rPr>
          <w:rFonts w:eastAsiaTheme="minorEastAsia"/>
          <w:color w:val="000000" w:themeColor="text1"/>
          <w:szCs w:val="21"/>
        </w:rPr>
        <w:t xml:space="preserve">0.4% </w:t>
      </w:r>
      <w:r>
        <w:rPr>
          <w:rFonts w:eastAsiaTheme="minorEastAsia"/>
          <w:color w:val="000000" w:themeColor="text1"/>
          <w:szCs w:val="21"/>
        </w:rPr>
        <w:t>至</w:t>
      </w:r>
      <w:r>
        <w:rPr>
          <w:rFonts w:eastAsiaTheme="minorEastAsia"/>
          <w:color w:val="000000" w:themeColor="text1"/>
          <w:szCs w:val="21"/>
        </w:rPr>
        <w:t>0.8%</w:t>
      </w:r>
      <w:r>
        <w:rPr>
          <w:rFonts w:eastAsiaTheme="minorEastAsia"/>
          <w:color w:val="000000" w:themeColor="text1"/>
          <w:szCs w:val="21"/>
        </w:rPr>
        <w:t>。此外，欧盟委员会将整体通胀预测下调至</w:t>
      </w:r>
      <w:r>
        <w:rPr>
          <w:rFonts w:eastAsiaTheme="minorEastAsia"/>
          <w:color w:val="000000" w:themeColor="text1"/>
          <w:szCs w:val="21"/>
        </w:rPr>
        <w:t>2024</w:t>
      </w:r>
      <w:r>
        <w:rPr>
          <w:rFonts w:eastAsiaTheme="minorEastAsia"/>
          <w:color w:val="000000" w:themeColor="text1"/>
          <w:szCs w:val="21"/>
        </w:rPr>
        <w:t>年的</w:t>
      </w:r>
      <w:r>
        <w:rPr>
          <w:rFonts w:eastAsiaTheme="minorEastAsia"/>
          <w:color w:val="000000" w:themeColor="text1"/>
          <w:szCs w:val="21"/>
        </w:rPr>
        <w:t>2.7%</w:t>
      </w:r>
      <w:r>
        <w:rPr>
          <w:rFonts w:eastAsiaTheme="minorEastAsia"/>
          <w:color w:val="000000" w:themeColor="text1"/>
          <w:szCs w:val="21"/>
        </w:rPr>
        <w:t>，</w:t>
      </w:r>
      <w:r>
        <w:rPr>
          <w:rFonts w:eastAsiaTheme="minorEastAsia"/>
          <w:color w:val="000000" w:themeColor="text1"/>
          <w:szCs w:val="21"/>
        </w:rPr>
        <w:t>2025</w:t>
      </w:r>
      <w:r>
        <w:rPr>
          <w:rFonts w:eastAsiaTheme="minorEastAsia"/>
          <w:color w:val="000000" w:themeColor="text1"/>
          <w:szCs w:val="21"/>
        </w:rPr>
        <w:t>年的</w:t>
      </w:r>
      <w:r>
        <w:rPr>
          <w:rFonts w:eastAsiaTheme="minorEastAsia"/>
          <w:color w:val="000000" w:themeColor="text1"/>
          <w:szCs w:val="21"/>
        </w:rPr>
        <w:t>2.2%</w:t>
      </w:r>
      <w:r>
        <w:rPr>
          <w:rFonts w:eastAsiaTheme="minorEastAsia"/>
          <w:color w:val="000000" w:themeColor="text1"/>
          <w:szCs w:val="21"/>
        </w:rPr>
        <w:t>。欧洲央行</w:t>
      </w:r>
      <w:r>
        <w:rPr>
          <w:rFonts w:eastAsiaTheme="minorEastAsia"/>
          <w:color w:val="000000" w:themeColor="text1"/>
          <w:szCs w:val="21"/>
        </w:rPr>
        <w:t xml:space="preserve"> (ECB) </w:t>
      </w:r>
      <w:r>
        <w:rPr>
          <w:rFonts w:eastAsiaTheme="minorEastAsia"/>
          <w:color w:val="000000" w:themeColor="text1"/>
          <w:szCs w:val="21"/>
        </w:rPr>
        <w:t>表示可以考虑开始降息，而瑞士央行的率先降息行动，进一步增强了投资者对欧洲央行可能早于美联储降息的预期。</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展望后市，稳健的经济活动和通胀预期下降相结合的宏观背景，指向经济有望实现软着陆和早于预期的降息前景。</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然而，我们更应该注意到，虽然通胀正在放缓，并接近央行中长期目标区间，对今年出现降息持乐观态度，但全球经济面临的风险肯定没有消失。经济指标和利润的变化还是不确定的，后疫情时代的经济的动态和企业利润的异常增长仍然很复杂，使预测异常困难。</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欧洲股市的估值低于美国股市，这一估值折扣使得欧洲股票市场可以提供相对美股同样质量和增长水平下较高性价比的投资选择。欧洲上市企业回购股票的意愿和数量明显比过去多了起来。</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总而言之，由于经济</w:t>
      </w:r>
      <w:r>
        <w:rPr>
          <w:rFonts w:eastAsiaTheme="minorEastAsia"/>
          <w:color w:val="000000" w:themeColor="text1"/>
          <w:szCs w:val="21"/>
        </w:rPr>
        <w:t>2024</w:t>
      </w:r>
      <w:r>
        <w:rPr>
          <w:rFonts w:eastAsiaTheme="minorEastAsia"/>
          <w:color w:val="000000" w:themeColor="text1"/>
          <w:szCs w:val="21"/>
        </w:rPr>
        <w:t>年道路的不确定性仍然很高，因此本基金维持多元化的配置。经济软着陆可能有利于欧洲和新兴市场等更多周期性地区，而在经济更大幅度下滑的情况下，英国市场更具防御性的特征可能会脱颖而出。我们对股票市场的选股标准是专注于高质量的股票</w:t>
      </w:r>
      <w:r>
        <w:rPr>
          <w:rFonts w:eastAsiaTheme="minorEastAsia"/>
          <w:color w:val="000000" w:themeColor="text1"/>
          <w:szCs w:val="21"/>
        </w:rPr>
        <w:t>——</w:t>
      </w:r>
      <w:r>
        <w:rPr>
          <w:rFonts w:eastAsiaTheme="minorEastAsia"/>
          <w:color w:val="000000" w:themeColor="text1"/>
          <w:szCs w:val="21"/>
        </w:rPr>
        <w:t>那些拥有稳健的资产负债表，成熟的管理团队以及更强的捍卫利润能力的股票。其中一些会出现在科技行业、工业和金融等周期性较强的行业，以及医疗保健等传统防御性行</w:t>
      </w:r>
      <w:r>
        <w:rPr>
          <w:rFonts w:eastAsiaTheme="minorEastAsia"/>
          <w:color w:val="000000" w:themeColor="text1"/>
          <w:szCs w:val="21"/>
        </w:rPr>
        <w:lastRenderedPageBreak/>
        <w:t>业。</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w:t>
      </w:r>
      <w:r w:rsidR="00C94DF6" w:rsidRPr="00C94DF6">
        <w:rPr>
          <w:rFonts w:eastAsiaTheme="minorEastAsia"/>
          <w:color w:val="000000" w:themeColor="text1"/>
          <w:szCs w:val="21"/>
        </w:rPr>
        <w:t xml:space="preserve"> </w:t>
      </w:r>
      <w:r w:rsidR="00C94DF6">
        <w:rPr>
          <w:rFonts w:eastAsiaTheme="minorEastAsia"/>
          <w:color w:val="000000" w:themeColor="text1"/>
          <w:szCs w:val="21"/>
        </w:rPr>
        <w:t>5.68</w:t>
      </w:r>
      <w:r>
        <w:rPr>
          <w:rFonts w:eastAsiaTheme="minorEastAsia"/>
          <w:color w:val="000000" w:themeColor="text1"/>
          <w:szCs w:val="21"/>
        </w:rPr>
        <w:t>%</w:t>
      </w:r>
      <w:r>
        <w:rPr>
          <w:rFonts w:eastAsiaTheme="minorEastAsia"/>
          <w:color w:val="000000" w:themeColor="text1"/>
          <w:szCs w:val="21"/>
        </w:rPr>
        <w:t>，同期业绩比较基准收益率为</w:t>
      </w:r>
      <w:r>
        <w:rPr>
          <w:rFonts w:eastAsiaTheme="minorEastAsia"/>
          <w:color w:val="000000" w:themeColor="text1"/>
          <w:szCs w:val="21"/>
        </w:rPr>
        <w:t>:4.88%</w:t>
      </w:r>
      <w:r>
        <w:rPr>
          <w:rFonts w:eastAsiaTheme="minorEastAsia"/>
          <w:color w:val="000000" w:themeColor="text1"/>
          <w:szCs w:val="21"/>
        </w:rPr>
        <w:t>。</w:t>
      </w:r>
    </w:p>
    <w:p w:rsidR="00EF4716" w:rsidRPr="00A3398F" w:rsidRDefault="00EF4716" w:rsidP="00EF4716">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本报告期本基金</w:t>
      </w:r>
      <w:r w:rsidRPr="00A3398F">
        <w:rPr>
          <w:rFonts w:eastAsiaTheme="minorEastAsia"/>
          <w:color w:val="000000" w:themeColor="text1"/>
          <w:szCs w:val="21"/>
        </w:rPr>
        <w:t>C</w:t>
      </w:r>
      <w:r w:rsidRPr="00A3398F">
        <w:rPr>
          <w:rFonts w:eastAsiaTheme="minorEastAsia"/>
          <w:color w:val="000000" w:themeColor="text1"/>
          <w:szCs w:val="21"/>
        </w:rPr>
        <w:t>份额净值增长率为</w:t>
      </w:r>
      <w:r w:rsidRPr="00A3398F">
        <w:rPr>
          <w:rFonts w:eastAsiaTheme="minorEastAsia"/>
          <w:color w:val="000000" w:themeColor="text1"/>
          <w:szCs w:val="21"/>
        </w:rPr>
        <w:t>:</w:t>
      </w:r>
      <w:r w:rsidR="00C94DF6" w:rsidRPr="00C94DF6">
        <w:rPr>
          <w:rFonts w:eastAsiaTheme="minorEastAsia"/>
          <w:color w:val="000000" w:themeColor="text1"/>
          <w:szCs w:val="21"/>
        </w:rPr>
        <w:t xml:space="preserve"> </w:t>
      </w:r>
      <w:r w:rsidR="00C94DF6" w:rsidRPr="00A3398F">
        <w:rPr>
          <w:rFonts w:eastAsiaTheme="minorEastAsia"/>
          <w:color w:val="000000" w:themeColor="text1"/>
          <w:szCs w:val="21"/>
        </w:rPr>
        <w:t>5.59</w:t>
      </w:r>
      <w:r w:rsidRPr="00A3398F">
        <w:rPr>
          <w:rFonts w:eastAsiaTheme="minorEastAsia"/>
          <w:color w:val="000000" w:themeColor="text1"/>
          <w:szCs w:val="21"/>
        </w:rPr>
        <w:t>%</w:t>
      </w:r>
      <w:r w:rsidRPr="00A3398F">
        <w:rPr>
          <w:rFonts w:eastAsiaTheme="minorEastAsia"/>
          <w:color w:val="000000" w:themeColor="text1"/>
          <w:szCs w:val="21"/>
        </w:rPr>
        <w:t>，同期业绩比较基准收益率为</w:t>
      </w:r>
      <w:r w:rsidRPr="00A3398F">
        <w:rPr>
          <w:rFonts w:eastAsiaTheme="minorEastAsia"/>
          <w:color w:val="000000" w:themeColor="text1"/>
          <w:szCs w:val="21"/>
        </w:rPr>
        <w:t>:4.88%</w:t>
      </w:r>
      <w:r w:rsidRPr="00A3398F">
        <w:rPr>
          <w:rFonts w:eastAsiaTheme="minorEastAsia"/>
          <w:color w:val="000000" w:themeColor="text1"/>
          <w:szCs w:val="21"/>
        </w:rPr>
        <w:t>。</w:t>
      </w:r>
    </w:p>
    <w:p w:rsidR="00C736BB" w:rsidRPr="00A3398F" w:rsidRDefault="00C736BB" w:rsidP="00A70E23">
      <w:pPr>
        <w:spacing w:line="360" w:lineRule="auto"/>
        <w:ind w:firstLineChars="200" w:firstLine="480"/>
        <w:rPr>
          <w:rFonts w:eastAsiaTheme="minorEastAsia"/>
          <w:color w:val="000000" w:themeColor="text1"/>
          <w:sz w:val="24"/>
        </w:rPr>
      </w:pPr>
    </w:p>
    <w:p w:rsidR="00D9766F" w:rsidRPr="00A3398F" w:rsidRDefault="00D9766F" w:rsidP="00D9766F">
      <w:pPr>
        <w:spacing w:line="360" w:lineRule="auto"/>
        <w:rPr>
          <w:rFonts w:eastAsiaTheme="minorEastAsia"/>
          <w:color w:val="000000" w:themeColor="text1"/>
          <w:sz w:val="24"/>
        </w:rPr>
      </w:pPr>
      <w:r w:rsidRPr="00A3398F">
        <w:rPr>
          <w:rFonts w:eastAsiaTheme="minorEastAsia"/>
          <w:b/>
          <w:color w:val="000000" w:themeColor="text1"/>
          <w:kern w:val="0"/>
          <w:sz w:val="24"/>
        </w:rPr>
        <w:t>4.6</w:t>
      </w:r>
      <w:r w:rsidRPr="00A3398F">
        <w:rPr>
          <w:rFonts w:eastAsiaTheme="minorEastAsia"/>
          <w:b/>
          <w:color w:val="000000" w:themeColor="text1"/>
          <w:kern w:val="0"/>
          <w:sz w:val="24"/>
        </w:rPr>
        <w:t>报告期内基金持有人数或基金资产净值预警说明</w:t>
      </w:r>
    </w:p>
    <w:p w:rsidR="00D9766F" w:rsidRPr="00A3398F" w:rsidRDefault="00D9766F" w:rsidP="00D9766F">
      <w:pPr>
        <w:spacing w:line="360" w:lineRule="auto"/>
        <w:ind w:firstLineChars="200" w:firstLine="420"/>
        <w:rPr>
          <w:rFonts w:eastAsiaTheme="minorEastAsia"/>
          <w:color w:val="000000" w:themeColor="text1"/>
          <w:szCs w:val="21"/>
        </w:rPr>
      </w:pPr>
      <w:r w:rsidRPr="00A3398F">
        <w:rPr>
          <w:rFonts w:eastAsiaTheme="minorEastAsia"/>
          <w:color w:val="000000" w:themeColor="text1"/>
          <w:kern w:val="0"/>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§5  </w:t>
      </w:r>
      <w:r w:rsidRPr="00A3398F">
        <w:rPr>
          <w:rFonts w:eastAsiaTheme="minorEastAsia"/>
          <w:color w:val="000000" w:themeColor="text1"/>
          <w:kern w:val="0"/>
          <w:sz w:val="24"/>
          <w:szCs w:val="24"/>
        </w:rPr>
        <w:t>投资组合报告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5.1 </w:t>
      </w:r>
      <w:r w:rsidRPr="00A3398F">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3398F" w:rsidTr="00592EFF">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序号</w:t>
            </w:r>
          </w:p>
        </w:tc>
        <w:tc>
          <w:tcPr>
            <w:tcW w:w="4253"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项目</w:t>
            </w:r>
          </w:p>
        </w:tc>
        <w:tc>
          <w:tcPr>
            <w:tcW w:w="2835"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金额</w:t>
            </w:r>
            <w:r w:rsidRPr="00A3398F">
              <w:rPr>
                <w:rFonts w:eastAsiaTheme="minorEastAsia"/>
                <w:color w:val="000000" w:themeColor="text1"/>
                <w:szCs w:val="21"/>
              </w:rPr>
              <w:t>(</w:t>
            </w:r>
            <w:r w:rsidR="002655D4" w:rsidRPr="00A3398F">
              <w:rPr>
                <w:rFonts w:eastAsiaTheme="minorEastAsia"/>
                <w:color w:val="000000" w:themeColor="text1"/>
                <w:szCs w:val="21"/>
              </w:rPr>
              <w:t>人民币</w:t>
            </w:r>
            <w:r w:rsidRPr="00A3398F">
              <w:rPr>
                <w:rFonts w:eastAsiaTheme="minorEastAsia"/>
                <w:color w:val="000000" w:themeColor="text1"/>
                <w:szCs w:val="21"/>
              </w:rPr>
              <w:t>元</w:t>
            </w:r>
            <w:r w:rsidRPr="00A3398F">
              <w:rPr>
                <w:rFonts w:eastAsiaTheme="minorEastAsia"/>
                <w:color w:val="000000" w:themeColor="text1"/>
                <w:szCs w:val="21"/>
              </w:rPr>
              <w:t>)</w:t>
            </w:r>
          </w:p>
        </w:tc>
        <w:tc>
          <w:tcPr>
            <w:tcW w:w="1559"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占基金总资产的比例</w:t>
            </w: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1</w:t>
            </w: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权益投资</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111,182,445.74</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84.84</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w:t>
            </w:r>
            <w:r w:rsidR="00E462F4" w:rsidRPr="00A3398F">
              <w:rPr>
                <w:rFonts w:eastAsiaTheme="minorEastAsia"/>
                <w:color w:val="000000" w:themeColor="text1"/>
                <w:szCs w:val="21"/>
              </w:rPr>
              <w:t>普通股</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103,782,973.03</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79.20</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存托凭证</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7,399,472.71</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5.65</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优先股</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房地产信托</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t>2</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基金投资</w:t>
            </w:r>
          </w:p>
        </w:tc>
        <w:tc>
          <w:tcPr>
            <w:tcW w:w="2835"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3</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固定收益投资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其中：债券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资产支持证券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4</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金融衍生品投资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其中：远期</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期货</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期权</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298" w:firstLine="626"/>
              <w:rPr>
                <w:rFonts w:eastAsiaTheme="minorEastAsia"/>
                <w:color w:val="000000" w:themeColor="text1"/>
                <w:szCs w:val="21"/>
              </w:rPr>
            </w:pPr>
            <w:r w:rsidRPr="00A3398F">
              <w:rPr>
                <w:rFonts w:eastAsiaTheme="minorEastAsia"/>
                <w:color w:val="000000" w:themeColor="text1"/>
                <w:szCs w:val="21"/>
              </w:rPr>
              <w:t>权证</w:t>
            </w:r>
          </w:p>
        </w:tc>
        <w:tc>
          <w:tcPr>
            <w:tcW w:w="2835"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5</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买入返售金融资产</w:t>
            </w:r>
          </w:p>
        </w:tc>
        <w:tc>
          <w:tcPr>
            <w:tcW w:w="2835"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其中：买断式回购的买入返售金融资产</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lastRenderedPageBreak/>
              <w:t>6</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货币市场工具</w:t>
            </w:r>
          </w:p>
        </w:tc>
        <w:tc>
          <w:tcPr>
            <w:tcW w:w="2835"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7</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银行存款和结算备付金合计</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13,698,597.61</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10.45</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8</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其他各项资产</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6,163,619.19</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4.70</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9</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合计</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131,044,662.54</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100.00</w:t>
            </w:r>
          </w:p>
        </w:tc>
      </w:tr>
    </w:tbl>
    <w:p w:rsidR="00F512C0" w:rsidRPr="00A3398F" w:rsidRDefault="00F512C0" w:rsidP="00363E15">
      <w:pPr>
        <w:autoSpaceDE w:val="0"/>
        <w:autoSpaceDN w:val="0"/>
        <w:adjustRightInd w:val="0"/>
        <w:spacing w:line="360" w:lineRule="auto"/>
        <w:jc w:val="left"/>
        <w:rPr>
          <w:rFonts w:eastAsiaTheme="minorEastAsia"/>
          <w:color w:val="000000" w:themeColor="text1"/>
          <w:szCs w:val="21"/>
        </w:rPr>
      </w:pPr>
    </w:p>
    <w:p w:rsidR="0076518F" w:rsidRPr="00A3398F" w:rsidRDefault="00A82C02"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2</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3398F" w:rsidTr="002C042C">
        <w:trPr>
          <w:jc w:val="center"/>
        </w:trPr>
        <w:tc>
          <w:tcPr>
            <w:tcW w:w="2410"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国家（地区）</w:t>
            </w:r>
          </w:p>
        </w:tc>
        <w:tc>
          <w:tcPr>
            <w:tcW w:w="3118"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公允价值</w:t>
            </w:r>
            <w:r w:rsidRPr="00A3398F">
              <w:rPr>
                <w:rFonts w:eastAsiaTheme="minorEastAsia"/>
                <w:color w:val="000000" w:themeColor="text1"/>
                <w:kern w:val="0"/>
                <w:szCs w:val="21"/>
              </w:rPr>
              <w:t>(</w:t>
            </w:r>
            <w:r w:rsidRPr="00A3398F">
              <w:rPr>
                <w:rFonts w:eastAsiaTheme="minorEastAsia"/>
                <w:color w:val="000000" w:themeColor="text1"/>
                <w:kern w:val="0"/>
                <w:szCs w:val="21"/>
              </w:rPr>
              <w:t>人民币元</w:t>
            </w:r>
            <w:r w:rsidRPr="00A3398F">
              <w:rPr>
                <w:rFonts w:eastAsiaTheme="minorEastAsia"/>
                <w:color w:val="000000" w:themeColor="text1"/>
                <w:kern w:val="0"/>
                <w:szCs w:val="21"/>
              </w:rPr>
              <w:t>)</w:t>
            </w:r>
          </w:p>
        </w:tc>
        <w:tc>
          <w:tcPr>
            <w:tcW w:w="3076" w:type="dxa"/>
            <w:vAlign w:val="center"/>
          </w:tcPr>
          <w:p w:rsidR="002C042C" w:rsidRPr="00A3398F"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占基金资产净值比例（％）</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法国</w:t>
            </w:r>
          </w:p>
        </w:tc>
        <w:tc>
          <w:tcPr>
            <w:tcW w:w="3118" w:type="dxa"/>
            <w:vAlign w:val="center"/>
          </w:tcPr>
          <w:p w:rsidR="009B566F" w:rsidRDefault="00190F9A">
            <w:pPr>
              <w:jc w:val="right"/>
            </w:pPr>
            <w:r>
              <w:rPr>
                <w:rFonts w:eastAsiaTheme="minorEastAsia"/>
                <w:color w:val="000000" w:themeColor="text1"/>
                <w:szCs w:val="21"/>
              </w:rPr>
              <w:t>24,587,844.68</w:t>
            </w:r>
          </w:p>
        </w:tc>
        <w:tc>
          <w:tcPr>
            <w:tcW w:w="3076" w:type="dxa"/>
            <w:vAlign w:val="center"/>
          </w:tcPr>
          <w:p w:rsidR="009B566F" w:rsidRDefault="00190F9A">
            <w:pPr>
              <w:jc w:val="right"/>
            </w:pPr>
            <w:r>
              <w:rPr>
                <w:rFonts w:eastAsiaTheme="minorEastAsia"/>
                <w:color w:val="000000" w:themeColor="text1"/>
                <w:szCs w:val="21"/>
              </w:rPr>
              <w:t>19.42</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英国</w:t>
            </w:r>
          </w:p>
        </w:tc>
        <w:tc>
          <w:tcPr>
            <w:tcW w:w="3118" w:type="dxa"/>
            <w:vAlign w:val="center"/>
          </w:tcPr>
          <w:p w:rsidR="009B566F" w:rsidRDefault="00190F9A">
            <w:pPr>
              <w:jc w:val="right"/>
            </w:pPr>
            <w:r>
              <w:rPr>
                <w:rFonts w:eastAsiaTheme="minorEastAsia"/>
                <w:color w:val="000000" w:themeColor="text1"/>
                <w:szCs w:val="21"/>
              </w:rPr>
              <w:t>24,258,279.41</w:t>
            </w:r>
          </w:p>
        </w:tc>
        <w:tc>
          <w:tcPr>
            <w:tcW w:w="3076" w:type="dxa"/>
            <w:vAlign w:val="center"/>
          </w:tcPr>
          <w:p w:rsidR="009B566F" w:rsidRDefault="00190F9A">
            <w:pPr>
              <w:jc w:val="right"/>
            </w:pPr>
            <w:r>
              <w:rPr>
                <w:rFonts w:eastAsiaTheme="minorEastAsia"/>
                <w:color w:val="000000" w:themeColor="text1"/>
                <w:szCs w:val="21"/>
              </w:rPr>
              <w:t>19.16</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德国</w:t>
            </w:r>
          </w:p>
        </w:tc>
        <w:tc>
          <w:tcPr>
            <w:tcW w:w="3118" w:type="dxa"/>
            <w:vAlign w:val="center"/>
          </w:tcPr>
          <w:p w:rsidR="009B566F" w:rsidRDefault="00190F9A">
            <w:pPr>
              <w:jc w:val="right"/>
            </w:pPr>
            <w:r>
              <w:rPr>
                <w:rFonts w:eastAsiaTheme="minorEastAsia"/>
                <w:color w:val="000000" w:themeColor="text1"/>
                <w:szCs w:val="21"/>
              </w:rPr>
              <w:t>11,413,457.36</w:t>
            </w:r>
          </w:p>
        </w:tc>
        <w:tc>
          <w:tcPr>
            <w:tcW w:w="3076" w:type="dxa"/>
            <w:vAlign w:val="center"/>
          </w:tcPr>
          <w:p w:rsidR="009B566F" w:rsidRDefault="00190F9A">
            <w:pPr>
              <w:jc w:val="right"/>
            </w:pPr>
            <w:r>
              <w:rPr>
                <w:rFonts w:eastAsiaTheme="minorEastAsia"/>
                <w:color w:val="000000" w:themeColor="text1"/>
                <w:szCs w:val="21"/>
              </w:rPr>
              <w:t>9.01</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瑞士</w:t>
            </w:r>
          </w:p>
        </w:tc>
        <w:tc>
          <w:tcPr>
            <w:tcW w:w="3118" w:type="dxa"/>
            <w:vAlign w:val="center"/>
          </w:tcPr>
          <w:p w:rsidR="009B566F" w:rsidRDefault="00190F9A">
            <w:pPr>
              <w:jc w:val="right"/>
            </w:pPr>
            <w:r>
              <w:rPr>
                <w:rFonts w:eastAsiaTheme="minorEastAsia"/>
                <w:color w:val="000000" w:themeColor="text1"/>
                <w:szCs w:val="21"/>
              </w:rPr>
              <w:t>10,379,229.99</w:t>
            </w:r>
          </w:p>
        </w:tc>
        <w:tc>
          <w:tcPr>
            <w:tcW w:w="3076" w:type="dxa"/>
            <w:vAlign w:val="center"/>
          </w:tcPr>
          <w:p w:rsidR="009B566F" w:rsidRDefault="00190F9A">
            <w:pPr>
              <w:jc w:val="right"/>
            </w:pPr>
            <w:r>
              <w:rPr>
                <w:rFonts w:eastAsiaTheme="minorEastAsia"/>
                <w:color w:val="000000" w:themeColor="text1"/>
                <w:szCs w:val="21"/>
              </w:rPr>
              <w:t>8.20</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意大利</w:t>
            </w:r>
          </w:p>
        </w:tc>
        <w:tc>
          <w:tcPr>
            <w:tcW w:w="3118" w:type="dxa"/>
            <w:vAlign w:val="center"/>
          </w:tcPr>
          <w:p w:rsidR="009B566F" w:rsidRDefault="00190F9A">
            <w:pPr>
              <w:jc w:val="right"/>
            </w:pPr>
            <w:r>
              <w:rPr>
                <w:rFonts w:eastAsiaTheme="minorEastAsia"/>
                <w:color w:val="000000" w:themeColor="text1"/>
                <w:szCs w:val="21"/>
              </w:rPr>
              <w:t>8,054,238.15</w:t>
            </w:r>
          </w:p>
        </w:tc>
        <w:tc>
          <w:tcPr>
            <w:tcW w:w="3076" w:type="dxa"/>
            <w:vAlign w:val="center"/>
          </w:tcPr>
          <w:p w:rsidR="009B566F" w:rsidRDefault="00190F9A">
            <w:pPr>
              <w:jc w:val="right"/>
            </w:pPr>
            <w:r>
              <w:rPr>
                <w:rFonts w:eastAsiaTheme="minorEastAsia"/>
                <w:color w:val="000000" w:themeColor="text1"/>
                <w:szCs w:val="21"/>
              </w:rPr>
              <w:t>6.36</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荷兰</w:t>
            </w:r>
          </w:p>
        </w:tc>
        <w:tc>
          <w:tcPr>
            <w:tcW w:w="3118" w:type="dxa"/>
            <w:vAlign w:val="center"/>
          </w:tcPr>
          <w:p w:rsidR="009B566F" w:rsidRDefault="00190F9A">
            <w:pPr>
              <w:jc w:val="right"/>
            </w:pPr>
            <w:r>
              <w:rPr>
                <w:rFonts w:eastAsiaTheme="minorEastAsia"/>
                <w:color w:val="000000" w:themeColor="text1"/>
                <w:szCs w:val="21"/>
              </w:rPr>
              <w:t>7,808,746.43</w:t>
            </w:r>
          </w:p>
        </w:tc>
        <w:tc>
          <w:tcPr>
            <w:tcW w:w="3076" w:type="dxa"/>
            <w:vAlign w:val="center"/>
          </w:tcPr>
          <w:p w:rsidR="009B566F" w:rsidRDefault="00190F9A">
            <w:pPr>
              <w:jc w:val="right"/>
            </w:pPr>
            <w:r>
              <w:rPr>
                <w:rFonts w:eastAsiaTheme="minorEastAsia"/>
                <w:color w:val="000000" w:themeColor="text1"/>
                <w:szCs w:val="21"/>
              </w:rPr>
              <w:t>6.17</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美国</w:t>
            </w:r>
          </w:p>
        </w:tc>
        <w:tc>
          <w:tcPr>
            <w:tcW w:w="3118" w:type="dxa"/>
            <w:vAlign w:val="center"/>
          </w:tcPr>
          <w:p w:rsidR="009B566F" w:rsidRDefault="00190F9A">
            <w:pPr>
              <w:jc w:val="right"/>
            </w:pPr>
            <w:r>
              <w:rPr>
                <w:rFonts w:eastAsiaTheme="minorEastAsia"/>
                <w:color w:val="000000" w:themeColor="text1"/>
                <w:szCs w:val="21"/>
              </w:rPr>
              <w:t>7,399,472.71</w:t>
            </w:r>
          </w:p>
        </w:tc>
        <w:tc>
          <w:tcPr>
            <w:tcW w:w="3076" w:type="dxa"/>
            <w:vAlign w:val="center"/>
          </w:tcPr>
          <w:p w:rsidR="009B566F" w:rsidRDefault="00190F9A">
            <w:pPr>
              <w:jc w:val="right"/>
            </w:pPr>
            <w:r>
              <w:rPr>
                <w:rFonts w:eastAsiaTheme="minorEastAsia"/>
                <w:color w:val="000000" w:themeColor="text1"/>
                <w:szCs w:val="21"/>
              </w:rPr>
              <w:t>5.84</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西班牙</w:t>
            </w:r>
          </w:p>
        </w:tc>
        <w:tc>
          <w:tcPr>
            <w:tcW w:w="3118" w:type="dxa"/>
            <w:vAlign w:val="center"/>
          </w:tcPr>
          <w:p w:rsidR="009B566F" w:rsidRDefault="00190F9A">
            <w:pPr>
              <w:jc w:val="right"/>
            </w:pPr>
            <w:r>
              <w:rPr>
                <w:rFonts w:eastAsiaTheme="minorEastAsia"/>
                <w:color w:val="000000" w:themeColor="text1"/>
                <w:szCs w:val="21"/>
              </w:rPr>
              <w:t>5,760,884.31</w:t>
            </w:r>
          </w:p>
        </w:tc>
        <w:tc>
          <w:tcPr>
            <w:tcW w:w="3076" w:type="dxa"/>
            <w:vAlign w:val="center"/>
          </w:tcPr>
          <w:p w:rsidR="009B566F" w:rsidRDefault="00190F9A">
            <w:pPr>
              <w:jc w:val="right"/>
            </w:pPr>
            <w:r>
              <w:rPr>
                <w:rFonts w:eastAsiaTheme="minorEastAsia"/>
                <w:color w:val="000000" w:themeColor="text1"/>
                <w:szCs w:val="21"/>
              </w:rPr>
              <w:t>4.55</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瑞典</w:t>
            </w:r>
          </w:p>
        </w:tc>
        <w:tc>
          <w:tcPr>
            <w:tcW w:w="3118" w:type="dxa"/>
            <w:vAlign w:val="center"/>
          </w:tcPr>
          <w:p w:rsidR="009B566F" w:rsidRDefault="00190F9A">
            <w:pPr>
              <w:jc w:val="right"/>
            </w:pPr>
            <w:r>
              <w:rPr>
                <w:rFonts w:eastAsiaTheme="minorEastAsia"/>
                <w:color w:val="000000" w:themeColor="text1"/>
                <w:szCs w:val="21"/>
              </w:rPr>
              <w:t>5,098,092.64</w:t>
            </w:r>
          </w:p>
        </w:tc>
        <w:tc>
          <w:tcPr>
            <w:tcW w:w="3076" w:type="dxa"/>
            <w:vAlign w:val="center"/>
          </w:tcPr>
          <w:p w:rsidR="009B566F" w:rsidRDefault="00190F9A">
            <w:pPr>
              <w:jc w:val="right"/>
            </w:pPr>
            <w:r>
              <w:rPr>
                <w:rFonts w:eastAsiaTheme="minorEastAsia"/>
                <w:color w:val="000000" w:themeColor="text1"/>
                <w:szCs w:val="21"/>
              </w:rPr>
              <w:t>4.03</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爱尔兰</w:t>
            </w:r>
          </w:p>
        </w:tc>
        <w:tc>
          <w:tcPr>
            <w:tcW w:w="3118" w:type="dxa"/>
            <w:vAlign w:val="center"/>
          </w:tcPr>
          <w:p w:rsidR="009B566F" w:rsidRDefault="00190F9A">
            <w:pPr>
              <w:jc w:val="right"/>
            </w:pPr>
            <w:r>
              <w:rPr>
                <w:rFonts w:eastAsiaTheme="minorEastAsia"/>
                <w:color w:val="000000" w:themeColor="text1"/>
                <w:szCs w:val="21"/>
              </w:rPr>
              <w:t>3,713,063.10</w:t>
            </w:r>
          </w:p>
        </w:tc>
        <w:tc>
          <w:tcPr>
            <w:tcW w:w="3076" w:type="dxa"/>
            <w:vAlign w:val="center"/>
          </w:tcPr>
          <w:p w:rsidR="009B566F" w:rsidRDefault="00190F9A">
            <w:pPr>
              <w:jc w:val="right"/>
            </w:pPr>
            <w:r>
              <w:rPr>
                <w:rFonts w:eastAsiaTheme="minorEastAsia"/>
                <w:color w:val="000000" w:themeColor="text1"/>
                <w:szCs w:val="21"/>
              </w:rPr>
              <w:t>2.93</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奥地利</w:t>
            </w:r>
          </w:p>
        </w:tc>
        <w:tc>
          <w:tcPr>
            <w:tcW w:w="3118" w:type="dxa"/>
            <w:vAlign w:val="center"/>
          </w:tcPr>
          <w:p w:rsidR="009B566F" w:rsidRDefault="00190F9A">
            <w:pPr>
              <w:jc w:val="right"/>
            </w:pPr>
            <w:r>
              <w:rPr>
                <w:rFonts w:eastAsiaTheme="minorEastAsia"/>
                <w:color w:val="000000" w:themeColor="text1"/>
                <w:szCs w:val="21"/>
              </w:rPr>
              <w:t>1,478,553.77</w:t>
            </w:r>
          </w:p>
        </w:tc>
        <w:tc>
          <w:tcPr>
            <w:tcW w:w="3076" w:type="dxa"/>
            <w:vAlign w:val="center"/>
          </w:tcPr>
          <w:p w:rsidR="009B566F" w:rsidRDefault="00190F9A">
            <w:pPr>
              <w:jc w:val="right"/>
            </w:pPr>
            <w:r>
              <w:rPr>
                <w:rFonts w:eastAsiaTheme="minorEastAsia"/>
                <w:color w:val="000000" w:themeColor="text1"/>
                <w:szCs w:val="21"/>
              </w:rPr>
              <w:t>1.17</w:t>
            </w:r>
          </w:p>
        </w:tc>
      </w:tr>
      <w:tr w:rsidR="009B566F">
        <w:trPr>
          <w:jc w:val="center"/>
        </w:trPr>
        <w:tc>
          <w:tcPr>
            <w:tcW w:w="2410" w:type="dxa"/>
            <w:vAlign w:val="center"/>
          </w:tcPr>
          <w:p w:rsidR="009B566F" w:rsidRDefault="00190F9A">
            <w:pPr>
              <w:jc w:val="left"/>
            </w:pPr>
            <w:r>
              <w:rPr>
                <w:rFonts w:eastAsiaTheme="minorEastAsia"/>
                <w:color w:val="000000" w:themeColor="text1"/>
                <w:szCs w:val="21"/>
              </w:rPr>
              <w:t>挪威</w:t>
            </w:r>
          </w:p>
        </w:tc>
        <w:tc>
          <w:tcPr>
            <w:tcW w:w="3118" w:type="dxa"/>
            <w:vAlign w:val="center"/>
          </w:tcPr>
          <w:p w:rsidR="009B566F" w:rsidRDefault="00190F9A">
            <w:pPr>
              <w:jc w:val="right"/>
            </w:pPr>
            <w:r>
              <w:rPr>
                <w:rFonts w:eastAsiaTheme="minorEastAsia"/>
                <w:color w:val="000000" w:themeColor="text1"/>
                <w:szCs w:val="21"/>
              </w:rPr>
              <w:t>1,230,583.19</w:t>
            </w:r>
          </w:p>
        </w:tc>
        <w:tc>
          <w:tcPr>
            <w:tcW w:w="3076" w:type="dxa"/>
            <w:vAlign w:val="center"/>
          </w:tcPr>
          <w:p w:rsidR="009B566F" w:rsidRDefault="00190F9A">
            <w:pPr>
              <w:jc w:val="right"/>
            </w:pPr>
            <w:r>
              <w:rPr>
                <w:rFonts w:eastAsiaTheme="minorEastAsia"/>
                <w:color w:val="000000" w:themeColor="text1"/>
                <w:szCs w:val="21"/>
              </w:rPr>
              <w:t>0.97</w:t>
            </w:r>
          </w:p>
        </w:tc>
      </w:tr>
      <w:tr w:rsidR="008277FF" w:rsidRPr="00A3398F" w:rsidTr="00877D98">
        <w:trPr>
          <w:jc w:val="center"/>
        </w:trPr>
        <w:tc>
          <w:tcPr>
            <w:tcW w:w="2410" w:type="dxa"/>
            <w:vAlign w:val="center"/>
          </w:tcPr>
          <w:p w:rsidR="002C042C" w:rsidRPr="00A3398F" w:rsidRDefault="002C042C" w:rsidP="00877D98">
            <w:pPr>
              <w:autoSpaceDE w:val="0"/>
              <w:autoSpaceDN w:val="0"/>
              <w:adjustRightInd w:val="0"/>
              <w:spacing w:before="29" w:line="360" w:lineRule="auto"/>
              <w:rPr>
                <w:rFonts w:eastAsiaTheme="minorEastAsia"/>
                <w:color w:val="000000" w:themeColor="text1"/>
                <w:szCs w:val="21"/>
              </w:rPr>
            </w:pPr>
            <w:r w:rsidRPr="00A3398F">
              <w:rPr>
                <w:rFonts w:eastAsiaTheme="minorEastAsia"/>
                <w:color w:val="000000" w:themeColor="text1"/>
                <w:szCs w:val="21"/>
              </w:rPr>
              <w:t>合计</w:t>
            </w:r>
          </w:p>
        </w:tc>
        <w:tc>
          <w:tcPr>
            <w:tcW w:w="3118" w:type="dxa"/>
            <w:vAlign w:val="center"/>
          </w:tcPr>
          <w:p w:rsidR="002C042C" w:rsidRPr="00A3398F" w:rsidRDefault="002C042C" w:rsidP="00877D98">
            <w:pPr>
              <w:autoSpaceDE w:val="0"/>
              <w:autoSpaceDN w:val="0"/>
              <w:adjustRightInd w:val="0"/>
              <w:spacing w:before="29" w:line="360" w:lineRule="auto"/>
              <w:jc w:val="right"/>
              <w:rPr>
                <w:rFonts w:eastAsiaTheme="minorEastAsia"/>
                <w:color w:val="000000" w:themeColor="text1"/>
                <w:szCs w:val="21"/>
              </w:rPr>
            </w:pPr>
            <w:r w:rsidRPr="00A3398F">
              <w:rPr>
                <w:rFonts w:eastAsiaTheme="minorEastAsia"/>
                <w:color w:val="000000" w:themeColor="text1"/>
                <w:szCs w:val="21"/>
              </w:rPr>
              <w:t>111,182,445.74</w:t>
            </w:r>
          </w:p>
        </w:tc>
        <w:tc>
          <w:tcPr>
            <w:tcW w:w="3076" w:type="dxa"/>
            <w:vAlign w:val="center"/>
          </w:tcPr>
          <w:p w:rsidR="002C042C" w:rsidRPr="00A3398F" w:rsidRDefault="002C042C" w:rsidP="00877D98">
            <w:pPr>
              <w:autoSpaceDE w:val="0"/>
              <w:autoSpaceDN w:val="0"/>
              <w:adjustRightInd w:val="0"/>
              <w:spacing w:before="29" w:line="360" w:lineRule="auto"/>
              <w:jc w:val="right"/>
              <w:rPr>
                <w:rFonts w:eastAsiaTheme="minorEastAsia"/>
                <w:color w:val="000000" w:themeColor="text1"/>
                <w:szCs w:val="21"/>
              </w:rPr>
            </w:pPr>
            <w:r w:rsidRPr="00A3398F">
              <w:rPr>
                <w:rFonts w:eastAsiaTheme="minorEastAsia"/>
                <w:color w:val="000000" w:themeColor="text1"/>
                <w:szCs w:val="21"/>
              </w:rPr>
              <w:t>87.81</w:t>
            </w:r>
          </w:p>
        </w:tc>
      </w:tr>
    </w:tbl>
    <w:p w:rsidR="00363E15" w:rsidRPr="00A3398F" w:rsidRDefault="00363E15" w:rsidP="00363E15">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注：国家（地区）类别根据其所在的证券交易所确定，</w:t>
      </w:r>
      <w:r w:rsidRPr="00A3398F">
        <w:rPr>
          <w:rFonts w:eastAsiaTheme="minorEastAsia"/>
          <w:color w:val="000000" w:themeColor="text1"/>
          <w:szCs w:val="21"/>
        </w:rPr>
        <w:t>ADR</w:t>
      </w:r>
      <w:r w:rsidRPr="00A3398F">
        <w:rPr>
          <w:rFonts w:eastAsiaTheme="minorEastAsia"/>
          <w:color w:val="000000" w:themeColor="text1"/>
          <w:szCs w:val="21"/>
        </w:rPr>
        <w:t>、</w:t>
      </w:r>
      <w:r w:rsidRPr="00A3398F">
        <w:rPr>
          <w:rFonts w:eastAsiaTheme="minorEastAsia"/>
          <w:color w:val="000000" w:themeColor="text1"/>
          <w:szCs w:val="21"/>
        </w:rPr>
        <w:t>GDR</w:t>
      </w:r>
      <w:r w:rsidRPr="00A3398F">
        <w:rPr>
          <w:rFonts w:eastAsiaTheme="minorEastAsia"/>
          <w:color w:val="000000" w:themeColor="text1"/>
          <w:szCs w:val="21"/>
        </w:rPr>
        <w:t>按照存托凭证本身挂牌的证券交易所确定。</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3</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3398F" w:rsidTr="008B2EAD">
        <w:tc>
          <w:tcPr>
            <w:tcW w:w="2787"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行业类别</w:t>
            </w:r>
          </w:p>
        </w:tc>
        <w:tc>
          <w:tcPr>
            <w:tcW w:w="2551"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公允价值（人民币元）</w:t>
            </w:r>
          </w:p>
        </w:tc>
        <w:tc>
          <w:tcPr>
            <w:tcW w:w="3175" w:type="dxa"/>
            <w:vAlign w:val="center"/>
          </w:tcPr>
          <w:p w:rsidR="00C37E98" w:rsidRPr="00A3398F"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占基金资产净值比例（％）</w:t>
            </w:r>
          </w:p>
        </w:tc>
      </w:tr>
      <w:tr w:rsidR="009B566F">
        <w:tc>
          <w:tcPr>
            <w:tcW w:w="2787" w:type="dxa"/>
            <w:vAlign w:val="center"/>
          </w:tcPr>
          <w:p w:rsidR="009B566F" w:rsidRDefault="00190F9A">
            <w:pPr>
              <w:jc w:val="left"/>
            </w:pPr>
            <w:r>
              <w:rPr>
                <w:rFonts w:eastAsiaTheme="minorEastAsia"/>
                <w:color w:val="000000" w:themeColor="text1"/>
                <w:szCs w:val="21"/>
              </w:rPr>
              <w:t>工业</w:t>
            </w:r>
          </w:p>
        </w:tc>
        <w:tc>
          <w:tcPr>
            <w:tcW w:w="2551" w:type="dxa"/>
            <w:vAlign w:val="center"/>
          </w:tcPr>
          <w:p w:rsidR="009B566F" w:rsidRDefault="00190F9A">
            <w:pPr>
              <w:jc w:val="right"/>
            </w:pPr>
            <w:r>
              <w:rPr>
                <w:rFonts w:eastAsiaTheme="minorEastAsia"/>
                <w:color w:val="000000" w:themeColor="text1"/>
                <w:szCs w:val="21"/>
              </w:rPr>
              <w:t>26,117,731.61</w:t>
            </w:r>
          </w:p>
        </w:tc>
        <w:tc>
          <w:tcPr>
            <w:tcW w:w="3175" w:type="dxa"/>
            <w:vAlign w:val="center"/>
          </w:tcPr>
          <w:p w:rsidR="009B566F" w:rsidRDefault="00190F9A">
            <w:pPr>
              <w:jc w:val="right"/>
            </w:pPr>
            <w:r>
              <w:rPr>
                <w:rFonts w:eastAsiaTheme="minorEastAsia"/>
                <w:color w:val="000000" w:themeColor="text1"/>
                <w:szCs w:val="21"/>
              </w:rPr>
              <w:t>20.63</w:t>
            </w:r>
          </w:p>
        </w:tc>
      </w:tr>
      <w:tr w:rsidR="009B566F">
        <w:tc>
          <w:tcPr>
            <w:tcW w:w="2787" w:type="dxa"/>
            <w:vAlign w:val="center"/>
          </w:tcPr>
          <w:p w:rsidR="009B566F" w:rsidRDefault="00190F9A">
            <w:pPr>
              <w:jc w:val="left"/>
            </w:pPr>
            <w:r>
              <w:rPr>
                <w:rFonts w:eastAsiaTheme="minorEastAsia"/>
                <w:color w:val="000000" w:themeColor="text1"/>
                <w:szCs w:val="21"/>
              </w:rPr>
              <w:t>金融</w:t>
            </w:r>
          </w:p>
        </w:tc>
        <w:tc>
          <w:tcPr>
            <w:tcW w:w="2551" w:type="dxa"/>
            <w:vAlign w:val="center"/>
          </w:tcPr>
          <w:p w:rsidR="009B566F" w:rsidRDefault="00190F9A">
            <w:pPr>
              <w:jc w:val="right"/>
            </w:pPr>
            <w:r>
              <w:rPr>
                <w:rFonts w:eastAsiaTheme="minorEastAsia"/>
                <w:color w:val="000000" w:themeColor="text1"/>
                <w:szCs w:val="21"/>
              </w:rPr>
              <w:t>23,299,148.29</w:t>
            </w:r>
          </w:p>
        </w:tc>
        <w:tc>
          <w:tcPr>
            <w:tcW w:w="3175" w:type="dxa"/>
            <w:vAlign w:val="center"/>
          </w:tcPr>
          <w:p w:rsidR="009B566F" w:rsidRDefault="00190F9A">
            <w:pPr>
              <w:jc w:val="right"/>
            </w:pPr>
            <w:r>
              <w:rPr>
                <w:rFonts w:eastAsiaTheme="minorEastAsia"/>
                <w:color w:val="000000" w:themeColor="text1"/>
                <w:szCs w:val="21"/>
              </w:rPr>
              <w:t>18.40</w:t>
            </w:r>
          </w:p>
        </w:tc>
      </w:tr>
      <w:tr w:rsidR="009B566F">
        <w:tc>
          <w:tcPr>
            <w:tcW w:w="2787" w:type="dxa"/>
            <w:vAlign w:val="center"/>
          </w:tcPr>
          <w:p w:rsidR="009B566F" w:rsidRDefault="00190F9A">
            <w:pPr>
              <w:jc w:val="left"/>
            </w:pPr>
            <w:r>
              <w:rPr>
                <w:rFonts w:eastAsiaTheme="minorEastAsia"/>
                <w:color w:val="000000" w:themeColor="text1"/>
                <w:szCs w:val="21"/>
              </w:rPr>
              <w:t>消费者非必需品</w:t>
            </w:r>
          </w:p>
        </w:tc>
        <w:tc>
          <w:tcPr>
            <w:tcW w:w="2551" w:type="dxa"/>
            <w:vAlign w:val="center"/>
          </w:tcPr>
          <w:p w:rsidR="009B566F" w:rsidRDefault="00190F9A">
            <w:pPr>
              <w:jc w:val="right"/>
            </w:pPr>
            <w:r>
              <w:rPr>
                <w:rFonts w:eastAsiaTheme="minorEastAsia"/>
                <w:color w:val="000000" w:themeColor="text1"/>
                <w:szCs w:val="21"/>
              </w:rPr>
              <w:t>13,076,342.88</w:t>
            </w:r>
          </w:p>
        </w:tc>
        <w:tc>
          <w:tcPr>
            <w:tcW w:w="3175" w:type="dxa"/>
            <w:vAlign w:val="center"/>
          </w:tcPr>
          <w:p w:rsidR="009B566F" w:rsidRDefault="00190F9A">
            <w:pPr>
              <w:jc w:val="right"/>
            </w:pPr>
            <w:r>
              <w:rPr>
                <w:rFonts w:eastAsiaTheme="minorEastAsia"/>
                <w:color w:val="000000" w:themeColor="text1"/>
                <w:szCs w:val="21"/>
              </w:rPr>
              <w:t>10.33</w:t>
            </w:r>
          </w:p>
        </w:tc>
      </w:tr>
      <w:tr w:rsidR="009B566F">
        <w:tc>
          <w:tcPr>
            <w:tcW w:w="2787" w:type="dxa"/>
            <w:vAlign w:val="center"/>
          </w:tcPr>
          <w:p w:rsidR="009B566F" w:rsidRDefault="00190F9A">
            <w:pPr>
              <w:jc w:val="left"/>
            </w:pPr>
            <w:r>
              <w:rPr>
                <w:rFonts w:eastAsiaTheme="minorEastAsia"/>
                <w:color w:val="000000" w:themeColor="text1"/>
                <w:szCs w:val="21"/>
              </w:rPr>
              <w:t>医疗保健</w:t>
            </w:r>
          </w:p>
        </w:tc>
        <w:tc>
          <w:tcPr>
            <w:tcW w:w="2551" w:type="dxa"/>
            <w:vAlign w:val="center"/>
          </w:tcPr>
          <w:p w:rsidR="009B566F" w:rsidRDefault="00190F9A">
            <w:pPr>
              <w:jc w:val="right"/>
            </w:pPr>
            <w:r>
              <w:rPr>
                <w:rFonts w:eastAsiaTheme="minorEastAsia"/>
                <w:color w:val="000000" w:themeColor="text1"/>
                <w:szCs w:val="21"/>
              </w:rPr>
              <w:t>9,878,761.49</w:t>
            </w:r>
          </w:p>
        </w:tc>
        <w:tc>
          <w:tcPr>
            <w:tcW w:w="3175" w:type="dxa"/>
            <w:vAlign w:val="center"/>
          </w:tcPr>
          <w:p w:rsidR="009B566F" w:rsidRDefault="00190F9A">
            <w:pPr>
              <w:jc w:val="right"/>
            </w:pPr>
            <w:r>
              <w:rPr>
                <w:rFonts w:eastAsiaTheme="minorEastAsia"/>
                <w:color w:val="000000" w:themeColor="text1"/>
                <w:szCs w:val="21"/>
              </w:rPr>
              <w:t>7.80</w:t>
            </w:r>
          </w:p>
        </w:tc>
      </w:tr>
      <w:tr w:rsidR="009B566F">
        <w:tc>
          <w:tcPr>
            <w:tcW w:w="2787" w:type="dxa"/>
            <w:vAlign w:val="center"/>
          </w:tcPr>
          <w:p w:rsidR="009B566F" w:rsidRDefault="00190F9A">
            <w:pPr>
              <w:jc w:val="left"/>
            </w:pPr>
            <w:r>
              <w:rPr>
                <w:rFonts w:eastAsiaTheme="minorEastAsia"/>
                <w:color w:val="000000" w:themeColor="text1"/>
                <w:szCs w:val="21"/>
              </w:rPr>
              <w:t>能源</w:t>
            </w:r>
          </w:p>
        </w:tc>
        <w:tc>
          <w:tcPr>
            <w:tcW w:w="2551" w:type="dxa"/>
            <w:vAlign w:val="center"/>
          </w:tcPr>
          <w:p w:rsidR="009B566F" w:rsidRDefault="00190F9A">
            <w:pPr>
              <w:jc w:val="right"/>
            </w:pPr>
            <w:r>
              <w:rPr>
                <w:rFonts w:eastAsiaTheme="minorEastAsia"/>
                <w:color w:val="000000" w:themeColor="text1"/>
                <w:szCs w:val="21"/>
              </w:rPr>
              <w:t>9,694,593.04</w:t>
            </w:r>
          </w:p>
        </w:tc>
        <w:tc>
          <w:tcPr>
            <w:tcW w:w="3175" w:type="dxa"/>
            <w:vAlign w:val="center"/>
          </w:tcPr>
          <w:p w:rsidR="009B566F" w:rsidRDefault="00190F9A">
            <w:pPr>
              <w:jc w:val="right"/>
            </w:pPr>
            <w:r>
              <w:rPr>
                <w:rFonts w:eastAsiaTheme="minorEastAsia"/>
                <w:color w:val="000000" w:themeColor="text1"/>
                <w:szCs w:val="21"/>
              </w:rPr>
              <w:t>7.66</w:t>
            </w:r>
          </w:p>
        </w:tc>
      </w:tr>
      <w:tr w:rsidR="009B566F">
        <w:tc>
          <w:tcPr>
            <w:tcW w:w="2787" w:type="dxa"/>
            <w:vAlign w:val="center"/>
          </w:tcPr>
          <w:p w:rsidR="009B566F" w:rsidRDefault="00190F9A">
            <w:pPr>
              <w:jc w:val="left"/>
            </w:pPr>
            <w:r>
              <w:rPr>
                <w:rFonts w:eastAsiaTheme="minorEastAsia"/>
                <w:color w:val="000000" w:themeColor="text1"/>
                <w:szCs w:val="21"/>
              </w:rPr>
              <w:t>基础材料</w:t>
            </w:r>
          </w:p>
        </w:tc>
        <w:tc>
          <w:tcPr>
            <w:tcW w:w="2551" w:type="dxa"/>
            <w:vAlign w:val="center"/>
          </w:tcPr>
          <w:p w:rsidR="009B566F" w:rsidRDefault="00190F9A">
            <w:pPr>
              <w:jc w:val="right"/>
            </w:pPr>
            <w:r>
              <w:rPr>
                <w:rFonts w:eastAsiaTheme="minorEastAsia"/>
                <w:color w:val="000000" w:themeColor="text1"/>
                <w:szCs w:val="21"/>
              </w:rPr>
              <w:t>7,318,221.95</w:t>
            </w:r>
          </w:p>
        </w:tc>
        <w:tc>
          <w:tcPr>
            <w:tcW w:w="3175" w:type="dxa"/>
            <w:vAlign w:val="center"/>
          </w:tcPr>
          <w:p w:rsidR="009B566F" w:rsidRDefault="00190F9A">
            <w:pPr>
              <w:jc w:val="right"/>
            </w:pPr>
            <w:r>
              <w:rPr>
                <w:rFonts w:eastAsiaTheme="minorEastAsia"/>
                <w:color w:val="000000" w:themeColor="text1"/>
                <w:szCs w:val="21"/>
              </w:rPr>
              <w:t>5.78</w:t>
            </w:r>
          </w:p>
        </w:tc>
      </w:tr>
      <w:tr w:rsidR="009B566F">
        <w:tc>
          <w:tcPr>
            <w:tcW w:w="2787" w:type="dxa"/>
            <w:vAlign w:val="center"/>
          </w:tcPr>
          <w:p w:rsidR="009B566F" w:rsidRDefault="00190F9A">
            <w:pPr>
              <w:jc w:val="left"/>
            </w:pPr>
            <w:r>
              <w:rPr>
                <w:rFonts w:eastAsiaTheme="minorEastAsia"/>
                <w:color w:val="000000" w:themeColor="text1"/>
                <w:szCs w:val="21"/>
              </w:rPr>
              <w:t>消费者常用品</w:t>
            </w:r>
          </w:p>
        </w:tc>
        <w:tc>
          <w:tcPr>
            <w:tcW w:w="2551" w:type="dxa"/>
            <w:vAlign w:val="center"/>
          </w:tcPr>
          <w:p w:rsidR="009B566F" w:rsidRDefault="00190F9A">
            <w:pPr>
              <w:jc w:val="right"/>
            </w:pPr>
            <w:r>
              <w:rPr>
                <w:rFonts w:eastAsiaTheme="minorEastAsia"/>
                <w:color w:val="000000" w:themeColor="text1"/>
                <w:szCs w:val="21"/>
              </w:rPr>
              <w:t>7,147,768.30</w:t>
            </w:r>
          </w:p>
        </w:tc>
        <w:tc>
          <w:tcPr>
            <w:tcW w:w="3175" w:type="dxa"/>
            <w:vAlign w:val="center"/>
          </w:tcPr>
          <w:p w:rsidR="009B566F" w:rsidRDefault="00190F9A">
            <w:pPr>
              <w:jc w:val="right"/>
            </w:pPr>
            <w:r>
              <w:rPr>
                <w:rFonts w:eastAsiaTheme="minorEastAsia"/>
                <w:color w:val="000000" w:themeColor="text1"/>
                <w:szCs w:val="21"/>
              </w:rPr>
              <w:t>5.65</w:t>
            </w:r>
          </w:p>
        </w:tc>
      </w:tr>
      <w:tr w:rsidR="009B566F">
        <w:tc>
          <w:tcPr>
            <w:tcW w:w="2787" w:type="dxa"/>
            <w:vAlign w:val="center"/>
          </w:tcPr>
          <w:p w:rsidR="009B566F" w:rsidRDefault="00190F9A">
            <w:pPr>
              <w:jc w:val="left"/>
            </w:pPr>
            <w:r>
              <w:rPr>
                <w:rFonts w:eastAsiaTheme="minorEastAsia"/>
                <w:color w:val="000000" w:themeColor="text1"/>
                <w:szCs w:val="21"/>
              </w:rPr>
              <w:t>电信服务</w:t>
            </w:r>
          </w:p>
        </w:tc>
        <w:tc>
          <w:tcPr>
            <w:tcW w:w="2551" w:type="dxa"/>
            <w:vAlign w:val="center"/>
          </w:tcPr>
          <w:p w:rsidR="009B566F" w:rsidRDefault="00190F9A">
            <w:pPr>
              <w:jc w:val="right"/>
            </w:pPr>
            <w:r>
              <w:rPr>
                <w:rFonts w:eastAsiaTheme="minorEastAsia"/>
                <w:color w:val="000000" w:themeColor="text1"/>
                <w:szCs w:val="21"/>
              </w:rPr>
              <w:t>6,617,195.04</w:t>
            </w:r>
          </w:p>
        </w:tc>
        <w:tc>
          <w:tcPr>
            <w:tcW w:w="3175" w:type="dxa"/>
            <w:vAlign w:val="center"/>
          </w:tcPr>
          <w:p w:rsidR="009B566F" w:rsidRDefault="00190F9A">
            <w:pPr>
              <w:jc w:val="right"/>
            </w:pPr>
            <w:r>
              <w:rPr>
                <w:rFonts w:eastAsiaTheme="minorEastAsia"/>
                <w:color w:val="000000" w:themeColor="text1"/>
                <w:szCs w:val="21"/>
              </w:rPr>
              <w:t>5.23</w:t>
            </w:r>
          </w:p>
        </w:tc>
      </w:tr>
      <w:tr w:rsidR="009B566F">
        <w:tc>
          <w:tcPr>
            <w:tcW w:w="2787" w:type="dxa"/>
            <w:vAlign w:val="center"/>
          </w:tcPr>
          <w:p w:rsidR="009B566F" w:rsidRDefault="00190F9A">
            <w:pPr>
              <w:jc w:val="left"/>
            </w:pPr>
            <w:r>
              <w:rPr>
                <w:rFonts w:eastAsiaTheme="minorEastAsia"/>
                <w:color w:val="000000" w:themeColor="text1"/>
                <w:szCs w:val="21"/>
              </w:rPr>
              <w:t>信息技术</w:t>
            </w:r>
          </w:p>
        </w:tc>
        <w:tc>
          <w:tcPr>
            <w:tcW w:w="2551" w:type="dxa"/>
            <w:vAlign w:val="center"/>
          </w:tcPr>
          <w:p w:rsidR="009B566F" w:rsidRDefault="00190F9A">
            <w:pPr>
              <w:jc w:val="right"/>
            </w:pPr>
            <w:r>
              <w:rPr>
                <w:rFonts w:eastAsiaTheme="minorEastAsia"/>
                <w:color w:val="000000" w:themeColor="text1"/>
                <w:szCs w:val="21"/>
              </w:rPr>
              <w:t>6,078,184.12</w:t>
            </w:r>
          </w:p>
        </w:tc>
        <w:tc>
          <w:tcPr>
            <w:tcW w:w="3175" w:type="dxa"/>
            <w:vAlign w:val="center"/>
          </w:tcPr>
          <w:p w:rsidR="009B566F" w:rsidRDefault="00190F9A">
            <w:pPr>
              <w:jc w:val="right"/>
            </w:pPr>
            <w:r>
              <w:rPr>
                <w:rFonts w:eastAsiaTheme="minorEastAsia"/>
                <w:color w:val="000000" w:themeColor="text1"/>
                <w:szCs w:val="21"/>
              </w:rPr>
              <w:t>4.80</w:t>
            </w:r>
          </w:p>
        </w:tc>
      </w:tr>
      <w:tr w:rsidR="009B566F">
        <w:tc>
          <w:tcPr>
            <w:tcW w:w="2787" w:type="dxa"/>
            <w:vAlign w:val="center"/>
          </w:tcPr>
          <w:p w:rsidR="009B566F" w:rsidRDefault="00190F9A">
            <w:pPr>
              <w:jc w:val="left"/>
            </w:pPr>
            <w:r>
              <w:rPr>
                <w:rFonts w:eastAsiaTheme="minorEastAsia"/>
                <w:color w:val="000000" w:themeColor="text1"/>
                <w:szCs w:val="21"/>
              </w:rPr>
              <w:t>公用事业</w:t>
            </w:r>
          </w:p>
        </w:tc>
        <w:tc>
          <w:tcPr>
            <w:tcW w:w="2551" w:type="dxa"/>
            <w:vAlign w:val="center"/>
          </w:tcPr>
          <w:p w:rsidR="009B566F" w:rsidRDefault="00190F9A">
            <w:pPr>
              <w:jc w:val="right"/>
            </w:pPr>
            <w:r>
              <w:rPr>
                <w:rFonts w:eastAsiaTheme="minorEastAsia"/>
                <w:color w:val="000000" w:themeColor="text1"/>
                <w:szCs w:val="21"/>
              </w:rPr>
              <w:t>1,954,499.02</w:t>
            </w:r>
          </w:p>
        </w:tc>
        <w:tc>
          <w:tcPr>
            <w:tcW w:w="3175" w:type="dxa"/>
            <w:vAlign w:val="center"/>
          </w:tcPr>
          <w:p w:rsidR="009B566F" w:rsidRDefault="00190F9A">
            <w:pPr>
              <w:jc w:val="right"/>
            </w:pPr>
            <w:r>
              <w:rPr>
                <w:rFonts w:eastAsiaTheme="minorEastAsia"/>
                <w:color w:val="000000" w:themeColor="text1"/>
                <w:szCs w:val="21"/>
              </w:rPr>
              <w:t>1.54</w:t>
            </w:r>
          </w:p>
        </w:tc>
      </w:tr>
      <w:tr w:rsidR="008277FF" w:rsidRPr="00A3398F" w:rsidTr="00877D98">
        <w:tc>
          <w:tcPr>
            <w:tcW w:w="2787" w:type="dxa"/>
            <w:vAlign w:val="center"/>
          </w:tcPr>
          <w:p w:rsidR="00C37E98" w:rsidRPr="00A3398F" w:rsidRDefault="00C37E98" w:rsidP="00877D98">
            <w:pPr>
              <w:autoSpaceDE w:val="0"/>
              <w:autoSpaceDN w:val="0"/>
              <w:adjustRightInd w:val="0"/>
              <w:spacing w:before="29" w:line="360" w:lineRule="auto"/>
              <w:ind w:left="15"/>
              <w:rPr>
                <w:rFonts w:eastAsiaTheme="minorEastAsia"/>
                <w:color w:val="000000" w:themeColor="text1"/>
                <w:szCs w:val="21"/>
              </w:rPr>
            </w:pPr>
            <w:r w:rsidRPr="00A3398F">
              <w:rPr>
                <w:rFonts w:eastAsiaTheme="minorEastAsia"/>
                <w:color w:val="000000" w:themeColor="text1"/>
                <w:szCs w:val="21"/>
              </w:rPr>
              <w:lastRenderedPageBreak/>
              <w:t>合计</w:t>
            </w:r>
          </w:p>
        </w:tc>
        <w:tc>
          <w:tcPr>
            <w:tcW w:w="2551" w:type="dxa"/>
            <w:vAlign w:val="center"/>
          </w:tcPr>
          <w:p w:rsidR="00C37E98" w:rsidRPr="00A3398F"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111,182,445.74</w:t>
            </w:r>
          </w:p>
        </w:tc>
        <w:tc>
          <w:tcPr>
            <w:tcW w:w="3175" w:type="dxa"/>
            <w:vAlign w:val="center"/>
          </w:tcPr>
          <w:p w:rsidR="00C37E98" w:rsidRPr="00A3398F"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87.8</w:t>
            </w:r>
            <w:r w:rsidR="00190F9A">
              <w:rPr>
                <w:rFonts w:eastAsiaTheme="minorEastAsia"/>
                <w:color w:val="000000" w:themeColor="text1"/>
                <w:szCs w:val="21"/>
              </w:rPr>
              <w:t>1</w:t>
            </w:r>
          </w:p>
        </w:tc>
      </w:tr>
    </w:tbl>
    <w:p w:rsidR="005B6AC7" w:rsidRPr="00A3398F" w:rsidRDefault="000A521D" w:rsidP="008B6A4A">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注：以上分类采用全球行业分类标准</w:t>
      </w:r>
      <w:r w:rsidRPr="00A3398F">
        <w:rPr>
          <w:rFonts w:eastAsiaTheme="minorEastAsia"/>
          <w:color w:val="000000" w:themeColor="text1"/>
          <w:szCs w:val="21"/>
        </w:rPr>
        <w:t>(GICS)</w:t>
      </w:r>
      <w:r w:rsidRPr="00A3398F">
        <w:rPr>
          <w:rFonts w:eastAsiaTheme="minorEastAsia"/>
          <w:color w:val="000000" w:themeColor="text1"/>
          <w:szCs w:val="21"/>
        </w:rPr>
        <w:t>。</w:t>
      </w:r>
      <w:r w:rsidRPr="00A3398F">
        <w:rPr>
          <w:rFonts w:eastAsiaTheme="minorEastAsia"/>
          <w:color w:val="000000" w:themeColor="text1"/>
          <w:szCs w:val="21"/>
        </w:rPr>
        <w:t xml:space="preserve"> </w:t>
      </w:r>
    </w:p>
    <w:p w:rsidR="000A521D" w:rsidRDefault="000A521D" w:rsidP="008B6A4A">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kern w:val="0"/>
          <w:sz w:val="24"/>
        </w:rPr>
      </w:pPr>
      <w:r w:rsidRPr="00A3398F">
        <w:rPr>
          <w:rFonts w:eastAsiaTheme="minorEastAsia"/>
          <w:b/>
          <w:kern w:val="0"/>
          <w:sz w:val="24"/>
        </w:rPr>
        <w:t>5.</w:t>
      </w:r>
      <w:r w:rsidR="002A0FA2" w:rsidRPr="00A3398F">
        <w:rPr>
          <w:rFonts w:eastAsiaTheme="minorEastAsia"/>
          <w:b/>
          <w:kern w:val="0"/>
          <w:sz w:val="24"/>
        </w:rPr>
        <w:t>4</w:t>
      </w:r>
      <w:r w:rsidR="0076518F" w:rsidRPr="00A3398F">
        <w:rPr>
          <w:rFonts w:eastAsiaTheme="minorEastAsia"/>
          <w:b/>
          <w:kern w:val="0"/>
          <w:sz w:val="24"/>
        </w:rPr>
        <w:t xml:space="preserve"> </w:t>
      </w:r>
      <w:r w:rsidR="0076518F" w:rsidRPr="00A3398F">
        <w:rPr>
          <w:rFonts w:eastAsiaTheme="minorEastAsia"/>
          <w:b/>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79"/>
        <w:gridCol w:w="1993"/>
        <w:gridCol w:w="837"/>
        <w:gridCol w:w="800"/>
        <w:gridCol w:w="618"/>
        <w:gridCol w:w="685"/>
        <w:gridCol w:w="891"/>
        <w:gridCol w:w="1319"/>
        <w:gridCol w:w="891"/>
      </w:tblGrid>
      <w:tr w:rsidR="00A3398F" w:rsidRPr="00A3398F" w:rsidTr="001C7D5D">
        <w:tc>
          <w:tcPr>
            <w:tcW w:w="794"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序号</w:t>
            </w:r>
          </w:p>
        </w:tc>
        <w:tc>
          <w:tcPr>
            <w:tcW w:w="974" w:type="dxa"/>
            <w:vAlign w:val="center"/>
          </w:tcPr>
          <w:p w:rsidR="001C7D5D" w:rsidRPr="00A3398F" w:rsidRDefault="001C7D5D" w:rsidP="001C7D5D">
            <w:pPr>
              <w:adjustRightInd w:val="0"/>
              <w:snapToGrid w:val="0"/>
              <w:spacing w:line="400" w:lineRule="exact"/>
              <w:jc w:val="center"/>
              <w:rPr>
                <w:rFonts w:eastAsiaTheme="minorEastAsia"/>
                <w:kern w:val="0"/>
                <w:szCs w:val="21"/>
              </w:rPr>
            </w:pPr>
            <w:r w:rsidRPr="00A3398F">
              <w:rPr>
                <w:rFonts w:eastAsiaTheme="minorEastAsia"/>
                <w:kern w:val="0"/>
                <w:szCs w:val="21"/>
              </w:rPr>
              <w:t>公司名称（英文）</w:t>
            </w:r>
          </w:p>
        </w:tc>
        <w:tc>
          <w:tcPr>
            <w:tcW w:w="1019" w:type="dxa"/>
            <w:vAlign w:val="center"/>
          </w:tcPr>
          <w:p w:rsidR="001C7D5D" w:rsidRPr="00A3398F" w:rsidRDefault="001C7D5D" w:rsidP="00797DD2">
            <w:pPr>
              <w:adjustRightInd w:val="0"/>
              <w:snapToGrid w:val="0"/>
              <w:spacing w:line="400" w:lineRule="exact"/>
              <w:jc w:val="center"/>
              <w:rPr>
                <w:rFonts w:eastAsiaTheme="minorEastAsia"/>
                <w:kern w:val="0"/>
                <w:szCs w:val="21"/>
              </w:rPr>
            </w:pPr>
            <w:r w:rsidRPr="00A3398F">
              <w:rPr>
                <w:rFonts w:eastAsiaTheme="minorEastAsia"/>
                <w:kern w:val="0"/>
                <w:szCs w:val="21"/>
              </w:rPr>
              <w:t>公司名称（中文）</w:t>
            </w:r>
          </w:p>
        </w:tc>
        <w:tc>
          <w:tcPr>
            <w:tcW w:w="703" w:type="dxa"/>
            <w:vAlign w:val="center"/>
          </w:tcPr>
          <w:p w:rsidR="001C7D5D" w:rsidRPr="00A3398F" w:rsidRDefault="001C7D5D" w:rsidP="00797DD2">
            <w:pPr>
              <w:adjustRightInd w:val="0"/>
              <w:snapToGrid w:val="0"/>
              <w:spacing w:line="400" w:lineRule="exact"/>
              <w:jc w:val="center"/>
              <w:rPr>
                <w:rFonts w:eastAsiaTheme="minorEastAsia"/>
                <w:kern w:val="0"/>
                <w:szCs w:val="21"/>
              </w:rPr>
            </w:pPr>
            <w:r w:rsidRPr="00A3398F">
              <w:rPr>
                <w:rFonts w:eastAsiaTheme="minorEastAsia"/>
                <w:kern w:val="0"/>
                <w:szCs w:val="21"/>
              </w:rPr>
              <w:t>证券代码</w:t>
            </w:r>
          </w:p>
        </w:tc>
        <w:tc>
          <w:tcPr>
            <w:tcW w:w="793"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所在证</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券市场</w:t>
            </w:r>
          </w:p>
        </w:tc>
        <w:tc>
          <w:tcPr>
            <w:tcW w:w="969"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所属国家</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（地区</w:t>
            </w:r>
            <w:r w:rsidRPr="00A3398F">
              <w:rPr>
                <w:rFonts w:eastAsiaTheme="minorEastAsia"/>
                <w:kern w:val="0"/>
                <w:szCs w:val="21"/>
              </w:rPr>
              <w:t>)</w:t>
            </w:r>
          </w:p>
        </w:tc>
        <w:tc>
          <w:tcPr>
            <w:tcW w:w="1146"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数量</w:t>
            </w:r>
          </w:p>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（股）</w:t>
            </w:r>
          </w:p>
        </w:tc>
        <w:tc>
          <w:tcPr>
            <w:tcW w:w="969"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公允价值（人民币元）</w:t>
            </w:r>
          </w:p>
        </w:tc>
        <w:tc>
          <w:tcPr>
            <w:tcW w:w="1146" w:type="dxa"/>
            <w:vAlign w:val="center"/>
          </w:tcPr>
          <w:p w:rsidR="001C7D5D" w:rsidRPr="00A3398F" w:rsidRDefault="001C7D5D" w:rsidP="00797DD2">
            <w:pPr>
              <w:autoSpaceDE w:val="0"/>
              <w:autoSpaceDN w:val="0"/>
              <w:adjustRightInd w:val="0"/>
              <w:spacing w:before="29" w:line="360" w:lineRule="auto"/>
              <w:ind w:left="15"/>
              <w:jc w:val="center"/>
              <w:rPr>
                <w:rFonts w:eastAsiaTheme="minorEastAsia"/>
                <w:kern w:val="0"/>
                <w:szCs w:val="21"/>
              </w:rPr>
            </w:pPr>
            <w:r w:rsidRPr="00A3398F">
              <w:rPr>
                <w:rFonts w:eastAsiaTheme="minorEastAsia"/>
                <w:kern w:val="0"/>
                <w:szCs w:val="21"/>
              </w:rPr>
              <w:t>占基金资产净值比例（％）</w:t>
            </w:r>
          </w:p>
        </w:tc>
      </w:tr>
      <w:tr w:rsidR="009B566F">
        <w:tc>
          <w:tcPr>
            <w:tcW w:w="0" w:type="auto"/>
            <w:vAlign w:val="center"/>
          </w:tcPr>
          <w:p w:rsidR="009B566F" w:rsidRDefault="00190F9A">
            <w:pPr>
              <w:jc w:val="center"/>
            </w:pPr>
            <w:r>
              <w:rPr>
                <w:rFonts w:eastAsiaTheme="minorEastAsia"/>
                <w:szCs w:val="21"/>
              </w:rPr>
              <w:t>1</w:t>
            </w:r>
          </w:p>
        </w:tc>
        <w:tc>
          <w:tcPr>
            <w:tcW w:w="0" w:type="auto"/>
            <w:vAlign w:val="center"/>
          </w:tcPr>
          <w:p w:rsidR="009B566F" w:rsidRDefault="00190F9A">
            <w:pPr>
              <w:jc w:val="center"/>
            </w:pPr>
            <w:r>
              <w:rPr>
                <w:rFonts w:eastAsiaTheme="minorEastAsia"/>
                <w:szCs w:val="21"/>
              </w:rPr>
              <w:t>NOVO-NORDISK A/S-SPONS ADR</w:t>
            </w:r>
          </w:p>
        </w:tc>
        <w:tc>
          <w:tcPr>
            <w:tcW w:w="0" w:type="auto"/>
            <w:vAlign w:val="center"/>
          </w:tcPr>
          <w:p w:rsidR="009B566F" w:rsidRDefault="00190F9A">
            <w:pPr>
              <w:jc w:val="center"/>
            </w:pPr>
            <w:r>
              <w:rPr>
                <w:rFonts w:eastAsiaTheme="minorEastAsia"/>
                <w:szCs w:val="21"/>
              </w:rPr>
              <w:t>诺和诺德公司</w:t>
            </w:r>
          </w:p>
        </w:tc>
        <w:tc>
          <w:tcPr>
            <w:tcW w:w="0" w:type="auto"/>
            <w:vAlign w:val="center"/>
          </w:tcPr>
          <w:p w:rsidR="009B566F" w:rsidRDefault="00190F9A">
            <w:pPr>
              <w:jc w:val="center"/>
            </w:pPr>
            <w:r>
              <w:rPr>
                <w:rFonts w:eastAsiaTheme="minorEastAsia"/>
                <w:szCs w:val="21"/>
              </w:rPr>
              <w:t>NVO</w:t>
            </w:r>
          </w:p>
        </w:tc>
        <w:tc>
          <w:tcPr>
            <w:tcW w:w="0" w:type="auto"/>
            <w:vAlign w:val="center"/>
          </w:tcPr>
          <w:p w:rsidR="009B566F" w:rsidRDefault="00190F9A">
            <w:pPr>
              <w:jc w:val="center"/>
            </w:pPr>
            <w:r>
              <w:rPr>
                <w:rFonts w:eastAsiaTheme="minorEastAsia"/>
                <w:szCs w:val="21"/>
              </w:rPr>
              <w:t>纽约证券交易所</w:t>
            </w:r>
          </w:p>
        </w:tc>
        <w:tc>
          <w:tcPr>
            <w:tcW w:w="0" w:type="auto"/>
            <w:vAlign w:val="center"/>
          </w:tcPr>
          <w:p w:rsidR="009B566F" w:rsidRDefault="00190F9A">
            <w:pPr>
              <w:jc w:val="center"/>
            </w:pPr>
            <w:r>
              <w:rPr>
                <w:rFonts w:eastAsiaTheme="minorEastAsia"/>
                <w:szCs w:val="21"/>
              </w:rPr>
              <w:t>美国</w:t>
            </w:r>
          </w:p>
        </w:tc>
        <w:tc>
          <w:tcPr>
            <w:tcW w:w="0" w:type="auto"/>
            <w:vAlign w:val="center"/>
          </w:tcPr>
          <w:p w:rsidR="009B566F" w:rsidRDefault="00190F9A">
            <w:pPr>
              <w:jc w:val="right"/>
            </w:pPr>
            <w:r>
              <w:rPr>
                <w:rFonts w:eastAsiaTheme="minorEastAsia"/>
                <w:szCs w:val="21"/>
              </w:rPr>
              <w:t>6,637</w:t>
            </w:r>
          </w:p>
        </w:tc>
        <w:tc>
          <w:tcPr>
            <w:tcW w:w="0" w:type="auto"/>
            <w:vAlign w:val="center"/>
          </w:tcPr>
          <w:p w:rsidR="009B566F" w:rsidRDefault="00190F9A">
            <w:pPr>
              <w:jc w:val="right"/>
            </w:pPr>
            <w:r>
              <w:rPr>
                <w:rFonts w:eastAsiaTheme="minorEastAsia"/>
                <w:szCs w:val="21"/>
              </w:rPr>
              <w:t>6,046,293.73</w:t>
            </w:r>
          </w:p>
        </w:tc>
        <w:tc>
          <w:tcPr>
            <w:tcW w:w="0" w:type="auto"/>
            <w:vAlign w:val="center"/>
          </w:tcPr>
          <w:p w:rsidR="009B566F" w:rsidRDefault="00190F9A">
            <w:pPr>
              <w:jc w:val="right"/>
            </w:pPr>
            <w:r>
              <w:rPr>
                <w:rFonts w:eastAsiaTheme="minorEastAsia"/>
                <w:szCs w:val="21"/>
              </w:rPr>
              <w:t>4.78</w:t>
            </w:r>
          </w:p>
        </w:tc>
      </w:tr>
      <w:tr w:rsidR="009B566F">
        <w:tc>
          <w:tcPr>
            <w:tcW w:w="0" w:type="auto"/>
            <w:vAlign w:val="center"/>
          </w:tcPr>
          <w:p w:rsidR="009B566F" w:rsidRDefault="00190F9A">
            <w:pPr>
              <w:jc w:val="center"/>
            </w:pPr>
            <w:r>
              <w:rPr>
                <w:rFonts w:eastAsiaTheme="minorEastAsia"/>
                <w:szCs w:val="21"/>
              </w:rPr>
              <w:t>2</w:t>
            </w:r>
          </w:p>
        </w:tc>
        <w:tc>
          <w:tcPr>
            <w:tcW w:w="0" w:type="auto"/>
            <w:vAlign w:val="center"/>
          </w:tcPr>
          <w:p w:rsidR="009B566F" w:rsidRDefault="00190F9A">
            <w:pPr>
              <w:jc w:val="center"/>
            </w:pPr>
            <w:r>
              <w:rPr>
                <w:rFonts w:eastAsiaTheme="minorEastAsia"/>
                <w:szCs w:val="21"/>
              </w:rPr>
              <w:t>SHELL PLC (UK)</w:t>
            </w:r>
          </w:p>
        </w:tc>
        <w:tc>
          <w:tcPr>
            <w:tcW w:w="0" w:type="auto"/>
            <w:vAlign w:val="center"/>
          </w:tcPr>
          <w:p w:rsidR="009B566F" w:rsidRDefault="00190F9A">
            <w:pPr>
              <w:jc w:val="center"/>
            </w:pPr>
            <w:r>
              <w:rPr>
                <w:rFonts w:eastAsiaTheme="minorEastAsia"/>
                <w:szCs w:val="21"/>
              </w:rPr>
              <w:t>壳牌公共有限公司</w:t>
            </w:r>
          </w:p>
        </w:tc>
        <w:tc>
          <w:tcPr>
            <w:tcW w:w="0" w:type="auto"/>
            <w:vAlign w:val="center"/>
          </w:tcPr>
          <w:p w:rsidR="009B566F" w:rsidRDefault="00190F9A">
            <w:pPr>
              <w:jc w:val="center"/>
            </w:pPr>
            <w:r>
              <w:rPr>
                <w:rFonts w:eastAsiaTheme="minorEastAsia"/>
                <w:szCs w:val="21"/>
              </w:rPr>
              <w:t>SHEL</w:t>
            </w:r>
          </w:p>
        </w:tc>
        <w:tc>
          <w:tcPr>
            <w:tcW w:w="0" w:type="auto"/>
            <w:vAlign w:val="center"/>
          </w:tcPr>
          <w:p w:rsidR="009B566F" w:rsidRDefault="00190F9A">
            <w:pPr>
              <w:jc w:val="center"/>
            </w:pPr>
            <w:r>
              <w:rPr>
                <w:rFonts w:eastAsiaTheme="minorEastAsia"/>
                <w:szCs w:val="21"/>
              </w:rPr>
              <w:t>英国伦敦交易所</w:t>
            </w:r>
          </w:p>
        </w:tc>
        <w:tc>
          <w:tcPr>
            <w:tcW w:w="0" w:type="auto"/>
            <w:vAlign w:val="center"/>
          </w:tcPr>
          <w:p w:rsidR="009B566F" w:rsidRDefault="00190F9A">
            <w:pPr>
              <w:jc w:val="center"/>
            </w:pPr>
            <w:r>
              <w:rPr>
                <w:rFonts w:eastAsiaTheme="minorEastAsia"/>
                <w:szCs w:val="21"/>
              </w:rPr>
              <w:t>英国</w:t>
            </w:r>
          </w:p>
        </w:tc>
        <w:tc>
          <w:tcPr>
            <w:tcW w:w="0" w:type="auto"/>
            <w:vAlign w:val="center"/>
          </w:tcPr>
          <w:p w:rsidR="009B566F" w:rsidRDefault="00190F9A">
            <w:pPr>
              <w:jc w:val="right"/>
            </w:pPr>
            <w:r>
              <w:rPr>
                <w:rFonts w:eastAsiaTheme="minorEastAsia"/>
                <w:szCs w:val="21"/>
              </w:rPr>
              <w:t>16,036</w:t>
            </w:r>
          </w:p>
        </w:tc>
        <w:tc>
          <w:tcPr>
            <w:tcW w:w="0" w:type="auto"/>
            <w:vAlign w:val="center"/>
          </w:tcPr>
          <w:p w:rsidR="009B566F" w:rsidRDefault="00190F9A">
            <w:pPr>
              <w:jc w:val="right"/>
            </w:pPr>
            <w:r>
              <w:rPr>
                <w:rFonts w:eastAsiaTheme="minorEastAsia"/>
                <w:szCs w:val="21"/>
              </w:rPr>
              <w:t>3,788,673.38</w:t>
            </w:r>
          </w:p>
        </w:tc>
        <w:tc>
          <w:tcPr>
            <w:tcW w:w="0" w:type="auto"/>
            <w:vAlign w:val="center"/>
          </w:tcPr>
          <w:p w:rsidR="009B566F" w:rsidRDefault="00190F9A">
            <w:pPr>
              <w:jc w:val="right"/>
            </w:pPr>
            <w:r>
              <w:rPr>
                <w:rFonts w:eastAsiaTheme="minorEastAsia"/>
                <w:szCs w:val="21"/>
              </w:rPr>
              <w:t>2.99</w:t>
            </w:r>
          </w:p>
        </w:tc>
      </w:tr>
      <w:tr w:rsidR="009B566F">
        <w:tc>
          <w:tcPr>
            <w:tcW w:w="0" w:type="auto"/>
            <w:vAlign w:val="center"/>
          </w:tcPr>
          <w:p w:rsidR="009B566F" w:rsidRDefault="00190F9A">
            <w:pPr>
              <w:jc w:val="center"/>
            </w:pPr>
            <w:r>
              <w:rPr>
                <w:rFonts w:eastAsiaTheme="minorEastAsia"/>
                <w:szCs w:val="21"/>
              </w:rPr>
              <w:t>3</w:t>
            </w:r>
          </w:p>
        </w:tc>
        <w:tc>
          <w:tcPr>
            <w:tcW w:w="0" w:type="auto"/>
            <w:vAlign w:val="center"/>
          </w:tcPr>
          <w:p w:rsidR="009B566F" w:rsidRDefault="00190F9A">
            <w:pPr>
              <w:jc w:val="center"/>
            </w:pPr>
            <w:r>
              <w:rPr>
                <w:rFonts w:eastAsiaTheme="minorEastAsia"/>
                <w:szCs w:val="21"/>
              </w:rPr>
              <w:t>UNICREDIT SPA</w:t>
            </w:r>
          </w:p>
        </w:tc>
        <w:tc>
          <w:tcPr>
            <w:tcW w:w="0" w:type="auto"/>
            <w:vAlign w:val="center"/>
          </w:tcPr>
          <w:p w:rsidR="009B566F" w:rsidRDefault="00190F9A">
            <w:pPr>
              <w:jc w:val="center"/>
            </w:pPr>
            <w:r>
              <w:rPr>
                <w:rFonts w:eastAsiaTheme="minorEastAsia"/>
                <w:szCs w:val="21"/>
              </w:rPr>
              <w:t>裕信银行公共有限公司</w:t>
            </w:r>
          </w:p>
        </w:tc>
        <w:tc>
          <w:tcPr>
            <w:tcW w:w="0" w:type="auto"/>
            <w:vAlign w:val="center"/>
          </w:tcPr>
          <w:p w:rsidR="009B566F" w:rsidRDefault="00190F9A">
            <w:pPr>
              <w:jc w:val="center"/>
            </w:pPr>
            <w:r>
              <w:rPr>
                <w:rFonts w:eastAsiaTheme="minorEastAsia"/>
                <w:szCs w:val="21"/>
              </w:rPr>
              <w:t>UCG</w:t>
            </w:r>
          </w:p>
        </w:tc>
        <w:tc>
          <w:tcPr>
            <w:tcW w:w="0" w:type="auto"/>
            <w:vAlign w:val="center"/>
          </w:tcPr>
          <w:p w:rsidR="009B566F" w:rsidRDefault="00190F9A">
            <w:pPr>
              <w:jc w:val="center"/>
            </w:pPr>
            <w:r>
              <w:rPr>
                <w:rFonts w:eastAsiaTheme="minorEastAsia"/>
                <w:szCs w:val="21"/>
              </w:rPr>
              <w:t>意大利证券交易所</w:t>
            </w:r>
          </w:p>
        </w:tc>
        <w:tc>
          <w:tcPr>
            <w:tcW w:w="0" w:type="auto"/>
            <w:vAlign w:val="center"/>
          </w:tcPr>
          <w:p w:rsidR="009B566F" w:rsidRDefault="00190F9A">
            <w:pPr>
              <w:jc w:val="center"/>
            </w:pPr>
            <w:r>
              <w:rPr>
                <w:rFonts w:eastAsiaTheme="minorEastAsia"/>
                <w:szCs w:val="21"/>
              </w:rPr>
              <w:t>意大利</w:t>
            </w:r>
          </w:p>
        </w:tc>
        <w:tc>
          <w:tcPr>
            <w:tcW w:w="0" w:type="auto"/>
            <w:vAlign w:val="center"/>
          </w:tcPr>
          <w:p w:rsidR="009B566F" w:rsidRDefault="00190F9A">
            <w:pPr>
              <w:jc w:val="right"/>
            </w:pPr>
            <w:r>
              <w:rPr>
                <w:rFonts w:eastAsiaTheme="minorEastAsia"/>
                <w:szCs w:val="21"/>
              </w:rPr>
              <w:t>11,669</w:t>
            </w:r>
          </w:p>
        </w:tc>
        <w:tc>
          <w:tcPr>
            <w:tcW w:w="0" w:type="auto"/>
            <w:vAlign w:val="center"/>
          </w:tcPr>
          <w:p w:rsidR="009B566F" w:rsidRDefault="00190F9A">
            <w:pPr>
              <w:jc w:val="right"/>
            </w:pPr>
            <w:r>
              <w:rPr>
                <w:rFonts w:eastAsiaTheme="minorEastAsia"/>
                <w:szCs w:val="21"/>
              </w:rPr>
              <w:t>3,150,873.77</w:t>
            </w:r>
          </w:p>
        </w:tc>
        <w:tc>
          <w:tcPr>
            <w:tcW w:w="0" w:type="auto"/>
            <w:vAlign w:val="center"/>
          </w:tcPr>
          <w:p w:rsidR="009B566F" w:rsidRDefault="00190F9A">
            <w:pPr>
              <w:jc w:val="right"/>
            </w:pPr>
            <w:r>
              <w:rPr>
                <w:rFonts w:eastAsiaTheme="minorEastAsia"/>
                <w:szCs w:val="21"/>
              </w:rPr>
              <w:t>2.49</w:t>
            </w:r>
          </w:p>
        </w:tc>
      </w:tr>
      <w:tr w:rsidR="009B566F">
        <w:tc>
          <w:tcPr>
            <w:tcW w:w="0" w:type="auto"/>
            <w:vAlign w:val="center"/>
          </w:tcPr>
          <w:p w:rsidR="009B566F" w:rsidRDefault="00190F9A">
            <w:pPr>
              <w:jc w:val="center"/>
            </w:pPr>
            <w:r>
              <w:rPr>
                <w:rFonts w:eastAsiaTheme="minorEastAsia"/>
                <w:szCs w:val="21"/>
              </w:rPr>
              <w:t>4</w:t>
            </w:r>
          </w:p>
        </w:tc>
        <w:tc>
          <w:tcPr>
            <w:tcW w:w="0" w:type="auto"/>
            <w:vAlign w:val="center"/>
          </w:tcPr>
          <w:p w:rsidR="009B566F" w:rsidRDefault="00190F9A">
            <w:pPr>
              <w:jc w:val="center"/>
            </w:pPr>
            <w:r>
              <w:rPr>
                <w:rFonts w:eastAsiaTheme="minorEastAsia"/>
                <w:szCs w:val="21"/>
              </w:rPr>
              <w:t>ASML HOLDING NV</w:t>
            </w:r>
          </w:p>
        </w:tc>
        <w:tc>
          <w:tcPr>
            <w:tcW w:w="0" w:type="auto"/>
            <w:vAlign w:val="center"/>
          </w:tcPr>
          <w:p w:rsidR="009B566F" w:rsidRDefault="00190F9A">
            <w:pPr>
              <w:jc w:val="center"/>
            </w:pPr>
            <w:r>
              <w:rPr>
                <w:rFonts w:eastAsiaTheme="minorEastAsia"/>
                <w:szCs w:val="21"/>
              </w:rPr>
              <w:t>阿斯麦控股公司</w:t>
            </w:r>
          </w:p>
        </w:tc>
        <w:tc>
          <w:tcPr>
            <w:tcW w:w="0" w:type="auto"/>
            <w:vAlign w:val="center"/>
          </w:tcPr>
          <w:p w:rsidR="009B566F" w:rsidRDefault="00190F9A">
            <w:pPr>
              <w:jc w:val="center"/>
            </w:pPr>
            <w:r>
              <w:rPr>
                <w:rFonts w:eastAsiaTheme="minorEastAsia"/>
                <w:szCs w:val="21"/>
              </w:rPr>
              <w:t>ASML</w:t>
            </w:r>
          </w:p>
        </w:tc>
        <w:tc>
          <w:tcPr>
            <w:tcW w:w="0" w:type="auto"/>
            <w:vAlign w:val="center"/>
          </w:tcPr>
          <w:p w:rsidR="009B566F" w:rsidRDefault="00190F9A">
            <w:pPr>
              <w:jc w:val="center"/>
            </w:pPr>
            <w:r>
              <w:rPr>
                <w:rFonts w:eastAsiaTheme="minorEastAsia"/>
                <w:szCs w:val="21"/>
              </w:rPr>
              <w:t>荷兰证券交</w:t>
            </w:r>
            <w:r>
              <w:rPr>
                <w:rFonts w:eastAsiaTheme="minorEastAsia"/>
                <w:szCs w:val="21"/>
              </w:rPr>
              <w:lastRenderedPageBreak/>
              <w:t>易所</w:t>
            </w:r>
          </w:p>
        </w:tc>
        <w:tc>
          <w:tcPr>
            <w:tcW w:w="0" w:type="auto"/>
            <w:vAlign w:val="center"/>
          </w:tcPr>
          <w:p w:rsidR="009B566F" w:rsidRDefault="00190F9A">
            <w:pPr>
              <w:jc w:val="center"/>
            </w:pPr>
            <w:r>
              <w:rPr>
                <w:rFonts w:eastAsiaTheme="minorEastAsia"/>
                <w:szCs w:val="21"/>
              </w:rPr>
              <w:lastRenderedPageBreak/>
              <w:t>荷兰</w:t>
            </w:r>
          </w:p>
        </w:tc>
        <w:tc>
          <w:tcPr>
            <w:tcW w:w="0" w:type="auto"/>
            <w:vAlign w:val="center"/>
          </w:tcPr>
          <w:p w:rsidR="009B566F" w:rsidRDefault="00190F9A">
            <w:pPr>
              <w:jc w:val="right"/>
            </w:pPr>
            <w:r>
              <w:rPr>
                <w:rFonts w:eastAsiaTheme="minorEastAsia"/>
                <w:szCs w:val="21"/>
              </w:rPr>
              <w:t>406</w:t>
            </w:r>
          </w:p>
        </w:tc>
        <w:tc>
          <w:tcPr>
            <w:tcW w:w="0" w:type="auto"/>
            <w:vAlign w:val="center"/>
          </w:tcPr>
          <w:p w:rsidR="009B566F" w:rsidRDefault="00190F9A">
            <w:pPr>
              <w:jc w:val="right"/>
            </w:pPr>
            <w:r>
              <w:rPr>
                <w:rFonts w:eastAsiaTheme="minorEastAsia"/>
                <w:szCs w:val="21"/>
              </w:rPr>
              <w:t>2,780,683.16</w:t>
            </w:r>
          </w:p>
        </w:tc>
        <w:tc>
          <w:tcPr>
            <w:tcW w:w="0" w:type="auto"/>
            <w:vAlign w:val="center"/>
          </w:tcPr>
          <w:p w:rsidR="009B566F" w:rsidRDefault="00190F9A">
            <w:pPr>
              <w:jc w:val="right"/>
            </w:pPr>
            <w:r>
              <w:rPr>
                <w:rFonts w:eastAsiaTheme="minorEastAsia"/>
                <w:szCs w:val="21"/>
              </w:rPr>
              <w:t>2.20</w:t>
            </w:r>
          </w:p>
        </w:tc>
      </w:tr>
      <w:tr w:rsidR="009B566F">
        <w:tc>
          <w:tcPr>
            <w:tcW w:w="0" w:type="auto"/>
            <w:vAlign w:val="center"/>
          </w:tcPr>
          <w:p w:rsidR="009B566F" w:rsidRDefault="00190F9A">
            <w:pPr>
              <w:jc w:val="center"/>
            </w:pPr>
            <w:r>
              <w:rPr>
                <w:rFonts w:eastAsiaTheme="minorEastAsia"/>
                <w:szCs w:val="21"/>
              </w:rPr>
              <w:t>5</w:t>
            </w:r>
          </w:p>
        </w:tc>
        <w:tc>
          <w:tcPr>
            <w:tcW w:w="0" w:type="auto"/>
            <w:vAlign w:val="center"/>
          </w:tcPr>
          <w:p w:rsidR="009B566F" w:rsidRDefault="00190F9A">
            <w:pPr>
              <w:jc w:val="center"/>
            </w:pPr>
            <w:r>
              <w:rPr>
                <w:rFonts w:eastAsiaTheme="minorEastAsia"/>
                <w:szCs w:val="21"/>
              </w:rPr>
              <w:t>TotalEnergies SE</w:t>
            </w:r>
          </w:p>
        </w:tc>
        <w:tc>
          <w:tcPr>
            <w:tcW w:w="0" w:type="auto"/>
            <w:vAlign w:val="center"/>
          </w:tcPr>
          <w:p w:rsidR="009B566F" w:rsidRDefault="00190F9A">
            <w:pPr>
              <w:jc w:val="center"/>
            </w:pPr>
            <w:r>
              <w:rPr>
                <w:rFonts w:eastAsiaTheme="minorEastAsia"/>
                <w:szCs w:val="21"/>
              </w:rPr>
              <w:t>道达尔集团</w:t>
            </w:r>
          </w:p>
        </w:tc>
        <w:tc>
          <w:tcPr>
            <w:tcW w:w="0" w:type="auto"/>
            <w:vAlign w:val="center"/>
          </w:tcPr>
          <w:p w:rsidR="009B566F" w:rsidRDefault="00190F9A">
            <w:pPr>
              <w:jc w:val="center"/>
            </w:pPr>
            <w:r>
              <w:rPr>
                <w:rFonts w:eastAsiaTheme="minorEastAsia"/>
                <w:szCs w:val="21"/>
              </w:rPr>
              <w:t>TTE</w:t>
            </w:r>
          </w:p>
        </w:tc>
        <w:tc>
          <w:tcPr>
            <w:tcW w:w="0" w:type="auto"/>
            <w:vAlign w:val="center"/>
          </w:tcPr>
          <w:p w:rsidR="009B566F" w:rsidRDefault="00190F9A">
            <w:pPr>
              <w:jc w:val="center"/>
            </w:pPr>
            <w:r>
              <w:rPr>
                <w:rFonts w:eastAsiaTheme="minorEastAsia"/>
                <w:szCs w:val="21"/>
              </w:rPr>
              <w:t>巴黎证券交易所</w:t>
            </w:r>
          </w:p>
        </w:tc>
        <w:tc>
          <w:tcPr>
            <w:tcW w:w="0" w:type="auto"/>
            <w:vAlign w:val="center"/>
          </w:tcPr>
          <w:p w:rsidR="009B566F" w:rsidRDefault="00190F9A">
            <w:pPr>
              <w:jc w:val="center"/>
            </w:pPr>
            <w:r>
              <w:rPr>
                <w:rFonts w:eastAsiaTheme="minorEastAsia"/>
                <w:szCs w:val="21"/>
              </w:rPr>
              <w:t>法国</w:t>
            </w:r>
          </w:p>
        </w:tc>
        <w:tc>
          <w:tcPr>
            <w:tcW w:w="0" w:type="auto"/>
            <w:vAlign w:val="center"/>
          </w:tcPr>
          <w:p w:rsidR="009B566F" w:rsidRDefault="00190F9A">
            <w:pPr>
              <w:jc w:val="right"/>
            </w:pPr>
            <w:r>
              <w:rPr>
                <w:rFonts w:eastAsiaTheme="minorEastAsia"/>
                <w:szCs w:val="21"/>
              </w:rPr>
              <w:t>5,502</w:t>
            </w:r>
          </w:p>
        </w:tc>
        <w:tc>
          <w:tcPr>
            <w:tcW w:w="0" w:type="auto"/>
            <w:vAlign w:val="center"/>
          </w:tcPr>
          <w:p w:rsidR="009B566F" w:rsidRDefault="00190F9A">
            <w:pPr>
              <w:jc w:val="right"/>
            </w:pPr>
            <w:r>
              <w:rPr>
                <w:rFonts w:eastAsiaTheme="minorEastAsia"/>
                <w:szCs w:val="21"/>
              </w:rPr>
              <w:t>2,680,725.46</w:t>
            </w:r>
          </w:p>
        </w:tc>
        <w:tc>
          <w:tcPr>
            <w:tcW w:w="0" w:type="auto"/>
            <w:vAlign w:val="center"/>
          </w:tcPr>
          <w:p w:rsidR="009B566F" w:rsidRDefault="00190F9A">
            <w:pPr>
              <w:jc w:val="right"/>
            </w:pPr>
            <w:r>
              <w:rPr>
                <w:rFonts w:eastAsiaTheme="minorEastAsia"/>
                <w:szCs w:val="21"/>
              </w:rPr>
              <w:t>2.12</w:t>
            </w:r>
          </w:p>
        </w:tc>
      </w:tr>
      <w:tr w:rsidR="009B566F">
        <w:tc>
          <w:tcPr>
            <w:tcW w:w="0" w:type="auto"/>
            <w:vAlign w:val="center"/>
          </w:tcPr>
          <w:p w:rsidR="009B566F" w:rsidRDefault="00190F9A">
            <w:pPr>
              <w:jc w:val="center"/>
            </w:pPr>
            <w:r>
              <w:rPr>
                <w:rFonts w:eastAsiaTheme="minorEastAsia"/>
                <w:szCs w:val="21"/>
              </w:rPr>
              <w:t>6</w:t>
            </w:r>
          </w:p>
        </w:tc>
        <w:tc>
          <w:tcPr>
            <w:tcW w:w="0" w:type="auto"/>
            <w:vAlign w:val="center"/>
          </w:tcPr>
          <w:p w:rsidR="009B566F" w:rsidRDefault="00190F9A">
            <w:pPr>
              <w:jc w:val="center"/>
            </w:pPr>
            <w:r>
              <w:rPr>
                <w:rFonts w:eastAsiaTheme="minorEastAsia"/>
                <w:szCs w:val="21"/>
              </w:rPr>
              <w:t>GSK PLC</w:t>
            </w:r>
          </w:p>
        </w:tc>
        <w:tc>
          <w:tcPr>
            <w:tcW w:w="0" w:type="auto"/>
            <w:vAlign w:val="center"/>
          </w:tcPr>
          <w:p w:rsidR="009B566F" w:rsidRDefault="00190F9A">
            <w:pPr>
              <w:jc w:val="center"/>
            </w:pPr>
            <w:r>
              <w:rPr>
                <w:rFonts w:eastAsiaTheme="minorEastAsia"/>
                <w:szCs w:val="21"/>
              </w:rPr>
              <w:t>葛兰素史克公共有限公司</w:t>
            </w:r>
          </w:p>
        </w:tc>
        <w:tc>
          <w:tcPr>
            <w:tcW w:w="0" w:type="auto"/>
            <w:vAlign w:val="center"/>
          </w:tcPr>
          <w:p w:rsidR="009B566F" w:rsidRDefault="00190F9A">
            <w:pPr>
              <w:jc w:val="center"/>
            </w:pPr>
            <w:r>
              <w:rPr>
                <w:rFonts w:eastAsiaTheme="minorEastAsia"/>
                <w:szCs w:val="21"/>
              </w:rPr>
              <w:t>GSK</w:t>
            </w:r>
          </w:p>
        </w:tc>
        <w:tc>
          <w:tcPr>
            <w:tcW w:w="0" w:type="auto"/>
            <w:vAlign w:val="center"/>
          </w:tcPr>
          <w:p w:rsidR="009B566F" w:rsidRDefault="00190F9A">
            <w:pPr>
              <w:jc w:val="center"/>
            </w:pPr>
            <w:r>
              <w:rPr>
                <w:rFonts w:eastAsiaTheme="minorEastAsia"/>
                <w:szCs w:val="21"/>
              </w:rPr>
              <w:t>英国伦敦交易所</w:t>
            </w:r>
          </w:p>
        </w:tc>
        <w:tc>
          <w:tcPr>
            <w:tcW w:w="0" w:type="auto"/>
            <w:vAlign w:val="center"/>
          </w:tcPr>
          <w:p w:rsidR="009B566F" w:rsidRDefault="00190F9A">
            <w:pPr>
              <w:jc w:val="center"/>
            </w:pPr>
            <w:r>
              <w:rPr>
                <w:rFonts w:eastAsiaTheme="minorEastAsia"/>
                <w:szCs w:val="21"/>
              </w:rPr>
              <w:t>英国</w:t>
            </w:r>
          </w:p>
        </w:tc>
        <w:tc>
          <w:tcPr>
            <w:tcW w:w="0" w:type="auto"/>
            <w:vAlign w:val="center"/>
          </w:tcPr>
          <w:p w:rsidR="009B566F" w:rsidRDefault="00190F9A">
            <w:pPr>
              <w:jc w:val="right"/>
            </w:pPr>
            <w:r>
              <w:rPr>
                <w:rFonts w:eastAsiaTheme="minorEastAsia"/>
                <w:szCs w:val="21"/>
              </w:rPr>
              <w:t>15,831</w:t>
            </w:r>
          </w:p>
        </w:tc>
        <w:tc>
          <w:tcPr>
            <w:tcW w:w="0" w:type="auto"/>
            <w:vAlign w:val="center"/>
          </w:tcPr>
          <w:p w:rsidR="009B566F" w:rsidRDefault="00190F9A">
            <w:pPr>
              <w:jc w:val="right"/>
            </w:pPr>
            <w:r>
              <w:rPr>
                <w:rFonts w:eastAsiaTheme="minorEastAsia"/>
                <w:szCs w:val="21"/>
              </w:rPr>
              <w:t>2,434,504.43</w:t>
            </w:r>
          </w:p>
        </w:tc>
        <w:tc>
          <w:tcPr>
            <w:tcW w:w="0" w:type="auto"/>
            <w:vAlign w:val="center"/>
          </w:tcPr>
          <w:p w:rsidR="009B566F" w:rsidRDefault="00190F9A">
            <w:pPr>
              <w:jc w:val="right"/>
            </w:pPr>
            <w:r>
              <w:rPr>
                <w:rFonts w:eastAsiaTheme="minorEastAsia"/>
                <w:szCs w:val="21"/>
              </w:rPr>
              <w:t>1.92</w:t>
            </w:r>
          </w:p>
        </w:tc>
      </w:tr>
      <w:tr w:rsidR="009B566F">
        <w:tc>
          <w:tcPr>
            <w:tcW w:w="0" w:type="auto"/>
            <w:vAlign w:val="center"/>
          </w:tcPr>
          <w:p w:rsidR="009B566F" w:rsidRDefault="00190F9A">
            <w:pPr>
              <w:jc w:val="center"/>
            </w:pPr>
            <w:r>
              <w:rPr>
                <w:rFonts w:eastAsiaTheme="minorEastAsia"/>
                <w:szCs w:val="21"/>
              </w:rPr>
              <w:t>7</w:t>
            </w:r>
          </w:p>
        </w:tc>
        <w:tc>
          <w:tcPr>
            <w:tcW w:w="0" w:type="auto"/>
            <w:vAlign w:val="center"/>
          </w:tcPr>
          <w:p w:rsidR="009B566F" w:rsidRDefault="00190F9A">
            <w:pPr>
              <w:jc w:val="center"/>
            </w:pPr>
            <w:r>
              <w:rPr>
                <w:rFonts w:eastAsiaTheme="minorEastAsia"/>
                <w:szCs w:val="21"/>
              </w:rPr>
              <w:t>AIR LIQUIDE SA</w:t>
            </w:r>
          </w:p>
        </w:tc>
        <w:tc>
          <w:tcPr>
            <w:tcW w:w="0" w:type="auto"/>
            <w:vAlign w:val="center"/>
          </w:tcPr>
          <w:p w:rsidR="009B566F" w:rsidRDefault="00190F9A">
            <w:pPr>
              <w:jc w:val="center"/>
            </w:pPr>
            <w:r>
              <w:rPr>
                <w:rFonts w:eastAsiaTheme="minorEastAsia"/>
                <w:szCs w:val="21"/>
              </w:rPr>
              <w:t>液化空气集团</w:t>
            </w:r>
          </w:p>
        </w:tc>
        <w:tc>
          <w:tcPr>
            <w:tcW w:w="0" w:type="auto"/>
            <w:vAlign w:val="center"/>
          </w:tcPr>
          <w:p w:rsidR="009B566F" w:rsidRDefault="00190F9A">
            <w:pPr>
              <w:jc w:val="center"/>
            </w:pPr>
            <w:r>
              <w:rPr>
                <w:rFonts w:eastAsiaTheme="minorEastAsia"/>
                <w:szCs w:val="21"/>
              </w:rPr>
              <w:t>AI</w:t>
            </w:r>
          </w:p>
        </w:tc>
        <w:tc>
          <w:tcPr>
            <w:tcW w:w="0" w:type="auto"/>
            <w:vAlign w:val="center"/>
          </w:tcPr>
          <w:p w:rsidR="009B566F" w:rsidRDefault="00190F9A">
            <w:pPr>
              <w:jc w:val="center"/>
            </w:pPr>
            <w:r>
              <w:rPr>
                <w:rFonts w:eastAsiaTheme="minorEastAsia"/>
                <w:szCs w:val="21"/>
              </w:rPr>
              <w:t>巴黎证券交易所</w:t>
            </w:r>
          </w:p>
        </w:tc>
        <w:tc>
          <w:tcPr>
            <w:tcW w:w="0" w:type="auto"/>
            <w:vAlign w:val="center"/>
          </w:tcPr>
          <w:p w:rsidR="009B566F" w:rsidRDefault="00190F9A">
            <w:pPr>
              <w:jc w:val="center"/>
            </w:pPr>
            <w:r>
              <w:rPr>
                <w:rFonts w:eastAsiaTheme="minorEastAsia"/>
                <w:szCs w:val="21"/>
              </w:rPr>
              <w:t>法国</w:t>
            </w:r>
          </w:p>
        </w:tc>
        <w:tc>
          <w:tcPr>
            <w:tcW w:w="0" w:type="auto"/>
            <w:vAlign w:val="center"/>
          </w:tcPr>
          <w:p w:rsidR="009B566F" w:rsidRDefault="00190F9A">
            <w:pPr>
              <w:jc w:val="right"/>
            </w:pPr>
            <w:r>
              <w:rPr>
                <w:rFonts w:eastAsiaTheme="minorEastAsia"/>
                <w:szCs w:val="21"/>
              </w:rPr>
              <w:t>1,637</w:t>
            </w:r>
          </w:p>
        </w:tc>
        <w:tc>
          <w:tcPr>
            <w:tcW w:w="0" w:type="auto"/>
            <w:vAlign w:val="center"/>
          </w:tcPr>
          <w:p w:rsidR="009B566F" w:rsidRDefault="00190F9A">
            <w:pPr>
              <w:jc w:val="right"/>
            </w:pPr>
            <w:r>
              <w:rPr>
                <w:rFonts w:eastAsiaTheme="minorEastAsia"/>
                <w:szCs w:val="21"/>
              </w:rPr>
              <w:t>2,423,310.46</w:t>
            </w:r>
          </w:p>
        </w:tc>
        <w:tc>
          <w:tcPr>
            <w:tcW w:w="0" w:type="auto"/>
            <w:vAlign w:val="center"/>
          </w:tcPr>
          <w:p w:rsidR="009B566F" w:rsidRDefault="00190F9A">
            <w:pPr>
              <w:jc w:val="right"/>
            </w:pPr>
            <w:r>
              <w:rPr>
                <w:rFonts w:eastAsiaTheme="minorEastAsia"/>
                <w:szCs w:val="21"/>
              </w:rPr>
              <w:t>1.91</w:t>
            </w:r>
          </w:p>
        </w:tc>
      </w:tr>
      <w:tr w:rsidR="009B566F">
        <w:tc>
          <w:tcPr>
            <w:tcW w:w="0" w:type="auto"/>
            <w:vAlign w:val="center"/>
          </w:tcPr>
          <w:p w:rsidR="009B566F" w:rsidRDefault="00190F9A">
            <w:pPr>
              <w:jc w:val="center"/>
            </w:pPr>
            <w:r>
              <w:rPr>
                <w:rFonts w:eastAsiaTheme="minorEastAsia"/>
                <w:szCs w:val="21"/>
              </w:rPr>
              <w:t>8</w:t>
            </w:r>
          </w:p>
        </w:tc>
        <w:tc>
          <w:tcPr>
            <w:tcW w:w="0" w:type="auto"/>
            <w:vAlign w:val="center"/>
          </w:tcPr>
          <w:p w:rsidR="009B566F" w:rsidRDefault="00190F9A">
            <w:pPr>
              <w:jc w:val="center"/>
            </w:pPr>
            <w:r>
              <w:rPr>
                <w:rFonts w:eastAsiaTheme="minorEastAsia"/>
                <w:szCs w:val="21"/>
              </w:rPr>
              <w:t>ALLIANZ SE-REG</w:t>
            </w:r>
          </w:p>
        </w:tc>
        <w:tc>
          <w:tcPr>
            <w:tcW w:w="0" w:type="auto"/>
            <w:vAlign w:val="center"/>
          </w:tcPr>
          <w:p w:rsidR="009B566F" w:rsidRDefault="00190F9A">
            <w:pPr>
              <w:jc w:val="center"/>
            </w:pPr>
            <w:r>
              <w:rPr>
                <w:rFonts w:eastAsiaTheme="minorEastAsia"/>
                <w:szCs w:val="21"/>
              </w:rPr>
              <w:t>安联保险有限公司</w:t>
            </w:r>
          </w:p>
        </w:tc>
        <w:tc>
          <w:tcPr>
            <w:tcW w:w="0" w:type="auto"/>
            <w:vAlign w:val="center"/>
          </w:tcPr>
          <w:p w:rsidR="009B566F" w:rsidRDefault="00190F9A">
            <w:pPr>
              <w:jc w:val="center"/>
            </w:pPr>
            <w:r>
              <w:rPr>
                <w:rFonts w:eastAsiaTheme="minorEastAsia"/>
                <w:szCs w:val="21"/>
              </w:rPr>
              <w:t>ALV</w:t>
            </w:r>
          </w:p>
        </w:tc>
        <w:tc>
          <w:tcPr>
            <w:tcW w:w="0" w:type="auto"/>
            <w:vAlign w:val="center"/>
          </w:tcPr>
          <w:p w:rsidR="009B566F" w:rsidRDefault="00190F9A">
            <w:pPr>
              <w:jc w:val="center"/>
            </w:pPr>
            <w:r>
              <w:rPr>
                <w:rFonts w:eastAsiaTheme="minorEastAsia"/>
                <w:szCs w:val="21"/>
              </w:rPr>
              <w:t>法兰克福证券交易所</w:t>
            </w:r>
          </w:p>
        </w:tc>
        <w:tc>
          <w:tcPr>
            <w:tcW w:w="0" w:type="auto"/>
            <w:vAlign w:val="center"/>
          </w:tcPr>
          <w:p w:rsidR="009B566F" w:rsidRDefault="00190F9A">
            <w:pPr>
              <w:jc w:val="center"/>
            </w:pPr>
            <w:r>
              <w:rPr>
                <w:rFonts w:eastAsiaTheme="minorEastAsia"/>
                <w:szCs w:val="21"/>
              </w:rPr>
              <w:t>德国</w:t>
            </w:r>
          </w:p>
        </w:tc>
        <w:tc>
          <w:tcPr>
            <w:tcW w:w="0" w:type="auto"/>
            <w:vAlign w:val="center"/>
          </w:tcPr>
          <w:p w:rsidR="009B566F" w:rsidRDefault="00190F9A">
            <w:pPr>
              <w:jc w:val="right"/>
            </w:pPr>
            <w:r>
              <w:rPr>
                <w:rFonts w:eastAsiaTheme="minorEastAsia"/>
                <w:szCs w:val="21"/>
              </w:rPr>
              <w:t>1,051</w:t>
            </w:r>
          </w:p>
        </w:tc>
        <w:tc>
          <w:tcPr>
            <w:tcW w:w="0" w:type="auto"/>
            <w:vAlign w:val="center"/>
          </w:tcPr>
          <w:p w:rsidR="009B566F" w:rsidRDefault="00190F9A">
            <w:pPr>
              <w:jc w:val="right"/>
            </w:pPr>
            <w:r>
              <w:rPr>
                <w:rFonts w:eastAsiaTheme="minorEastAsia"/>
                <w:szCs w:val="21"/>
              </w:rPr>
              <w:t>2,241,290.82</w:t>
            </w:r>
          </w:p>
        </w:tc>
        <w:tc>
          <w:tcPr>
            <w:tcW w:w="0" w:type="auto"/>
            <w:vAlign w:val="center"/>
          </w:tcPr>
          <w:p w:rsidR="009B566F" w:rsidRDefault="00190F9A">
            <w:pPr>
              <w:jc w:val="right"/>
            </w:pPr>
            <w:r>
              <w:rPr>
                <w:rFonts w:eastAsiaTheme="minorEastAsia"/>
                <w:szCs w:val="21"/>
              </w:rPr>
              <w:t>1.77</w:t>
            </w:r>
          </w:p>
        </w:tc>
      </w:tr>
      <w:tr w:rsidR="009B566F">
        <w:tc>
          <w:tcPr>
            <w:tcW w:w="0" w:type="auto"/>
            <w:vAlign w:val="center"/>
          </w:tcPr>
          <w:p w:rsidR="009B566F" w:rsidRDefault="00190F9A">
            <w:pPr>
              <w:jc w:val="center"/>
            </w:pPr>
            <w:r>
              <w:rPr>
                <w:rFonts w:eastAsiaTheme="minorEastAsia"/>
                <w:szCs w:val="21"/>
              </w:rPr>
              <w:t>9</w:t>
            </w:r>
          </w:p>
        </w:tc>
        <w:tc>
          <w:tcPr>
            <w:tcW w:w="0" w:type="auto"/>
            <w:vAlign w:val="center"/>
          </w:tcPr>
          <w:p w:rsidR="009B566F" w:rsidRDefault="00190F9A">
            <w:pPr>
              <w:jc w:val="center"/>
            </w:pPr>
            <w:r>
              <w:rPr>
                <w:rFonts w:eastAsiaTheme="minorEastAsia"/>
                <w:szCs w:val="21"/>
              </w:rPr>
              <w:t>INDUSTRIA DE DISENO TEXTIL</w:t>
            </w:r>
          </w:p>
        </w:tc>
        <w:tc>
          <w:tcPr>
            <w:tcW w:w="0" w:type="auto"/>
            <w:vAlign w:val="center"/>
          </w:tcPr>
          <w:p w:rsidR="009B566F" w:rsidRDefault="00190F9A">
            <w:pPr>
              <w:jc w:val="center"/>
            </w:pPr>
            <w:r>
              <w:rPr>
                <w:rFonts w:eastAsiaTheme="minorEastAsia"/>
                <w:szCs w:val="21"/>
              </w:rPr>
              <w:t>爱特思集团</w:t>
            </w:r>
          </w:p>
        </w:tc>
        <w:tc>
          <w:tcPr>
            <w:tcW w:w="0" w:type="auto"/>
            <w:vAlign w:val="center"/>
          </w:tcPr>
          <w:p w:rsidR="009B566F" w:rsidRDefault="00190F9A">
            <w:pPr>
              <w:jc w:val="center"/>
            </w:pPr>
            <w:r>
              <w:rPr>
                <w:rFonts w:eastAsiaTheme="minorEastAsia"/>
                <w:szCs w:val="21"/>
              </w:rPr>
              <w:t>ITX</w:t>
            </w:r>
          </w:p>
        </w:tc>
        <w:tc>
          <w:tcPr>
            <w:tcW w:w="0" w:type="auto"/>
            <w:vAlign w:val="center"/>
          </w:tcPr>
          <w:p w:rsidR="009B566F" w:rsidRDefault="00190F9A">
            <w:pPr>
              <w:jc w:val="center"/>
            </w:pPr>
            <w:r>
              <w:rPr>
                <w:rFonts w:eastAsiaTheme="minorEastAsia"/>
                <w:szCs w:val="21"/>
              </w:rPr>
              <w:t>西班牙证券交易所</w:t>
            </w:r>
          </w:p>
        </w:tc>
        <w:tc>
          <w:tcPr>
            <w:tcW w:w="0" w:type="auto"/>
            <w:vAlign w:val="center"/>
          </w:tcPr>
          <w:p w:rsidR="009B566F" w:rsidRDefault="00190F9A">
            <w:pPr>
              <w:jc w:val="center"/>
            </w:pPr>
            <w:r>
              <w:rPr>
                <w:rFonts w:eastAsiaTheme="minorEastAsia"/>
                <w:szCs w:val="21"/>
              </w:rPr>
              <w:t>西班牙</w:t>
            </w:r>
          </w:p>
        </w:tc>
        <w:tc>
          <w:tcPr>
            <w:tcW w:w="0" w:type="auto"/>
            <w:vAlign w:val="center"/>
          </w:tcPr>
          <w:p w:rsidR="009B566F" w:rsidRDefault="00190F9A">
            <w:pPr>
              <w:jc w:val="right"/>
            </w:pPr>
            <w:r>
              <w:rPr>
                <w:rFonts w:eastAsiaTheme="minorEastAsia"/>
                <w:szCs w:val="21"/>
              </w:rPr>
              <w:t>6,191</w:t>
            </w:r>
          </w:p>
        </w:tc>
        <w:tc>
          <w:tcPr>
            <w:tcW w:w="0" w:type="auto"/>
            <w:vAlign w:val="center"/>
          </w:tcPr>
          <w:p w:rsidR="009B566F" w:rsidRDefault="00190F9A">
            <w:pPr>
              <w:jc w:val="right"/>
            </w:pPr>
            <w:r>
              <w:rPr>
                <w:rFonts w:eastAsiaTheme="minorEastAsia"/>
                <w:szCs w:val="21"/>
              </w:rPr>
              <w:t>2,218,001.62</w:t>
            </w:r>
          </w:p>
        </w:tc>
        <w:tc>
          <w:tcPr>
            <w:tcW w:w="0" w:type="auto"/>
            <w:vAlign w:val="center"/>
          </w:tcPr>
          <w:p w:rsidR="009B566F" w:rsidRDefault="00190F9A">
            <w:pPr>
              <w:jc w:val="right"/>
            </w:pPr>
            <w:r>
              <w:rPr>
                <w:rFonts w:eastAsiaTheme="minorEastAsia"/>
                <w:szCs w:val="21"/>
              </w:rPr>
              <w:t>1.75</w:t>
            </w:r>
          </w:p>
        </w:tc>
      </w:tr>
      <w:tr w:rsidR="009B566F">
        <w:tc>
          <w:tcPr>
            <w:tcW w:w="0" w:type="auto"/>
            <w:vAlign w:val="center"/>
          </w:tcPr>
          <w:p w:rsidR="009B566F" w:rsidRDefault="00190F9A">
            <w:pPr>
              <w:jc w:val="center"/>
            </w:pPr>
            <w:r>
              <w:rPr>
                <w:rFonts w:eastAsiaTheme="minorEastAsia"/>
                <w:szCs w:val="21"/>
              </w:rPr>
              <w:t>10</w:t>
            </w:r>
          </w:p>
        </w:tc>
        <w:tc>
          <w:tcPr>
            <w:tcW w:w="0" w:type="auto"/>
            <w:vAlign w:val="center"/>
          </w:tcPr>
          <w:p w:rsidR="009B566F" w:rsidRDefault="00190F9A">
            <w:pPr>
              <w:jc w:val="center"/>
            </w:pPr>
            <w:r>
              <w:rPr>
                <w:rFonts w:eastAsiaTheme="minorEastAsia"/>
                <w:szCs w:val="21"/>
              </w:rPr>
              <w:t>SCHNEIDER ELECTRIC SE</w:t>
            </w:r>
          </w:p>
        </w:tc>
        <w:tc>
          <w:tcPr>
            <w:tcW w:w="0" w:type="auto"/>
            <w:vAlign w:val="center"/>
          </w:tcPr>
          <w:p w:rsidR="009B566F" w:rsidRDefault="00190F9A">
            <w:pPr>
              <w:jc w:val="center"/>
            </w:pPr>
            <w:r>
              <w:rPr>
                <w:rFonts w:eastAsiaTheme="minorEastAsia"/>
                <w:szCs w:val="21"/>
              </w:rPr>
              <w:t>施耐德电气有限公</w:t>
            </w:r>
            <w:r>
              <w:rPr>
                <w:rFonts w:eastAsiaTheme="minorEastAsia"/>
                <w:szCs w:val="21"/>
              </w:rPr>
              <w:lastRenderedPageBreak/>
              <w:t>司</w:t>
            </w:r>
          </w:p>
        </w:tc>
        <w:tc>
          <w:tcPr>
            <w:tcW w:w="0" w:type="auto"/>
            <w:vAlign w:val="center"/>
          </w:tcPr>
          <w:p w:rsidR="009B566F" w:rsidRDefault="00190F9A">
            <w:pPr>
              <w:jc w:val="center"/>
            </w:pPr>
            <w:r>
              <w:rPr>
                <w:rFonts w:eastAsiaTheme="minorEastAsia"/>
                <w:szCs w:val="21"/>
              </w:rPr>
              <w:lastRenderedPageBreak/>
              <w:t>SU</w:t>
            </w:r>
          </w:p>
        </w:tc>
        <w:tc>
          <w:tcPr>
            <w:tcW w:w="0" w:type="auto"/>
            <w:vAlign w:val="center"/>
          </w:tcPr>
          <w:p w:rsidR="009B566F" w:rsidRDefault="00190F9A">
            <w:pPr>
              <w:jc w:val="center"/>
            </w:pPr>
            <w:r>
              <w:rPr>
                <w:rFonts w:eastAsiaTheme="minorEastAsia"/>
                <w:szCs w:val="21"/>
              </w:rPr>
              <w:t>巴黎证券</w:t>
            </w:r>
            <w:r>
              <w:rPr>
                <w:rFonts w:eastAsiaTheme="minorEastAsia"/>
                <w:szCs w:val="21"/>
              </w:rPr>
              <w:lastRenderedPageBreak/>
              <w:t>交易所</w:t>
            </w:r>
          </w:p>
        </w:tc>
        <w:tc>
          <w:tcPr>
            <w:tcW w:w="0" w:type="auto"/>
            <w:vAlign w:val="center"/>
          </w:tcPr>
          <w:p w:rsidR="009B566F" w:rsidRDefault="00190F9A">
            <w:pPr>
              <w:jc w:val="center"/>
            </w:pPr>
            <w:r>
              <w:rPr>
                <w:rFonts w:eastAsiaTheme="minorEastAsia"/>
                <w:szCs w:val="21"/>
              </w:rPr>
              <w:lastRenderedPageBreak/>
              <w:t>法国</w:t>
            </w:r>
          </w:p>
        </w:tc>
        <w:tc>
          <w:tcPr>
            <w:tcW w:w="0" w:type="auto"/>
            <w:vAlign w:val="center"/>
          </w:tcPr>
          <w:p w:rsidR="009B566F" w:rsidRDefault="00190F9A">
            <w:pPr>
              <w:jc w:val="right"/>
            </w:pPr>
            <w:r>
              <w:rPr>
                <w:rFonts w:eastAsiaTheme="minorEastAsia"/>
                <w:szCs w:val="21"/>
              </w:rPr>
              <w:t>1,193</w:t>
            </w:r>
          </w:p>
        </w:tc>
        <w:tc>
          <w:tcPr>
            <w:tcW w:w="0" w:type="auto"/>
            <w:vAlign w:val="center"/>
          </w:tcPr>
          <w:p w:rsidR="009B566F" w:rsidRDefault="00190F9A">
            <w:pPr>
              <w:jc w:val="right"/>
            </w:pPr>
            <w:r>
              <w:rPr>
                <w:rFonts w:eastAsiaTheme="minorEastAsia"/>
                <w:szCs w:val="21"/>
              </w:rPr>
              <w:t>1,919,988.22</w:t>
            </w:r>
          </w:p>
        </w:tc>
        <w:tc>
          <w:tcPr>
            <w:tcW w:w="0" w:type="auto"/>
            <w:vAlign w:val="center"/>
          </w:tcPr>
          <w:p w:rsidR="009B566F" w:rsidRDefault="00190F9A">
            <w:pPr>
              <w:jc w:val="right"/>
            </w:pPr>
            <w:r>
              <w:rPr>
                <w:rFonts w:eastAsiaTheme="minorEastAsia"/>
                <w:szCs w:val="21"/>
              </w:rPr>
              <w:t>1.52</w:t>
            </w:r>
          </w:p>
        </w:tc>
      </w:tr>
    </w:tbl>
    <w:p w:rsidR="00B62914" w:rsidRPr="00A3398F" w:rsidRDefault="00E73C41" w:rsidP="002236BC">
      <w:pPr>
        <w:autoSpaceDE w:val="0"/>
        <w:autoSpaceDN w:val="0"/>
        <w:adjustRightInd w:val="0"/>
        <w:spacing w:line="360" w:lineRule="auto"/>
        <w:jc w:val="left"/>
        <w:rPr>
          <w:rFonts w:eastAsiaTheme="minorEastAsia"/>
          <w:szCs w:val="21"/>
        </w:rPr>
      </w:pPr>
      <w:r w:rsidRPr="00A3398F">
        <w:rPr>
          <w:rFonts w:eastAsiaTheme="minorEastAsia"/>
          <w:szCs w:val="21"/>
        </w:rPr>
        <w:t>注：此处所用证券代码的类别是当地市场代码。</w:t>
      </w:r>
    </w:p>
    <w:p w:rsidR="00A3398F" w:rsidRPr="00A3398F" w:rsidRDefault="00A3398F" w:rsidP="00CD25DA">
      <w:pPr>
        <w:autoSpaceDE w:val="0"/>
        <w:autoSpaceDN w:val="0"/>
        <w:adjustRightInd w:val="0"/>
        <w:spacing w:before="29"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5</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报告期末按债券信用等级分类的债券投资组合</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本基金本报告期末未持有债券。</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6</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报告期末按公允价值占基金资产净值比例大小排名的前五名债券投资明细</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本基金本报告期末未持有债券。</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7</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报告期末按公允价值占基金资产净值比例大小排名的前十名资产支持证券投资明细</w:t>
      </w:r>
    </w:p>
    <w:p w:rsidR="00521EDE" w:rsidRPr="00A3398F" w:rsidRDefault="00521EDE"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本基金本报告期末未持有资产支持证券。</w:t>
      </w:r>
    </w:p>
    <w:p w:rsidR="005B6AC7" w:rsidRPr="00A3398F"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5.8</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报告期末按公允价值占基金资产净值比例大小排名的前五名金融衍生品投资明细</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本基金本报告期末未持有金融衍生品。</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22A61"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5.9</w:t>
      </w:r>
      <w:r w:rsidR="0076518F" w:rsidRPr="00A3398F">
        <w:rPr>
          <w:rFonts w:eastAsiaTheme="minorEastAsia"/>
          <w:b/>
          <w:color w:val="000000" w:themeColor="text1"/>
          <w:kern w:val="0"/>
          <w:sz w:val="24"/>
        </w:rPr>
        <w:t>报告期末按公允价值占基金资产净值比例大小排序的前十名基金投资明细</w:t>
      </w:r>
    </w:p>
    <w:p w:rsidR="00521EDE" w:rsidRPr="00A3398F" w:rsidRDefault="00521EDE"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本基金本报告期末未持有基金。</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55EA7"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76518F" w:rsidRPr="00A3398F">
        <w:rPr>
          <w:rFonts w:eastAsiaTheme="minorEastAsia"/>
          <w:b/>
          <w:color w:val="000000" w:themeColor="text1"/>
          <w:kern w:val="0"/>
          <w:sz w:val="24"/>
        </w:rPr>
        <w:t>.</w:t>
      </w:r>
      <w:r w:rsidRPr="00A3398F">
        <w:rPr>
          <w:rFonts w:eastAsiaTheme="minorEastAsia"/>
          <w:b/>
          <w:color w:val="000000" w:themeColor="text1"/>
          <w:kern w:val="0"/>
          <w:sz w:val="24"/>
        </w:rPr>
        <w:t>10</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投资组合报告附注</w:t>
      </w:r>
    </w:p>
    <w:p w:rsidR="00B55EA7" w:rsidRPr="00A3398F" w:rsidRDefault="00B55EA7" w:rsidP="000E3F11">
      <w:pPr>
        <w:widowControl/>
        <w:spacing w:line="360" w:lineRule="auto"/>
        <w:ind w:left="120" w:hangingChars="50" w:hanging="120"/>
        <w:rPr>
          <w:rFonts w:eastAsiaTheme="minorEastAsia"/>
          <w:color w:val="000000" w:themeColor="text1"/>
          <w:sz w:val="24"/>
        </w:rPr>
      </w:pPr>
      <w:r w:rsidRPr="00A3398F">
        <w:rPr>
          <w:rFonts w:eastAsiaTheme="minorEastAsia"/>
          <w:color w:val="000000" w:themeColor="text1"/>
          <w:sz w:val="24"/>
        </w:rPr>
        <w:t>5.10.1</w:t>
      </w:r>
      <w:r w:rsidRPr="00A3398F">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3398F" w:rsidRDefault="00B55EA7" w:rsidP="00B55EA7">
      <w:pPr>
        <w:widowControl/>
        <w:spacing w:line="360" w:lineRule="auto"/>
        <w:rPr>
          <w:rFonts w:eastAsiaTheme="minorEastAsia"/>
          <w:color w:val="000000" w:themeColor="text1"/>
          <w:sz w:val="24"/>
        </w:rPr>
      </w:pPr>
      <w:r w:rsidRPr="00A3398F">
        <w:rPr>
          <w:rFonts w:eastAsiaTheme="minorEastAsia"/>
          <w:color w:val="000000" w:themeColor="text1"/>
          <w:sz w:val="24"/>
        </w:rPr>
        <w:t>5.10.2</w:t>
      </w:r>
      <w:r w:rsidRPr="00A3398F">
        <w:rPr>
          <w:rFonts w:eastAsiaTheme="minorEastAsia"/>
          <w:color w:val="000000" w:themeColor="text1"/>
          <w:sz w:val="24"/>
        </w:rPr>
        <w:t>报告期内本基金投资的前十名股票中没有在基金合同规定备选股票库之外的股票。</w:t>
      </w:r>
    </w:p>
    <w:p w:rsidR="0076518F" w:rsidRPr="00A3398F" w:rsidRDefault="008C71EB"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.3</w:t>
      </w:r>
      <w:r w:rsidR="0076518F" w:rsidRPr="00A3398F">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3398F" w:rsidTr="004C05F3">
        <w:tc>
          <w:tcPr>
            <w:tcW w:w="802"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序号</w:t>
            </w:r>
          </w:p>
        </w:tc>
        <w:tc>
          <w:tcPr>
            <w:tcW w:w="2903"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名称</w:t>
            </w:r>
          </w:p>
        </w:tc>
        <w:tc>
          <w:tcPr>
            <w:tcW w:w="4808"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金额</w:t>
            </w:r>
            <w:r w:rsidRPr="00A3398F">
              <w:rPr>
                <w:rFonts w:eastAsiaTheme="minorEastAsia"/>
                <w:color w:val="000000" w:themeColor="text1"/>
                <w:kern w:val="0"/>
                <w:szCs w:val="21"/>
              </w:rPr>
              <w:t>(</w:t>
            </w:r>
            <w:r w:rsidR="00C42431" w:rsidRPr="00A3398F">
              <w:rPr>
                <w:rFonts w:eastAsiaTheme="minorEastAsia"/>
                <w:color w:val="000000" w:themeColor="text1"/>
                <w:kern w:val="0"/>
                <w:szCs w:val="21"/>
              </w:rPr>
              <w:t>人民币</w:t>
            </w:r>
            <w:r w:rsidRPr="00A3398F">
              <w:rPr>
                <w:rFonts w:eastAsiaTheme="minorEastAsia"/>
                <w:color w:val="000000" w:themeColor="text1"/>
                <w:kern w:val="0"/>
                <w:szCs w:val="21"/>
              </w:rPr>
              <w:t>元</w:t>
            </w: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szCs w:val="21"/>
              </w:rPr>
              <w:t>1</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存出保证金</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lastRenderedPageBreak/>
              <w:t>2</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应收证券清算款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1,110,611.15</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3</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应收股利</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293,898.03</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4</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应收利息</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5</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应收申购款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3,363,633.09</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6</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其他应收款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1,395,476.92</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7</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szCs w:val="21"/>
              </w:rPr>
            </w:pPr>
            <w:r w:rsidRPr="00A3398F">
              <w:rPr>
                <w:rFonts w:eastAsiaTheme="minorEastAsia"/>
                <w:color w:val="000000" w:themeColor="text1"/>
                <w:szCs w:val="21"/>
              </w:rPr>
              <w:t>待摊费用</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8</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9</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合计</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6,163,619.19</w:t>
            </w:r>
          </w:p>
        </w:tc>
      </w:tr>
    </w:tbl>
    <w:p w:rsidR="00A22D4B" w:rsidRPr="00A3398F"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.4</w:t>
      </w:r>
      <w:r w:rsidR="0076518F" w:rsidRPr="00A3398F">
        <w:rPr>
          <w:rFonts w:eastAsiaTheme="minorEastAsia"/>
          <w:b/>
          <w:color w:val="000000" w:themeColor="text1"/>
          <w:kern w:val="0"/>
          <w:sz w:val="24"/>
        </w:rPr>
        <w:t>报告期末持有的处于转股期的可转换债券明细</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本基金本报告期末未持有处于转股期的可转换债券。</w:t>
      </w:r>
    </w:p>
    <w:p w:rsidR="009E3391" w:rsidRPr="00A3398F" w:rsidRDefault="009E3391" w:rsidP="002236BC">
      <w:pPr>
        <w:autoSpaceDE w:val="0"/>
        <w:autoSpaceDN w:val="0"/>
        <w:adjustRightInd w:val="0"/>
        <w:spacing w:line="360" w:lineRule="auto"/>
        <w:jc w:val="left"/>
        <w:rPr>
          <w:rFonts w:eastAsiaTheme="minorEastAsia"/>
          <w:color w:val="000000" w:themeColor="text1"/>
          <w:szCs w:val="21"/>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 xml:space="preserve">.5 </w:t>
      </w:r>
      <w:r w:rsidR="0076518F" w:rsidRPr="00A3398F">
        <w:rPr>
          <w:rFonts w:eastAsiaTheme="minorEastAsia"/>
          <w:b/>
          <w:color w:val="000000" w:themeColor="text1"/>
          <w:kern w:val="0"/>
          <w:sz w:val="24"/>
        </w:rPr>
        <w:t>报告期末前十名股票中存在流通受限情况的说明</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本基金本报告期末前十名股票中不存在流通受限情况。</w:t>
      </w:r>
    </w:p>
    <w:p w:rsidR="000E3B88" w:rsidRPr="00A3398F" w:rsidRDefault="000E3B88" w:rsidP="002236BC">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.6</w:t>
      </w:r>
      <w:r w:rsidR="001C46E1" w:rsidRPr="00A3398F">
        <w:rPr>
          <w:rFonts w:eastAsiaTheme="minorEastAsia"/>
          <w:b/>
          <w:color w:val="000000" w:themeColor="text1"/>
          <w:kern w:val="0"/>
          <w:sz w:val="24"/>
        </w:rPr>
        <w:t>投资组合报告附注的其他文字描述部分</w:t>
      </w:r>
    </w:p>
    <w:p w:rsidR="000A55BD" w:rsidRPr="00A3398F" w:rsidRDefault="000A55BD" w:rsidP="009E3391">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因四舍五入原因，投资组合报告中分项之和与合计可能存在尾差。</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§6  </w:t>
      </w:r>
      <w:r w:rsidRPr="00A3398F">
        <w:rPr>
          <w:rFonts w:eastAsiaTheme="minorEastAsia"/>
          <w:color w:val="000000" w:themeColor="text1"/>
          <w:kern w:val="0"/>
          <w:sz w:val="24"/>
          <w:szCs w:val="24"/>
        </w:rPr>
        <w:t>开放式基金份额变动</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单位：份</w:t>
      </w:r>
    </w:p>
    <w:tbl>
      <w:tblPr>
        <w:tblW w:w="8634" w:type="dxa"/>
        <w:tblInd w:w="108" w:type="dxa"/>
        <w:tblLayout w:type="fixed"/>
        <w:tblLook w:val="0000" w:firstRow="0" w:lastRow="0" w:firstColumn="0" w:lastColumn="0" w:noHBand="0" w:noVBand="0"/>
      </w:tblPr>
      <w:tblGrid>
        <w:gridCol w:w="3900"/>
        <w:gridCol w:w="2367"/>
        <w:gridCol w:w="2367"/>
      </w:tblGrid>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(QDII)A</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摩根欧洲动力策略股票</w:t>
            </w:r>
            <w:r w:rsidRPr="00A3398F">
              <w:rPr>
                <w:rFonts w:eastAsiaTheme="minorEastAsia"/>
                <w:color w:val="000000" w:themeColor="text1"/>
                <w:szCs w:val="21"/>
              </w:rPr>
              <w:t>(QDII)C</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58,052,829.56</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3,079,281.36</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23,601,313.59</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22,070,444.43</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12,323,640.73</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4,324,466.45</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69,330,502.42</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20,825,259.34</w:t>
            </w:r>
          </w:p>
        </w:tc>
      </w:tr>
    </w:tbl>
    <w:p w:rsidR="00BB5F3D" w:rsidRPr="00A3398F" w:rsidRDefault="00BB5F3D" w:rsidP="009E705F">
      <w:pPr>
        <w:pStyle w:val="1"/>
        <w:tabs>
          <w:tab w:val="center" w:pos="4156"/>
          <w:tab w:val="right" w:pos="8312"/>
        </w:tabs>
        <w:spacing w:beforeLines="100" w:before="312" w:afterLines="100" w:after="312" w:line="360" w:lineRule="auto"/>
        <w:jc w:val="center"/>
        <w:rPr>
          <w:color w:val="000000" w:themeColor="text1"/>
          <w:sz w:val="24"/>
          <w:szCs w:val="24"/>
        </w:rPr>
      </w:pPr>
      <w:r w:rsidRPr="00A3398F">
        <w:rPr>
          <w:rFonts w:eastAsiaTheme="minorEastAsia"/>
          <w:color w:val="000000" w:themeColor="text1"/>
          <w:kern w:val="0"/>
          <w:sz w:val="24"/>
          <w:szCs w:val="24"/>
        </w:rPr>
        <w:lastRenderedPageBreak/>
        <w:t xml:space="preserve">§7  </w:t>
      </w:r>
      <w:r w:rsidRPr="00A3398F">
        <w:rPr>
          <w:color w:val="000000" w:themeColor="text1"/>
          <w:sz w:val="24"/>
          <w:szCs w:val="24"/>
        </w:rPr>
        <w:t>基金管理人运用固有资金投资本基金情况</w:t>
      </w:r>
    </w:p>
    <w:p w:rsidR="00D31B49" w:rsidRPr="00B76BBB" w:rsidRDefault="00D31B49" w:rsidP="00D31B49">
      <w:pPr>
        <w:spacing w:line="360" w:lineRule="auto"/>
        <w:jc w:val="left"/>
        <w:rPr>
          <w:sz w:val="24"/>
        </w:rPr>
      </w:pPr>
      <w:r>
        <w:rPr>
          <w:b/>
          <w:sz w:val="24"/>
        </w:rPr>
        <w:t xml:space="preserve">7.1 </w:t>
      </w:r>
      <w:r>
        <w:rPr>
          <w:rFonts w:hint="eastAsia"/>
          <w:b/>
          <w:sz w:val="24"/>
        </w:rPr>
        <w:t>基</w:t>
      </w:r>
      <w:r w:rsidRPr="00B404F1">
        <w:rPr>
          <w:rFonts w:hint="eastAsia"/>
          <w:b/>
          <w:sz w:val="24"/>
        </w:rPr>
        <w:t>金管理人持有本基金份额变动情况</w:t>
      </w:r>
    </w:p>
    <w:p w:rsidR="00D31B49" w:rsidRPr="00DF18FE" w:rsidRDefault="00D31B49" w:rsidP="00D31B49">
      <w:pPr>
        <w:spacing w:line="360" w:lineRule="auto"/>
        <w:ind w:firstLineChars="200" w:firstLine="480"/>
        <w:rPr>
          <w:color w:val="000000"/>
          <w:sz w:val="24"/>
        </w:rPr>
      </w:pPr>
      <w:r w:rsidRPr="00DF18FE">
        <w:rPr>
          <w:color w:val="000000"/>
          <w:sz w:val="24"/>
        </w:rPr>
        <w:t>无。</w:t>
      </w:r>
    </w:p>
    <w:p w:rsidR="00D31B49" w:rsidRPr="00D678E4" w:rsidRDefault="00D31B49" w:rsidP="00D31B49">
      <w:pPr>
        <w:autoSpaceDE w:val="0"/>
        <w:autoSpaceDN w:val="0"/>
        <w:adjustRightInd w:val="0"/>
        <w:spacing w:line="360" w:lineRule="auto"/>
        <w:jc w:val="left"/>
        <w:rPr>
          <w:rFonts w:eastAsiaTheme="minorEastAsia"/>
          <w:color w:val="000000" w:themeColor="text1"/>
          <w:szCs w:val="21"/>
        </w:rPr>
      </w:pPr>
    </w:p>
    <w:p w:rsidR="00BB5F3D" w:rsidRPr="00A3398F" w:rsidRDefault="00D31B49" w:rsidP="00D31B49">
      <w:pPr>
        <w:spacing w:line="360" w:lineRule="auto"/>
        <w:jc w:val="left"/>
        <w:rPr>
          <w:rFonts w:eastAsiaTheme="minorEastAsia"/>
          <w:b/>
          <w:color w:val="000000" w:themeColor="text1"/>
          <w:sz w:val="24"/>
        </w:rPr>
      </w:pPr>
      <w:r w:rsidRPr="00A3398F">
        <w:rPr>
          <w:rFonts w:eastAsiaTheme="minorEastAsia"/>
          <w:b/>
          <w:color w:val="000000" w:themeColor="text1"/>
          <w:sz w:val="24"/>
        </w:rPr>
        <w:t>7.2</w:t>
      </w:r>
      <w:r w:rsidR="00BB5F3D" w:rsidRPr="00A3398F">
        <w:rPr>
          <w:rFonts w:eastAsiaTheme="minorEastAsia"/>
          <w:b/>
          <w:color w:val="000000" w:themeColor="text1"/>
          <w:sz w:val="24"/>
        </w:rPr>
        <w:t>基金管理人运用固有资金投资本基金交易明细</w:t>
      </w:r>
    </w:p>
    <w:p w:rsidR="005E64DA" w:rsidRPr="00A3398F" w:rsidRDefault="00BB5F3D" w:rsidP="00F862D0">
      <w:pPr>
        <w:autoSpaceDE w:val="0"/>
        <w:autoSpaceDN w:val="0"/>
        <w:adjustRightInd w:val="0"/>
        <w:spacing w:line="360" w:lineRule="auto"/>
        <w:ind w:firstLineChars="200" w:firstLine="420"/>
        <w:jc w:val="left"/>
        <w:rPr>
          <w:rFonts w:eastAsiaTheme="minorEastAsia"/>
          <w:color w:val="000000" w:themeColor="text1"/>
          <w:szCs w:val="21"/>
        </w:rPr>
      </w:pPr>
      <w:r w:rsidRPr="00A3398F">
        <w:rPr>
          <w:rFonts w:eastAsiaTheme="minorEastAsia"/>
          <w:color w:val="000000" w:themeColor="text1"/>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w:t>
      </w:r>
      <w:r w:rsidR="002711AA" w:rsidRPr="00A3398F">
        <w:rPr>
          <w:rFonts w:eastAsiaTheme="minorEastAsia"/>
          <w:color w:val="000000" w:themeColor="text1"/>
          <w:kern w:val="0"/>
          <w:sz w:val="24"/>
          <w:szCs w:val="24"/>
        </w:rPr>
        <w:t>8</w:t>
      </w:r>
      <w:r w:rsidRPr="00A3398F">
        <w:rPr>
          <w:rFonts w:eastAsiaTheme="minorEastAsia"/>
          <w:color w:val="000000" w:themeColor="text1"/>
          <w:kern w:val="0"/>
          <w:sz w:val="24"/>
          <w:szCs w:val="24"/>
        </w:rPr>
        <w:t xml:space="preserve"> </w:t>
      </w:r>
      <w:r w:rsidRPr="00A3398F">
        <w:rPr>
          <w:rFonts w:eastAsiaTheme="minorEastAsia"/>
          <w:color w:val="000000" w:themeColor="text1"/>
          <w:kern w:val="0"/>
          <w:sz w:val="24"/>
          <w:szCs w:val="24"/>
        </w:rPr>
        <w:t>备查文件目录</w:t>
      </w: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1</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备查文件目录</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基金合同》；</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托管协议》；</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9B566F" w:rsidRDefault="00190F9A">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7</w:t>
      </w:r>
      <w:r w:rsidRPr="00A3398F">
        <w:rPr>
          <w:rFonts w:eastAsiaTheme="minorEastAsia"/>
          <w:color w:val="000000" w:themeColor="text1"/>
          <w:szCs w:val="21"/>
        </w:rPr>
        <w:t>、中国证监会要求的其他文件。</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2</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存放地点</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基金管理人或基金托管人处。</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3</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查阅方式</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投资者可在营业时间免费查阅，也可按工本费购买复印件。</w:t>
      </w:r>
    </w:p>
    <w:p w:rsidR="0076518F" w:rsidRPr="00A3398F" w:rsidRDefault="0076518F" w:rsidP="008B6A4A">
      <w:pPr>
        <w:spacing w:line="360" w:lineRule="auto"/>
        <w:ind w:firstLineChars="200" w:firstLine="480"/>
        <w:rPr>
          <w:rFonts w:eastAsiaTheme="minorEastAsia"/>
          <w:color w:val="000000" w:themeColor="text1"/>
          <w:sz w:val="24"/>
        </w:rPr>
      </w:pPr>
    </w:p>
    <w:p w:rsidR="008A2EC6" w:rsidRPr="00A3398F" w:rsidRDefault="008A2EC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76518F" w:rsidRPr="00A3398F" w:rsidRDefault="0076518F" w:rsidP="008B6A4A">
      <w:pPr>
        <w:spacing w:line="360" w:lineRule="auto"/>
        <w:ind w:firstLineChars="200" w:firstLine="480"/>
        <w:rPr>
          <w:rFonts w:eastAsiaTheme="minorEastAsia"/>
          <w:color w:val="000000" w:themeColor="text1"/>
          <w:sz w:val="24"/>
        </w:rPr>
      </w:pPr>
    </w:p>
    <w:p w:rsidR="008975BC" w:rsidRPr="00A3398F" w:rsidRDefault="008975BC"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lastRenderedPageBreak/>
        <w:t>摩根基金管理（中国）有限公司</w:t>
      </w:r>
    </w:p>
    <w:p w:rsidR="0076518F" w:rsidRPr="00A3398F" w:rsidRDefault="00623556"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t>二〇二四年四月二十二日</w:t>
      </w:r>
    </w:p>
    <w:sectPr w:rsidR="0076518F" w:rsidRPr="00A3398F" w:rsidSect="00DB4450">
      <w:headerReference w:type="even" r:id="rId11"/>
      <w:footerReference w:type="even" r:id="rId12"/>
      <w:footerReference w:type="default" r:id="rId13"/>
      <w:headerReference w:type="first" r:id="rId14"/>
      <w:footerReference w:type="firs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FC" w:rsidRDefault="002F74FC">
      <w:r>
        <w:separator/>
      </w:r>
    </w:p>
  </w:endnote>
  <w:endnote w:type="continuationSeparator" w:id="0">
    <w:p w:rsidR="002F74FC" w:rsidRDefault="002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1D0DB0" w:rsidRDefault="00EF4716" w:rsidP="00B918B8">
    <w:pPr>
      <w:pStyle w:val="a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862D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862D0">
      <w:rPr>
        <w:noProof/>
        <w:kern w:val="0"/>
        <w:szCs w:val="21"/>
      </w:rPr>
      <w:t>17</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F4716" w:rsidRDefault="00EF47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862D0">
      <w:rPr>
        <w:rStyle w:val="a8"/>
        <w:noProof/>
      </w:rPr>
      <w:t>5</w:t>
    </w:r>
    <w:r>
      <w:rPr>
        <w:rStyle w:val="a8"/>
      </w:rPr>
      <w:fldChar w:fldCharType="end"/>
    </w:r>
  </w:p>
  <w:p w:rsidR="00EF4716" w:rsidRDefault="00EF471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FC" w:rsidRDefault="002F74FC">
      <w:r>
        <w:separator/>
      </w:r>
    </w:p>
  </w:footnote>
  <w:footnote w:type="continuationSeparator" w:id="0">
    <w:p w:rsidR="002F74FC" w:rsidRDefault="002F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6669C9" w:rsidRDefault="00EF4716" w:rsidP="001D1356">
    <w:pPr>
      <w:pStyle w:val="aa"/>
      <w:pBdr>
        <w:bottom w:val="single" w:sz="6" w:space="0" w:color="auto"/>
      </w:pBdr>
      <w:jc w:val="right"/>
    </w:pPr>
    <w:r w:rsidRPr="006669C9">
      <w:t>摩根欧洲动力策略股票型证券投资基金</w:t>
    </w:r>
    <w:r w:rsidRPr="006669C9">
      <w:t>(QDII)2024</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10"/>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0DD6"/>
    <w:rsid w:val="0007171B"/>
    <w:rsid w:val="00081D05"/>
    <w:rsid w:val="000876A0"/>
    <w:rsid w:val="00087CF7"/>
    <w:rsid w:val="00093223"/>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C27"/>
    <w:rsid w:val="00126DDF"/>
    <w:rsid w:val="001270BF"/>
    <w:rsid w:val="00127BAC"/>
    <w:rsid w:val="00142A56"/>
    <w:rsid w:val="00143B45"/>
    <w:rsid w:val="00144DF5"/>
    <w:rsid w:val="00145A97"/>
    <w:rsid w:val="00146485"/>
    <w:rsid w:val="00150AD6"/>
    <w:rsid w:val="001542CC"/>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0F9A"/>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5051"/>
    <w:rsid w:val="002273CA"/>
    <w:rsid w:val="00233B7F"/>
    <w:rsid w:val="002347A7"/>
    <w:rsid w:val="002359EB"/>
    <w:rsid w:val="002363AB"/>
    <w:rsid w:val="0024203E"/>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000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2F74FC"/>
    <w:rsid w:val="00300951"/>
    <w:rsid w:val="00302CA8"/>
    <w:rsid w:val="00302DE9"/>
    <w:rsid w:val="00304106"/>
    <w:rsid w:val="00304E5A"/>
    <w:rsid w:val="00304E97"/>
    <w:rsid w:val="00305084"/>
    <w:rsid w:val="0031104D"/>
    <w:rsid w:val="00311094"/>
    <w:rsid w:val="0031598C"/>
    <w:rsid w:val="00316339"/>
    <w:rsid w:val="003204E9"/>
    <w:rsid w:val="00321E8C"/>
    <w:rsid w:val="00322A5E"/>
    <w:rsid w:val="00322A86"/>
    <w:rsid w:val="00323AE8"/>
    <w:rsid w:val="00324548"/>
    <w:rsid w:val="003251F4"/>
    <w:rsid w:val="003303E3"/>
    <w:rsid w:val="003329EA"/>
    <w:rsid w:val="003371D0"/>
    <w:rsid w:val="003376D5"/>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0FB5"/>
    <w:rsid w:val="003822D3"/>
    <w:rsid w:val="00386630"/>
    <w:rsid w:val="00390B25"/>
    <w:rsid w:val="00395BC9"/>
    <w:rsid w:val="00396E32"/>
    <w:rsid w:val="00397156"/>
    <w:rsid w:val="00397616"/>
    <w:rsid w:val="00397960"/>
    <w:rsid w:val="003A080A"/>
    <w:rsid w:val="003A30B8"/>
    <w:rsid w:val="003A3BC4"/>
    <w:rsid w:val="003A458A"/>
    <w:rsid w:val="003B2F13"/>
    <w:rsid w:val="003B405E"/>
    <w:rsid w:val="003B57D3"/>
    <w:rsid w:val="003C1F58"/>
    <w:rsid w:val="003C6BB7"/>
    <w:rsid w:val="003C792F"/>
    <w:rsid w:val="003D0053"/>
    <w:rsid w:val="003D124B"/>
    <w:rsid w:val="003D18F3"/>
    <w:rsid w:val="003D70D1"/>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3A84"/>
    <w:rsid w:val="0051478B"/>
    <w:rsid w:val="0051566A"/>
    <w:rsid w:val="00515D7B"/>
    <w:rsid w:val="005166E9"/>
    <w:rsid w:val="0051686F"/>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453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14E07"/>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601A"/>
    <w:rsid w:val="00656776"/>
    <w:rsid w:val="00661974"/>
    <w:rsid w:val="00662D4B"/>
    <w:rsid w:val="00664551"/>
    <w:rsid w:val="00664F49"/>
    <w:rsid w:val="006658FA"/>
    <w:rsid w:val="00666066"/>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B02DA"/>
    <w:rsid w:val="006B077E"/>
    <w:rsid w:val="006B1FD1"/>
    <w:rsid w:val="006B2065"/>
    <w:rsid w:val="006B2F2B"/>
    <w:rsid w:val="006B3940"/>
    <w:rsid w:val="006B47D1"/>
    <w:rsid w:val="006C0411"/>
    <w:rsid w:val="006C124D"/>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7772"/>
    <w:rsid w:val="00721AF1"/>
    <w:rsid w:val="0072280F"/>
    <w:rsid w:val="00722B5E"/>
    <w:rsid w:val="0072708F"/>
    <w:rsid w:val="00730500"/>
    <w:rsid w:val="00732D1D"/>
    <w:rsid w:val="00736034"/>
    <w:rsid w:val="00736479"/>
    <w:rsid w:val="0073681C"/>
    <w:rsid w:val="00741EB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292"/>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37"/>
    <w:rsid w:val="009309DA"/>
    <w:rsid w:val="0093260B"/>
    <w:rsid w:val="00936688"/>
    <w:rsid w:val="00936891"/>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B566F"/>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E705F"/>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398F"/>
    <w:rsid w:val="00A35B79"/>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A5FB8"/>
    <w:rsid w:val="00BB1EB3"/>
    <w:rsid w:val="00BB2678"/>
    <w:rsid w:val="00BB531E"/>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07BF8"/>
    <w:rsid w:val="00C104CC"/>
    <w:rsid w:val="00C130C1"/>
    <w:rsid w:val="00C14142"/>
    <w:rsid w:val="00C152FE"/>
    <w:rsid w:val="00C16739"/>
    <w:rsid w:val="00C22CCE"/>
    <w:rsid w:val="00C23BA2"/>
    <w:rsid w:val="00C25D0C"/>
    <w:rsid w:val="00C32AF2"/>
    <w:rsid w:val="00C33204"/>
    <w:rsid w:val="00C338EB"/>
    <w:rsid w:val="00C33E2E"/>
    <w:rsid w:val="00C3465D"/>
    <w:rsid w:val="00C3494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4DF6"/>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D25DA"/>
    <w:rsid w:val="00CE3C13"/>
    <w:rsid w:val="00CE4499"/>
    <w:rsid w:val="00CE45E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10E8"/>
    <w:rsid w:val="00D31B49"/>
    <w:rsid w:val="00D33751"/>
    <w:rsid w:val="00D36F6E"/>
    <w:rsid w:val="00D37343"/>
    <w:rsid w:val="00D4205E"/>
    <w:rsid w:val="00D565EC"/>
    <w:rsid w:val="00D61982"/>
    <w:rsid w:val="00D6226F"/>
    <w:rsid w:val="00D6267A"/>
    <w:rsid w:val="00D674CF"/>
    <w:rsid w:val="00D678DF"/>
    <w:rsid w:val="00D678E4"/>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27344"/>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50C2"/>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1749"/>
    <w:rsid w:val="00EE2ACE"/>
    <w:rsid w:val="00EE4874"/>
    <w:rsid w:val="00EE79A6"/>
    <w:rsid w:val="00EE7FB4"/>
    <w:rsid w:val="00EF0D26"/>
    <w:rsid w:val="00EF0D86"/>
    <w:rsid w:val="00EF22FE"/>
    <w:rsid w:val="00EF4716"/>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862D0"/>
    <w:rsid w:val="00F951CF"/>
    <w:rsid w:val="00F97B71"/>
    <w:rsid w:val="00FA1925"/>
    <w:rsid w:val="00FA2DDA"/>
    <w:rsid w:val="00FA3195"/>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907810778">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10230114">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113</TotalTime>
  <Pages>17</Pages>
  <Words>1378</Words>
  <Characters>7859</Characters>
  <Application>Microsoft Office Word</Application>
  <DocSecurity>0</DocSecurity>
  <Lines>65</Lines>
  <Paragraphs>18</Paragraphs>
  <ScaleCrop>false</ScaleCrop>
  <Company>TRT. Ltd. Co.</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36</cp:revision>
  <cp:lastPrinted>2007-07-19T00:46:00Z</cp:lastPrinted>
  <dcterms:created xsi:type="dcterms:W3CDTF">2014-12-16T02:40:00Z</dcterms:created>
  <dcterms:modified xsi:type="dcterms:W3CDTF">2024-04-19T02:31:00Z</dcterms:modified>
</cp:coreProperties>
</file>