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摩根动力精选混合型证券投资基金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摩根动力精选混合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006250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2019</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505,767,070.92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本基金采用定量及定性研究方法，自下而上精选具有较高增长潜力的公司，</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在有效控制风险的前提下，力争实现基金资产的长期增值。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FD507D" w:rsidRDefault="000C485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 xml:space="preserve">800 </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006250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013137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421,743,056.14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84,024,014.78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-55,459,085.80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-8,255,735.94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-31,276,276.43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-5,311,704.01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-0.0733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-0.0778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867,065,734.11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171,109,919.99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2.0559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2.0364</w:t>
            </w:r>
          </w:p>
        </w:tc>
      </w:tr>
    </w:tbl>
    <w:p w:rsidR="00FD507D" w:rsidRDefault="000C485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摩根动力精选混合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D507D">
        <w:tc>
          <w:tcPr>
            <w:tcW w:w="1290" w:type="dxa"/>
            <w:vAlign w:val="center"/>
          </w:tcPr>
          <w:p w:rsidR="00FD507D" w:rsidRDefault="000C4855">
            <w:pPr>
              <w:jc w:val="left"/>
            </w:pPr>
            <w:r>
              <w:rPr>
                <w:rFonts w:eastAsiaTheme="minorEastAsia"/>
                <w:color w:val="000000" w:themeColor="text1"/>
                <w:szCs w:val="21"/>
              </w:rPr>
              <w:t>过去三个月</w:t>
            </w:r>
          </w:p>
        </w:tc>
        <w:tc>
          <w:tcPr>
            <w:tcW w:w="1291" w:type="dxa"/>
            <w:vAlign w:val="center"/>
          </w:tcPr>
          <w:p w:rsidR="00FD507D" w:rsidRDefault="000C4855">
            <w:pPr>
              <w:jc w:val="right"/>
            </w:pPr>
            <w:r>
              <w:rPr>
                <w:rFonts w:eastAsiaTheme="minorEastAsia"/>
                <w:color w:val="000000" w:themeColor="text1"/>
                <w:szCs w:val="21"/>
              </w:rPr>
              <w:t>-3.40%</w:t>
            </w:r>
          </w:p>
        </w:tc>
        <w:tc>
          <w:tcPr>
            <w:tcW w:w="1291" w:type="dxa"/>
            <w:vAlign w:val="center"/>
          </w:tcPr>
          <w:p w:rsidR="00FD507D" w:rsidRDefault="000C4855">
            <w:pPr>
              <w:jc w:val="right"/>
            </w:pPr>
            <w:r>
              <w:rPr>
                <w:rFonts w:eastAsiaTheme="minorEastAsia"/>
                <w:color w:val="000000" w:themeColor="text1"/>
                <w:szCs w:val="21"/>
              </w:rPr>
              <w:t>1.40%</w:t>
            </w:r>
          </w:p>
        </w:tc>
        <w:tc>
          <w:tcPr>
            <w:tcW w:w="1291" w:type="dxa"/>
            <w:vAlign w:val="center"/>
          </w:tcPr>
          <w:p w:rsidR="00FD507D" w:rsidRDefault="000C4855">
            <w:pPr>
              <w:jc w:val="right"/>
            </w:pPr>
            <w:r>
              <w:rPr>
                <w:rFonts w:eastAsiaTheme="minorEastAsia"/>
                <w:color w:val="000000" w:themeColor="text1"/>
                <w:szCs w:val="21"/>
              </w:rPr>
              <w:t>-4.94%</w:t>
            </w:r>
          </w:p>
        </w:tc>
        <w:tc>
          <w:tcPr>
            <w:tcW w:w="1291" w:type="dxa"/>
            <w:vAlign w:val="center"/>
          </w:tcPr>
          <w:p w:rsidR="00FD507D" w:rsidRDefault="000C4855">
            <w:pPr>
              <w:jc w:val="right"/>
            </w:pPr>
            <w:r>
              <w:rPr>
                <w:rFonts w:eastAsiaTheme="minorEastAsia"/>
                <w:color w:val="000000" w:themeColor="text1"/>
                <w:szCs w:val="21"/>
              </w:rPr>
              <w:t>0.63%</w:t>
            </w:r>
          </w:p>
        </w:tc>
        <w:tc>
          <w:tcPr>
            <w:tcW w:w="1291" w:type="dxa"/>
            <w:vAlign w:val="center"/>
          </w:tcPr>
          <w:p w:rsidR="00FD507D" w:rsidRDefault="000C4855">
            <w:pPr>
              <w:jc w:val="right"/>
            </w:pPr>
            <w:r>
              <w:rPr>
                <w:rFonts w:eastAsiaTheme="minorEastAsia"/>
                <w:color w:val="000000" w:themeColor="text1"/>
                <w:szCs w:val="21"/>
              </w:rPr>
              <w:t>1.54%</w:t>
            </w:r>
          </w:p>
        </w:tc>
        <w:tc>
          <w:tcPr>
            <w:tcW w:w="1291" w:type="dxa"/>
            <w:vAlign w:val="center"/>
          </w:tcPr>
          <w:p w:rsidR="00FD507D" w:rsidRDefault="000C4855">
            <w:pPr>
              <w:jc w:val="right"/>
            </w:pPr>
            <w:r>
              <w:rPr>
                <w:rFonts w:eastAsiaTheme="minorEastAsia"/>
                <w:color w:val="000000" w:themeColor="text1"/>
                <w:szCs w:val="21"/>
              </w:rPr>
              <w:t>0.77%</w:t>
            </w:r>
          </w:p>
        </w:tc>
      </w:tr>
      <w:tr w:rsidR="00FD507D">
        <w:tc>
          <w:tcPr>
            <w:tcW w:w="1290" w:type="dxa"/>
            <w:vAlign w:val="center"/>
          </w:tcPr>
          <w:p w:rsidR="00FD507D" w:rsidRDefault="000C4855">
            <w:pPr>
              <w:jc w:val="left"/>
            </w:pPr>
            <w:r>
              <w:rPr>
                <w:rFonts w:eastAsiaTheme="minorEastAsia"/>
                <w:color w:val="000000" w:themeColor="text1"/>
                <w:szCs w:val="21"/>
              </w:rPr>
              <w:t>过去六个月</w:t>
            </w:r>
          </w:p>
        </w:tc>
        <w:tc>
          <w:tcPr>
            <w:tcW w:w="1291" w:type="dxa"/>
            <w:vAlign w:val="center"/>
          </w:tcPr>
          <w:p w:rsidR="00FD507D" w:rsidRDefault="000C4855">
            <w:pPr>
              <w:jc w:val="right"/>
            </w:pPr>
            <w:r>
              <w:rPr>
                <w:rFonts w:eastAsiaTheme="minorEastAsia"/>
                <w:color w:val="000000" w:themeColor="text1"/>
                <w:szCs w:val="21"/>
              </w:rPr>
              <w:t>-14.48%</w:t>
            </w:r>
          </w:p>
        </w:tc>
        <w:tc>
          <w:tcPr>
            <w:tcW w:w="1291" w:type="dxa"/>
            <w:vAlign w:val="center"/>
          </w:tcPr>
          <w:p w:rsidR="00FD507D" w:rsidRDefault="000C4855">
            <w:pPr>
              <w:jc w:val="right"/>
            </w:pPr>
            <w:r>
              <w:rPr>
                <w:rFonts w:eastAsiaTheme="minorEastAsia"/>
                <w:color w:val="000000" w:themeColor="text1"/>
                <w:szCs w:val="21"/>
              </w:rPr>
              <w:t>1.23%</w:t>
            </w:r>
          </w:p>
        </w:tc>
        <w:tc>
          <w:tcPr>
            <w:tcW w:w="1291" w:type="dxa"/>
            <w:vAlign w:val="center"/>
          </w:tcPr>
          <w:p w:rsidR="00FD507D" w:rsidRDefault="000C4855">
            <w:pPr>
              <w:jc w:val="right"/>
            </w:pPr>
            <w:r>
              <w:rPr>
                <w:rFonts w:eastAsiaTheme="minorEastAsia"/>
                <w:color w:val="000000" w:themeColor="text1"/>
                <w:szCs w:val="21"/>
              </w:rPr>
              <w:t>-8.15%</w:t>
            </w:r>
          </w:p>
        </w:tc>
        <w:tc>
          <w:tcPr>
            <w:tcW w:w="1291" w:type="dxa"/>
            <w:vAlign w:val="center"/>
          </w:tcPr>
          <w:p w:rsidR="00FD507D" w:rsidRDefault="000C4855">
            <w:pPr>
              <w:jc w:val="right"/>
            </w:pPr>
            <w:r>
              <w:rPr>
                <w:rFonts w:eastAsiaTheme="minorEastAsia"/>
                <w:color w:val="000000" w:themeColor="text1"/>
                <w:szCs w:val="21"/>
              </w:rPr>
              <w:t>0.66%</w:t>
            </w:r>
          </w:p>
        </w:tc>
        <w:tc>
          <w:tcPr>
            <w:tcW w:w="1291" w:type="dxa"/>
            <w:vAlign w:val="center"/>
          </w:tcPr>
          <w:p w:rsidR="00FD507D" w:rsidRDefault="000C4855">
            <w:pPr>
              <w:jc w:val="right"/>
            </w:pPr>
            <w:r>
              <w:rPr>
                <w:rFonts w:eastAsiaTheme="minorEastAsia"/>
                <w:color w:val="000000" w:themeColor="text1"/>
                <w:szCs w:val="21"/>
              </w:rPr>
              <w:t>-6.33%</w:t>
            </w:r>
          </w:p>
        </w:tc>
        <w:tc>
          <w:tcPr>
            <w:tcW w:w="1291" w:type="dxa"/>
            <w:vAlign w:val="center"/>
          </w:tcPr>
          <w:p w:rsidR="00FD507D" w:rsidRDefault="000C4855">
            <w:pPr>
              <w:jc w:val="right"/>
            </w:pPr>
            <w:r>
              <w:rPr>
                <w:rFonts w:eastAsiaTheme="minorEastAsia"/>
                <w:color w:val="000000" w:themeColor="text1"/>
                <w:szCs w:val="21"/>
              </w:rPr>
              <w:t>0.57%</w:t>
            </w:r>
          </w:p>
        </w:tc>
      </w:tr>
      <w:tr w:rsidR="00FD507D">
        <w:tc>
          <w:tcPr>
            <w:tcW w:w="1290" w:type="dxa"/>
            <w:vAlign w:val="center"/>
          </w:tcPr>
          <w:p w:rsidR="00FD507D" w:rsidRDefault="000C4855">
            <w:pPr>
              <w:jc w:val="left"/>
            </w:pPr>
            <w:r>
              <w:rPr>
                <w:rFonts w:eastAsiaTheme="minorEastAsia"/>
                <w:color w:val="000000" w:themeColor="text1"/>
                <w:szCs w:val="21"/>
              </w:rPr>
              <w:t>过去一年</w:t>
            </w:r>
          </w:p>
        </w:tc>
        <w:tc>
          <w:tcPr>
            <w:tcW w:w="1291" w:type="dxa"/>
            <w:vAlign w:val="center"/>
          </w:tcPr>
          <w:p w:rsidR="00FD507D" w:rsidRDefault="000C4855">
            <w:pPr>
              <w:jc w:val="right"/>
            </w:pPr>
            <w:r>
              <w:rPr>
                <w:rFonts w:eastAsiaTheme="minorEastAsia"/>
                <w:color w:val="000000" w:themeColor="text1"/>
                <w:szCs w:val="21"/>
              </w:rPr>
              <w:t>-16.57%</w:t>
            </w:r>
          </w:p>
        </w:tc>
        <w:tc>
          <w:tcPr>
            <w:tcW w:w="1291" w:type="dxa"/>
            <w:vAlign w:val="center"/>
          </w:tcPr>
          <w:p w:rsidR="00FD507D" w:rsidRDefault="000C4855">
            <w:pPr>
              <w:jc w:val="right"/>
            </w:pPr>
            <w:r>
              <w:rPr>
                <w:rFonts w:eastAsiaTheme="minorEastAsia"/>
                <w:color w:val="000000" w:themeColor="text1"/>
                <w:szCs w:val="21"/>
              </w:rPr>
              <w:t>1.36%</w:t>
            </w:r>
          </w:p>
        </w:tc>
        <w:tc>
          <w:tcPr>
            <w:tcW w:w="1291" w:type="dxa"/>
            <w:vAlign w:val="center"/>
          </w:tcPr>
          <w:p w:rsidR="00FD507D" w:rsidRDefault="000C4855">
            <w:pPr>
              <w:jc w:val="right"/>
            </w:pPr>
            <w:r>
              <w:rPr>
                <w:rFonts w:eastAsiaTheme="minorEastAsia"/>
                <w:color w:val="000000" w:themeColor="text1"/>
                <w:szCs w:val="21"/>
              </w:rPr>
              <w:t>-7.97%</w:t>
            </w:r>
          </w:p>
        </w:tc>
        <w:tc>
          <w:tcPr>
            <w:tcW w:w="1291" w:type="dxa"/>
            <w:vAlign w:val="center"/>
          </w:tcPr>
          <w:p w:rsidR="00FD507D" w:rsidRDefault="000C4855">
            <w:pPr>
              <w:jc w:val="right"/>
            </w:pPr>
            <w:r>
              <w:rPr>
                <w:rFonts w:eastAsiaTheme="minorEastAsia"/>
                <w:color w:val="000000" w:themeColor="text1"/>
                <w:szCs w:val="21"/>
              </w:rPr>
              <w:t>0.65%</w:t>
            </w:r>
          </w:p>
        </w:tc>
        <w:tc>
          <w:tcPr>
            <w:tcW w:w="1291" w:type="dxa"/>
            <w:vAlign w:val="center"/>
          </w:tcPr>
          <w:p w:rsidR="00FD507D" w:rsidRDefault="000C4855">
            <w:pPr>
              <w:jc w:val="right"/>
            </w:pPr>
            <w:r>
              <w:rPr>
                <w:rFonts w:eastAsiaTheme="minorEastAsia"/>
                <w:color w:val="000000" w:themeColor="text1"/>
                <w:szCs w:val="21"/>
              </w:rPr>
              <w:t>-8.60%</w:t>
            </w:r>
          </w:p>
        </w:tc>
        <w:tc>
          <w:tcPr>
            <w:tcW w:w="1291" w:type="dxa"/>
            <w:vAlign w:val="center"/>
          </w:tcPr>
          <w:p w:rsidR="00FD507D" w:rsidRDefault="000C4855">
            <w:pPr>
              <w:jc w:val="right"/>
            </w:pPr>
            <w:r>
              <w:rPr>
                <w:rFonts w:eastAsiaTheme="minorEastAsia"/>
                <w:color w:val="000000" w:themeColor="text1"/>
                <w:szCs w:val="21"/>
              </w:rPr>
              <w:t>0.71%</w:t>
            </w:r>
          </w:p>
        </w:tc>
      </w:tr>
      <w:tr w:rsidR="00FD507D">
        <w:tc>
          <w:tcPr>
            <w:tcW w:w="1290" w:type="dxa"/>
            <w:vAlign w:val="center"/>
          </w:tcPr>
          <w:p w:rsidR="00FD507D" w:rsidRDefault="000C4855">
            <w:pPr>
              <w:jc w:val="left"/>
            </w:pPr>
            <w:r>
              <w:rPr>
                <w:rFonts w:eastAsiaTheme="minorEastAsia"/>
                <w:color w:val="000000" w:themeColor="text1"/>
                <w:szCs w:val="21"/>
              </w:rPr>
              <w:t>过去三年</w:t>
            </w:r>
          </w:p>
        </w:tc>
        <w:tc>
          <w:tcPr>
            <w:tcW w:w="1291" w:type="dxa"/>
            <w:vAlign w:val="center"/>
          </w:tcPr>
          <w:p w:rsidR="00FD507D" w:rsidRDefault="000C4855">
            <w:pPr>
              <w:jc w:val="right"/>
            </w:pPr>
            <w:r>
              <w:rPr>
                <w:rFonts w:eastAsiaTheme="minorEastAsia"/>
                <w:color w:val="000000" w:themeColor="text1"/>
                <w:szCs w:val="21"/>
              </w:rPr>
              <w:t>-19.31%</w:t>
            </w:r>
          </w:p>
        </w:tc>
        <w:tc>
          <w:tcPr>
            <w:tcW w:w="1291" w:type="dxa"/>
            <w:vAlign w:val="center"/>
          </w:tcPr>
          <w:p w:rsidR="00FD507D" w:rsidRDefault="000C4855">
            <w:pPr>
              <w:jc w:val="right"/>
            </w:pPr>
            <w:r>
              <w:rPr>
                <w:rFonts w:eastAsiaTheme="minorEastAsia"/>
                <w:color w:val="000000" w:themeColor="text1"/>
                <w:szCs w:val="21"/>
              </w:rPr>
              <w:t>2.13%</w:t>
            </w:r>
          </w:p>
        </w:tc>
        <w:tc>
          <w:tcPr>
            <w:tcW w:w="1291" w:type="dxa"/>
            <w:vAlign w:val="center"/>
          </w:tcPr>
          <w:p w:rsidR="00FD507D" w:rsidRDefault="000C4855">
            <w:pPr>
              <w:jc w:val="right"/>
            </w:pPr>
            <w:r>
              <w:rPr>
                <w:rFonts w:eastAsiaTheme="minorEastAsia"/>
                <w:color w:val="000000" w:themeColor="text1"/>
                <w:szCs w:val="21"/>
              </w:rPr>
              <w:t>-23.17%</w:t>
            </w:r>
          </w:p>
        </w:tc>
        <w:tc>
          <w:tcPr>
            <w:tcW w:w="1291" w:type="dxa"/>
            <w:vAlign w:val="center"/>
          </w:tcPr>
          <w:p w:rsidR="00FD507D" w:rsidRDefault="000C4855">
            <w:pPr>
              <w:jc w:val="right"/>
            </w:pPr>
            <w:r>
              <w:rPr>
                <w:rFonts w:eastAsiaTheme="minorEastAsia"/>
                <w:color w:val="000000" w:themeColor="text1"/>
                <w:szCs w:val="21"/>
              </w:rPr>
              <w:t>0.85%</w:t>
            </w:r>
          </w:p>
        </w:tc>
        <w:tc>
          <w:tcPr>
            <w:tcW w:w="1291" w:type="dxa"/>
            <w:vAlign w:val="center"/>
          </w:tcPr>
          <w:p w:rsidR="00FD507D" w:rsidRDefault="000C4855">
            <w:pPr>
              <w:jc w:val="right"/>
            </w:pPr>
            <w:r>
              <w:rPr>
                <w:rFonts w:eastAsiaTheme="minorEastAsia"/>
                <w:color w:val="000000" w:themeColor="text1"/>
                <w:szCs w:val="21"/>
              </w:rPr>
              <w:t>3.86%</w:t>
            </w:r>
          </w:p>
        </w:tc>
        <w:tc>
          <w:tcPr>
            <w:tcW w:w="1291" w:type="dxa"/>
            <w:vAlign w:val="center"/>
          </w:tcPr>
          <w:p w:rsidR="00FD507D" w:rsidRDefault="000C4855">
            <w:pPr>
              <w:jc w:val="right"/>
            </w:pPr>
            <w:r>
              <w:rPr>
                <w:rFonts w:eastAsiaTheme="minorEastAsia"/>
                <w:color w:val="000000" w:themeColor="text1"/>
                <w:szCs w:val="21"/>
              </w:rPr>
              <w:t>1.28%</w:t>
            </w:r>
          </w:p>
        </w:tc>
      </w:tr>
      <w:tr w:rsidR="00FD507D">
        <w:tc>
          <w:tcPr>
            <w:tcW w:w="1290" w:type="dxa"/>
            <w:vAlign w:val="center"/>
          </w:tcPr>
          <w:p w:rsidR="00FD507D" w:rsidRDefault="000C4855">
            <w:pPr>
              <w:jc w:val="left"/>
            </w:pPr>
            <w:r>
              <w:rPr>
                <w:rFonts w:eastAsiaTheme="minorEastAsia"/>
                <w:color w:val="000000" w:themeColor="text1"/>
                <w:szCs w:val="21"/>
              </w:rPr>
              <w:t>过去五年</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r>
      <w:tr w:rsidR="00FD507D">
        <w:tc>
          <w:tcPr>
            <w:tcW w:w="1290" w:type="dxa"/>
            <w:vAlign w:val="center"/>
          </w:tcPr>
          <w:p w:rsidR="00FD507D" w:rsidRDefault="000C4855">
            <w:pPr>
              <w:jc w:val="left"/>
            </w:pPr>
            <w:r>
              <w:rPr>
                <w:rFonts w:eastAsiaTheme="minorEastAsia"/>
                <w:color w:val="000000" w:themeColor="text1"/>
                <w:szCs w:val="21"/>
              </w:rPr>
              <w:t>自基金合同生效起至今</w:t>
            </w:r>
          </w:p>
        </w:tc>
        <w:tc>
          <w:tcPr>
            <w:tcW w:w="1291" w:type="dxa"/>
            <w:vAlign w:val="center"/>
          </w:tcPr>
          <w:p w:rsidR="00FD507D" w:rsidRDefault="000C4855">
            <w:pPr>
              <w:jc w:val="right"/>
            </w:pPr>
            <w:r>
              <w:rPr>
                <w:rFonts w:eastAsiaTheme="minorEastAsia"/>
                <w:color w:val="000000" w:themeColor="text1"/>
                <w:szCs w:val="21"/>
              </w:rPr>
              <w:t>105.59%</w:t>
            </w:r>
          </w:p>
        </w:tc>
        <w:tc>
          <w:tcPr>
            <w:tcW w:w="1291" w:type="dxa"/>
            <w:vAlign w:val="center"/>
          </w:tcPr>
          <w:p w:rsidR="00FD507D" w:rsidRDefault="000C4855">
            <w:pPr>
              <w:jc w:val="right"/>
            </w:pPr>
            <w:r>
              <w:rPr>
                <w:rFonts w:eastAsiaTheme="minorEastAsia"/>
                <w:color w:val="000000" w:themeColor="text1"/>
                <w:szCs w:val="21"/>
              </w:rPr>
              <w:t>1.99%</w:t>
            </w:r>
          </w:p>
        </w:tc>
        <w:tc>
          <w:tcPr>
            <w:tcW w:w="1291" w:type="dxa"/>
            <w:vAlign w:val="center"/>
          </w:tcPr>
          <w:p w:rsidR="00FD507D" w:rsidRDefault="000C4855">
            <w:pPr>
              <w:jc w:val="right"/>
            </w:pPr>
            <w:r>
              <w:rPr>
                <w:rFonts w:eastAsiaTheme="minorEastAsia"/>
                <w:color w:val="000000" w:themeColor="text1"/>
                <w:szCs w:val="21"/>
              </w:rPr>
              <w:t>10.57%</w:t>
            </w:r>
          </w:p>
        </w:tc>
        <w:tc>
          <w:tcPr>
            <w:tcW w:w="1291" w:type="dxa"/>
            <w:vAlign w:val="center"/>
          </w:tcPr>
          <w:p w:rsidR="00FD507D" w:rsidRDefault="000C4855">
            <w:pPr>
              <w:jc w:val="right"/>
            </w:pPr>
            <w:r>
              <w:rPr>
                <w:rFonts w:eastAsiaTheme="minorEastAsia"/>
                <w:color w:val="000000" w:themeColor="text1"/>
                <w:szCs w:val="21"/>
              </w:rPr>
              <w:t>0.96%</w:t>
            </w:r>
          </w:p>
        </w:tc>
        <w:tc>
          <w:tcPr>
            <w:tcW w:w="1291" w:type="dxa"/>
            <w:vAlign w:val="center"/>
          </w:tcPr>
          <w:p w:rsidR="00FD507D" w:rsidRDefault="000C4855">
            <w:pPr>
              <w:jc w:val="right"/>
            </w:pPr>
            <w:r>
              <w:rPr>
                <w:rFonts w:eastAsiaTheme="minorEastAsia"/>
                <w:color w:val="000000" w:themeColor="text1"/>
                <w:szCs w:val="21"/>
              </w:rPr>
              <w:t>95.02%</w:t>
            </w:r>
          </w:p>
        </w:tc>
        <w:tc>
          <w:tcPr>
            <w:tcW w:w="1291" w:type="dxa"/>
            <w:vAlign w:val="center"/>
          </w:tcPr>
          <w:p w:rsidR="00FD507D" w:rsidRDefault="000C4855">
            <w:pPr>
              <w:jc w:val="right"/>
            </w:pPr>
            <w:r>
              <w:rPr>
                <w:rFonts w:eastAsiaTheme="minorEastAsia"/>
                <w:color w:val="000000" w:themeColor="text1"/>
                <w:szCs w:val="21"/>
              </w:rPr>
              <w:t>1.03%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摩根动力精选混合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D507D">
        <w:tc>
          <w:tcPr>
            <w:tcW w:w="1290" w:type="dxa"/>
            <w:vAlign w:val="center"/>
          </w:tcPr>
          <w:p w:rsidR="00FD507D" w:rsidRDefault="000C4855">
            <w:pPr>
              <w:jc w:val="left"/>
            </w:pPr>
            <w:r>
              <w:rPr>
                <w:rFonts w:eastAsiaTheme="minorEastAsia"/>
                <w:color w:val="000000" w:themeColor="text1"/>
                <w:szCs w:val="21"/>
              </w:rPr>
              <w:t>过去三个月</w:t>
            </w:r>
          </w:p>
        </w:tc>
        <w:tc>
          <w:tcPr>
            <w:tcW w:w="1291" w:type="dxa"/>
            <w:vAlign w:val="center"/>
          </w:tcPr>
          <w:p w:rsidR="00FD507D" w:rsidRDefault="000C4855">
            <w:pPr>
              <w:jc w:val="right"/>
            </w:pPr>
            <w:r>
              <w:rPr>
                <w:rFonts w:eastAsiaTheme="minorEastAsia"/>
                <w:color w:val="000000" w:themeColor="text1"/>
                <w:szCs w:val="21"/>
              </w:rPr>
              <w:t>-3.50%</w:t>
            </w:r>
          </w:p>
        </w:tc>
        <w:tc>
          <w:tcPr>
            <w:tcW w:w="1291" w:type="dxa"/>
            <w:vAlign w:val="center"/>
          </w:tcPr>
          <w:p w:rsidR="00FD507D" w:rsidRDefault="000C4855">
            <w:pPr>
              <w:jc w:val="right"/>
            </w:pPr>
            <w:r>
              <w:rPr>
                <w:rFonts w:eastAsiaTheme="minorEastAsia"/>
                <w:color w:val="000000" w:themeColor="text1"/>
                <w:szCs w:val="21"/>
              </w:rPr>
              <w:t>1.39%</w:t>
            </w:r>
          </w:p>
        </w:tc>
        <w:tc>
          <w:tcPr>
            <w:tcW w:w="1291" w:type="dxa"/>
            <w:vAlign w:val="center"/>
          </w:tcPr>
          <w:p w:rsidR="00FD507D" w:rsidRDefault="000C4855">
            <w:pPr>
              <w:jc w:val="right"/>
            </w:pPr>
            <w:r>
              <w:rPr>
                <w:rFonts w:eastAsiaTheme="minorEastAsia"/>
                <w:color w:val="000000" w:themeColor="text1"/>
                <w:szCs w:val="21"/>
              </w:rPr>
              <w:t>-4.94%</w:t>
            </w:r>
          </w:p>
        </w:tc>
        <w:tc>
          <w:tcPr>
            <w:tcW w:w="1291" w:type="dxa"/>
            <w:vAlign w:val="center"/>
          </w:tcPr>
          <w:p w:rsidR="00FD507D" w:rsidRDefault="000C4855">
            <w:pPr>
              <w:jc w:val="right"/>
            </w:pPr>
            <w:r>
              <w:rPr>
                <w:rFonts w:eastAsiaTheme="minorEastAsia"/>
                <w:color w:val="000000" w:themeColor="text1"/>
                <w:szCs w:val="21"/>
              </w:rPr>
              <w:t>0.63%</w:t>
            </w:r>
          </w:p>
        </w:tc>
        <w:tc>
          <w:tcPr>
            <w:tcW w:w="1291" w:type="dxa"/>
            <w:vAlign w:val="center"/>
          </w:tcPr>
          <w:p w:rsidR="00FD507D" w:rsidRDefault="000C4855">
            <w:pPr>
              <w:jc w:val="right"/>
            </w:pPr>
            <w:r>
              <w:rPr>
                <w:rFonts w:eastAsiaTheme="minorEastAsia"/>
                <w:color w:val="000000" w:themeColor="text1"/>
                <w:szCs w:val="21"/>
              </w:rPr>
              <w:t>1.44%</w:t>
            </w:r>
          </w:p>
        </w:tc>
        <w:tc>
          <w:tcPr>
            <w:tcW w:w="1291" w:type="dxa"/>
            <w:vAlign w:val="center"/>
          </w:tcPr>
          <w:p w:rsidR="00FD507D" w:rsidRDefault="000C4855">
            <w:pPr>
              <w:jc w:val="right"/>
            </w:pPr>
            <w:r>
              <w:rPr>
                <w:rFonts w:eastAsiaTheme="minorEastAsia"/>
                <w:color w:val="000000" w:themeColor="text1"/>
                <w:szCs w:val="21"/>
              </w:rPr>
              <w:t>0.76%</w:t>
            </w:r>
          </w:p>
        </w:tc>
      </w:tr>
      <w:tr w:rsidR="00FD507D">
        <w:tc>
          <w:tcPr>
            <w:tcW w:w="1290" w:type="dxa"/>
            <w:vAlign w:val="center"/>
          </w:tcPr>
          <w:p w:rsidR="00FD507D" w:rsidRDefault="000C4855">
            <w:pPr>
              <w:jc w:val="left"/>
            </w:pPr>
            <w:r>
              <w:rPr>
                <w:rFonts w:eastAsiaTheme="minorEastAsia"/>
                <w:color w:val="000000" w:themeColor="text1"/>
                <w:szCs w:val="21"/>
              </w:rPr>
              <w:t>过去六个月</w:t>
            </w:r>
          </w:p>
        </w:tc>
        <w:tc>
          <w:tcPr>
            <w:tcW w:w="1291" w:type="dxa"/>
            <w:vAlign w:val="center"/>
          </w:tcPr>
          <w:p w:rsidR="00FD507D" w:rsidRDefault="000C4855">
            <w:pPr>
              <w:jc w:val="right"/>
            </w:pPr>
            <w:r>
              <w:rPr>
                <w:rFonts w:eastAsiaTheme="minorEastAsia"/>
                <w:color w:val="000000" w:themeColor="text1"/>
                <w:szCs w:val="21"/>
              </w:rPr>
              <w:t>-14.65%</w:t>
            </w:r>
          </w:p>
        </w:tc>
        <w:tc>
          <w:tcPr>
            <w:tcW w:w="1291" w:type="dxa"/>
            <w:vAlign w:val="center"/>
          </w:tcPr>
          <w:p w:rsidR="00FD507D" w:rsidRDefault="000C4855">
            <w:pPr>
              <w:jc w:val="right"/>
            </w:pPr>
            <w:r>
              <w:rPr>
                <w:rFonts w:eastAsiaTheme="minorEastAsia"/>
                <w:color w:val="000000" w:themeColor="text1"/>
                <w:szCs w:val="21"/>
              </w:rPr>
              <w:t>1.23%</w:t>
            </w:r>
          </w:p>
        </w:tc>
        <w:tc>
          <w:tcPr>
            <w:tcW w:w="1291" w:type="dxa"/>
            <w:vAlign w:val="center"/>
          </w:tcPr>
          <w:p w:rsidR="00FD507D" w:rsidRDefault="000C4855">
            <w:pPr>
              <w:jc w:val="right"/>
            </w:pPr>
            <w:r>
              <w:rPr>
                <w:rFonts w:eastAsiaTheme="minorEastAsia"/>
                <w:color w:val="000000" w:themeColor="text1"/>
                <w:szCs w:val="21"/>
              </w:rPr>
              <w:t>-8.15%</w:t>
            </w:r>
          </w:p>
        </w:tc>
        <w:tc>
          <w:tcPr>
            <w:tcW w:w="1291" w:type="dxa"/>
            <w:vAlign w:val="center"/>
          </w:tcPr>
          <w:p w:rsidR="00FD507D" w:rsidRDefault="000C4855">
            <w:pPr>
              <w:jc w:val="right"/>
            </w:pPr>
            <w:r>
              <w:rPr>
                <w:rFonts w:eastAsiaTheme="minorEastAsia"/>
                <w:color w:val="000000" w:themeColor="text1"/>
                <w:szCs w:val="21"/>
              </w:rPr>
              <w:t>0.66%</w:t>
            </w:r>
          </w:p>
        </w:tc>
        <w:tc>
          <w:tcPr>
            <w:tcW w:w="1291" w:type="dxa"/>
            <w:vAlign w:val="center"/>
          </w:tcPr>
          <w:p w:rsidR="00FD507D" w:rsidRDefault="000C4855">
            <w:pPr>
              <w:jc w:val="right"/>
            </w:pPr>
            <w:r>
              <w:rPr>
                <w:rFonts w:eastAsiaTheme="minorEastAsia"/>
                <w:color w:val="000000" w:themeColor="text1"/>
                <w:szCs w:val="21"/>
              </w:rPr>
              <w:t>-6.50%</w:t>
            </w:r>
          </w:p>
        </w:tc>
        <w:tc>
          <w:tcPr>
            <w:tcW w:w="1291" w:type="dxa"/>
            <w:vAlign w:val="center"/>
          </w:tcPr>
          <w:p w:rsidR="00FD507D" w:rsidRDefault="000C4855">
            <w:pPr>
              <w:jc w:val="right"/>
            </w:pPr>
            <w:r>
              <w:rPr>
                <w:rFonts w:eastAsiaTheme="minorEastAsia"/>
                <w:color w:val="000000" w:themeColor="text1"/>
                <w:szCs w:val="21"/>
              </w:rPr>
              <w:t>0.57%</w:t>
            </w:r>
          </w:p>
        </w:tc>
      </w:tr>
      <w:tr w:rsidR="00FD507D">
        <w:tc>
          <w:tcPr>
            <w:tcW w:w="1290" w:type="dxa"/>
            <w:vAlign w:val="center"/>
          </w:tcPr>
          <w:p w:rsidR="00FD507D" w:rsidRDefault="000C4855">
            <w:pPr>
              <w:jc w:val="left"/>
            </w:pPr>
            <w:r>
              <w:rPr>
                <w:rFonts w:eastAsiaTheme="minorEastAsia"/>
                <w:color w:val="000000" w:themeColor="text1"/>
                <w:szCs w:val="21"/>
              </w:rPr>
              <w:t>过去一年</w:t>
            </w:r>
          </w:p>
        </w:tc>
        <w:tc>
          <w:tcPr>
            <w:tcW w:w="1291" w:type="dxa"/>
            <w:vAlign w:val="center"/>
          </w:tcPr>
          <w:p w:rsidR="00FD507D" w:rsidRDefault="000C4855">
            <w:pPr>
              <w:jc w:val="right"/>
            </w:pPr>
            <w:r>
              <w:rPr>
                <w:rFonts w:eastAsiaTheme="minorEastAsia"/>
                <w:color w:val="000000" w:themeColor="text1"/>
                <w:szCs w:val="21"/>
              </w:rPr>
              <w:t>-16.90%</w:t>
            </w:r>
          </w:p>
        </w:tc>
        <w:tc>
          <w:tcPr>
            <w:tcW w:w="1291" w:type="dxa"/>
            <w:vAlign w:val="center"/>
          </w:tcPr>
          <w:p w:rsidR="00FD507D" w:rsidRDefault="000C4855">
            <w:pPr>
              <w:jc w:val="right"/>
            </w:pPr>
            <w:r>
              <w:rPr>
                <w:rFonts w:eastAsiaTheme="minorEastAsia"/>
                <w:color w:val="000000" w:themeColor="text1"/>
                <w:szCs w:val="21"/>
              </w:rPr>
              <w:t>1.36%</w:t>
            </w:r>
          </w:p>
        </w:tc>
        <w:tc>
          <w:tcPr>
            <w:tcW w:w="1291" w:type="dxa"/>
            <w:vAlign w:val="center"/>
          </w:tcPr>
          <w:p w:rsidR="00FD507D" w:rsidRDefault="000C4855">
            <w:pPr>
              <w:jc w:val="right"/>
            </w:pPr>
            <w:r>
              <w:rPr>
                <w:rFonts w:eastAsiaTheme="minorEastAsia"/>
                <w:color w:val="000000" w:themeColor="text1"/>
                <w:szCs w:val="21"/>
              </w:rPr>
              <w:t>-7.97%</w:t>
            </w:r>
          </w:p>
        </w:tc>
        <w:tc>
          <w:tcPr>
            <w:tcW w:w="1291" w:type="dxa"/>
            <w:vAlign w:val="center"/>
          </w:tcPr>
          <w:p w:rsidR="00FD507D" w:rsidRDefault="000C4855">
            <w:pPr>
              <w:jc w:val="right"/>
            </w:pPr>
            <w:r>
              <w:rPr>
                <w:rFonts w:eastAsiaTheme="minorEastAsia"/>
                <w:color w:val="000000" w:themeColor="text1"/>
                <w:szCs w:val="21"/>
              </w:rPr>
              <w:t>0.65%</w:t>
            </w:r>
          </w:p>
        </w:tc>
        <w:tc>
          <w:tcPr>
            <w:tcW w:w="1291" w:type="dxa"/>
            <w:vAlign w:val="center"/>
          </w:tcPr>
          <w:p w:rsidR="00FD507D" w:rsidRDefault="000C4855">
            <w:pPr>
              <w:jc w:val="right"/>
            </w:pPr>
            <w:r>
              <w:rPr>
                <w:rFonts w:eastAsiaTheme="minorEastAsia"/>
                <w:color w:val="000000" w:themeColor="text1"/>
                <w:szCs w:val="21"/>
              </w:rPr>
              <w:t>-8.93%</w:t>
            </w:r>
          </w:p>
        </w:tc>
        <w:tc>
          <w:tcPr>
            <w:tcW w:w="1291" w:type="dxa"/>
            <w:vAlign w:val="center"/>
          </w:tcPr>
          <w:p w:rsidR="00FD507D" w:rsidRDefault="000C4855">
            <w:pPr>
              <w:jc w:val="right"/>
            </w:pPr>
            <w:r>
              <w:rPr>
                <w:rFonts w:eastAsiaTheme="minorEastAsia"/>
                <w:color w:val="000000" w:themeColor="text1"/>
                <w:szCs w:val="21"/>
              </w:rPr>
              <w:t>0.71%</w:t>
            </w:r>
          </w:p>
        </w:tc>
      </w:tr>
      <w:tr w:rsidR="00FD507D">
        <w:tc>
          <w:tcPr>
            <w:tcW w:w="1290" w:type="dxa"/>
            <w:vAlign w:val="center"/>
          </w:tcPr>
          <w:p w:rsidR="00FD507D" w:rsidRDefault="000C4855">
            <w:pPr>
              <w:jc w:val="left"/>
            </w:pPr>
            <w:r>
              <w:rPr>
                <w:rFonts w:eastAsiaTheme="minorEastAsia"/>
                <w:color w:val="000000" w:themeColor="text1"/>
                <w:szCs w:val="21"/>
              </w:rPr>
              <w:t>过去三年</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r>
      <w:tr w:rsidR="00FD507D">
        <w:tc>
          <w:tcPr>
            <w:tcW w:w="1290" w:type="dxa"/>
            <w:vAlign w:val="center"/>
          </w:tcPr>
          <w:p w:rsidR="00FD507D" w:rsidRDefault="000C4855">
            <w:pPr>
              <w:jc w:val="left"/>
            </w:pPr>
            <w:r>
              <w:rPr>
                <w:rFonts w:eastAsiaTheme="minorEastAsia"/>
                <w:color w:val="000000" w:themeColor="text1"/>
                <w:szCs w:val="21"/>
              </w:rPr>
              <w:lastRenderedPageBreak/>
              <w:t>过去五年</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c>
          <w:tcPr>
            <w:tcW w:w="1291" w:type="dxa"/>
            <w:vAlign w:val="center"/>
          </w:tcPr>
          <w:p w:rsidR="00FD507D" w:rsidRDefault="000C4855">
            <w:pPr>
              <w:jc w:val="right"/>
            </w:pPr>
            <w:r>
              <w:rPr>
                <w:rFonts w:eastAsiaTheme="minorEastAsia"/>
                <w:color w:val="000000" w:themeColor="text1"/>
                <w:szCs w:val="21"/>
              </w:rPr>
              <w:t>-</w:t>
            </w:r>
          </w:p>
        </w:tc>
      </w:tr>
      <w:tr w:rsidR="00FD507D">
        <w:tc>
          <w:tcPr>
            <w:tcW w:w="1290" w:type="dxa"/>
            <w:vAlign w:val="center"/>
          </w:tcPr>
          <w:p w:rsidR="00FD507D" w:rsidRDefault="000C4855">
            <w:pPr>
              <w:jc w:val="left"/>
            </w:pPr>
            <w:r>
              <w:rPr>
                <w:rFonts w:eastAsiaTheme="minorEastAsia"/>
                <w:color w:val="000000" w:themeColor="text1"/>
                <w:szCs w:val="21"/>
              </w:rPr>
              <w:t>自基金合同生效起至今</w:t>
            </w:r>
          </w:p>
        </w:tc>
        <w:tc>
          <w:tcPr>
            <w:tcW w:w="1291" w:type="dxa"/>
            <w:vAlign w:val="center"/>
          </w:tcPr>
          <w:p w:rsidR="00FD507D" w:rsidRDefault="000C4855">
            <w:pPr>
              <w:jc w:val="right"/>
            </w:pPr>
            <w:r>
              <w:rPr>
                <w:rFonts w:eastAsiaTheme="minorEastAsia"/>
                <w:color w:val="000000" w:themeColor="text1"/>
                <w:szCs w:val="21"/>
              </w:rPr>
              <w:t>-40.77%</w:t>
            </w:r>
          </w:p>
        </w:tc>
        <w:tc>
          <w:tcPr>
            <w:tcW w:w="1291" w:type="dxa"/>
            <w:vAlign w:val="center"/>
          </w:tcPr>
          <w:p w:rsidR="00FD507D" w:rsidRDefault="000C4855">
            <w:pPr>
              <w:jc w:val="right"/>
            </w:pPr>
            <w:r>
              <w:rPr>
                <w:rFonts w:eastAsiaTheme="minorEastAsia"/>
                <w:color w:val="000000" w:themeColor="text1"/>
                <w:szCs w:val="21"/>
              </w:rPr>
              <w:t>1.99%</w:t>
            </w:r>
          </w:p>
        </w:tc>
        <w:tc>
          <w:tcPr>
            <w:tcW w:w="1291" w:type="dxa"/>
            <w:vAlign w:val="center"/>
          </w:tcPr>
          <w:p w:rsidR="00FD507D" w:rsidRDefault="000C4855">
            <w:pPr>
              <w:jc w:val="right"/>
            </w:pPr>
            <w:r>
              <w:rPr>
                <w:rFonts w:eastAsiaTheme="minorEastAsia"/>
                <w:color w:val="000000" w:themeColor="text1"/>
                <w:szCs w:val="21"/>
              </w:rPr>
              <w:t>-20.75%</w:t>
            </w:r>
          </w:p>
        </w:tc>
        <w:tc>
          <w:tcPr>
            <w:tcW w:w="1291" w:type="dxa"/>
            <w:vAlign w:val="center"/>
          </w:tcPr>
          <w:p w:rsidR="00FD507D" w:rsidRDefault="000C4855">
            <w:pPr>
              <w:jc w:val="right"/>
            </w:pPr>
            <w:r>
              <w:rPr>
                <w:rFonts w:eastAsiaTheme="minorEastAsia"/>
                <w:color w:val="000000" w:themeColor="text1"/>
                <w:szCs w:val="21"/>
              </w:rPr>
              <w:t>0.82%</w:t>
            </w:r>
          </w:p>
        </w:tc>
        <w:tc>
          <w:tcPr>
            <w:tcW w:w="1291" w:type="dxa"/>
            <w:vAlign w:val="center"/>
          </w:tcPr>
          <w:p w:rsidR="00FD507D" w:rsidRDefault="000C4855">
            <w:pPr>
              <w:jc w:val="right"/>
            </w:pPr>
            <w:r>
              <w:rPr>
                <w:rFonts w:eastAsiaTheme="minorEastAsia"/>
                <w:color w:val="000000" w:themeColor="text1"/>
                <w:szCs w:val="21"/>
              </w:rPr>
              <w:t>-20.02%</w:t>
            </w:r>
          </w:p>
        </w:tc>
        <w:tc>
          <w:tcPr>
            <w:tcW w:w="1291" w:type="dxa"/>
            <w:vAlign w:val="center"/>
          </w:tcPr>
          <w:p w:rsidR="00FD507D" w:rsidRDefault="000C4855">
            <w:pPr>
              <w:jc w:val="right"/>
            </w:pPr>
            <w:r>
              <w:rPr>
                <w:rFonts w:eastAsiaTheme="minorEastAsia"/>
                <w:color w:val="000000" w:themeColor="text1"/>
                <w:szCs w:val="21"/>
              </w:rPr>
              <w:t>1.17%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摩根动力精选混合型证券投资基金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．摩根动力精选混合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．摩根动力精选混合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日，图示的时间段为本类份额生效日至本报告期末。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D507D">
        <w:tc>
          <w:tcPr>
            <w:tcW w:w="952" w:type="dxa"/>
            <w:vAlign w:val="center"/>
          </w:tcPr>
          <w:p w:rsidR="00FD507D" w:rsidRDefault="000C4855">
            <w:pPr>
              <w:jc w:val="center"/>
            </w:pPr>
            <w:r>
              <w:rPr>
                <w:rFonts w:eastAsiaTheme="minorEastAsia"/>
                <w:color w:val="000000" w:themeColor="text1"/>
                <w:szCs w:val="21"/>
              </w:rPr>
              <w:t>郭晨</w:t>
            </w:r>
          </w:p>
        </w:tc>
        <w:tc>
          <w:tcPr>
            <w:tcW w:w="930" w:type="dxa"/>
            <w:vAlign w:val="center"/>
          </w:tcPr>
          <w:p w:rsidR="00FD507D" w:rsidRDefault="000C4855">
            <w:pPr>
              <w:jc w:val="center"/>
            </w:pPr>
            <w:r>
              <w:rPr>
                <w:rFonts w:eastAsiaTheme="minorEastAsia"/>
                <w:color w:val="000000" w:themeColor="text1"/>
                <w:szCs w:val="21"/>
              </w:rPr>
              <w:t>本基金基金经理</w:t>
            </w:r>
          </w:p>
        </w:tc>
        <w:tc>
          <w:tcPr>
            <w:tcW w:w="1210" w:type="dxa"/>
            <w:vAlign w:val="center"/>
          </w:tcPr>
          <w:p w:rsidR="00FD507D" w:rsidRDefault="000C4855">
            <w:pPr>
              <w:jc w:val="center"/>
            </w:pPr>
            <w:r>
              <w:rPr>
                <w:rFonts w:eastAsiaTheme="minorEastAsia"/>
                <w:color w:val="000000" w:themeColor="text1"/>
                <w:szCs w:val="21"/>
              </w:rPr>
              <w:t>2021-10-29</w:t>
            </w:r>
          </w:p>
        </w:tc>
        <w:tc>
          <w:tcPr>
            <w:tcW w:w="1309" w:type="dxa"/>
            <w:vAlign w:val="center"/>
          </w:tcPr>
          <w:p w:rsidR="00FD507D" w:rsidRDefault="000C4855">
            <w:pPr>
              <w:jc w:val="center"/>
            </w:pPr>
            <w:r>
              <w:rPr>
                <w:rFonts w:eastAsiaTheme="minorEastAsia"/>
                <w:color w:val="000000" w:themeColor="text1"/>
                <w:szCs w:val="21"/>
              </w:rPr>
              <w:t>-</w:t>
            </w:r>
          </w:p>
        </w:tc>
        <w:tc>
          <w:tcPr>
            <w:tcW w:w="1254" w:type="dxa"/>
            <w:vAlign w:val="center"/>
          </w:tcPr>
          <w:p w:rsidR="00FD507D" w:rsidRDefault="000C4855">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FD507D" w:rsidRDefault="000C4855">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FD507D" w:rsidRDefault="000C485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7.0%</w:t>
      </w:r>
      <w:r>
        <w:rPr>
          <w:rFonts w:eastAsiaTheme="minorEastAsia"/>
          <w:color w:val="000000" w:themeColor="text1"/>
          <w:szCs w:val="21"/>
        </w:rPr>
        <w:t>，创业板指数下跌</w:t>
      </w:r>
      <w:r>
        <w:rPr>
          <w:rFonts w:eastAsiaTheme="minorEastAsia"/>
          <w:color w:val="000000" w:themeColor="text1"/>
          <w:szCs w:val="21"/>
        </w:rPr>
        <w:t>5.6%</w:t>
      </w:r>
      <w:r>
        <w:rPr>
          <w:rFonts w:eastAsiaTheme="minorEastAsia"/>
          <w:color w:val="000000" w:themeColor="text1"/>
          <w:szCs w:val="21"/>
        </w:rPr>
        <w:t>。本季度市场表现不佳，市场亮点不</w:t>
      </w:r>
      <w:r>
        <w:rPr>
          <w:rFonts w:eastAsiaTheme="minorEastAsia"/>
          <w:color w:val="000000" w:themeColor="text1"/>
          <w:szCs w:val="21"/>
        </w:rPr>
        <w:lastRenderedPageBreak/>
        <w:t>多，三季度表现较差的科技行业相对强势一些。四季度国内经济比较平稳，前期出台的房地产限购政策效果并不明显，其他没有太多新的刺激政策。美国四季度通胀控制良好，</w:t>
      </w:r>
      <w:r>
        <w:rPr>
          <w:rFonts w:eastAsiaTheme="minorEastAsia"/>
          <w:color w:val="000000" w:themeColor="text1"/>
          <w:szCs w:val="21"/>
        </w:rPr>
        <w:t>2024</w:t>
      </w:r>
      <w:r>
        <w:rPr>
          <w:rFonts w:eastAsiaTheme="minorEastAsia"/>
          <w:color w:val="000000" w:themeColor="text1"/>
          <w:szCs w:val="21"/>
        </w:rPr>
        <w:t>年降息预期增强，人民币表现强势，美债收益率大幅下降，理论上有利于外资的回流。市场目前比较看好的板块集中在两个方向上，一是高股息板块，二是新兴高景气的科技板块。这两个方向对宏观经济较不敏感，有各自的阿尔法逻辑。</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四季度汽车市场表现良好，在消费市场中表现十分亮眼。国内新能源车的渗透率继续提升，全年渗透率有望超过</w:t>
      </w:r>
      <w:r>
        <w:rPr>
          <w:rFonts w:eastAsiaTheme="minorEastAsia"/>
          <w:color w:val="000000" w:themeColor="text1"/>
          <w:szCs w:val="21"/>
        </w:rPr>
        <w:t>30%</w:t>
      </w:r>
      <w:r>
        <w:rPr>
          <w:rFonts w:eastAsiaTheme="minorEastAsia"/>
          <w:color w:val="000000" w:themeColor="text1"/>
          <w:szCs w:val="21"/>
        </w:rPr>
        <w:t>。整车出口继续高增，有望成为全球汽车出口排名第一的国家。新能源汽车是大势所趋，其性能、驾乘感受、智能化水平都得到了消费者的充分认可。全球新能源车渗透率依然很低，未来成长空间很大，消费者观望心态恢复后，新能源汽车销售依然可以保持较快增长。新能源汽车行业中，智能驾驶和机器人或是未来两个最有看点的子领域。本基金关注高景气度的新能源行业，力争在这个优质赛道中取得超额收益。我们将始终坚持价值投资思路，坚持配置新能源行业中优质的细分产业链，选择优质龙头公司长期投资。</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我们并不悲观。目前市场对国内经济信心不足，对政策预期也不高，估值已经跌到了非常低的位置。监管层已经出台了一系列活跃资本市场的政策，目前政策底大概率已经看到，我们继续期待市场底的到来。宏观经济有其自身的规律，经济</w:t>
      </w:r>
      <w:r>
        <w:rPr>
          <w:rFonts w:eastAsiaTheme="minorEastAsia"/>
          <w:color w:val="000000" w:themeColor="text1"/>
          <w:szCs w:val="21"/>
        </w:rPr>
        <w:t>V</w:t>
      </w:r>
      <w:r>
        <w:rPr>
          <w:rFonts w:eastAsiaTheme="minorEastAsia"/>
          <w:color w:val="000000" w:themeColor="text1"/>
          <w:szCs w:val="21"/>
        </w:rPr>
        <w:t>型反转的概率不大，温和复苏的可能性更大，维持经济的中速增长是可期的。</w:t>
      </w:r>
      <w:r>
        <w:rPr>
          <w:rFonts w:eastAsiaTheme="minorEastAsia"/>
          <w:color w:val="000000" w:themeColor="text1"/>
          <w:szCs w:val="21"/>
        </w:rPr>
        <w:t>2024</w:t>
      </w:r>
      <w:r>
        <w:rPr>
          <w:rFonts w:eastAsiaTheme="minorEastAsia"/>
          <w:color w:val="000000" w:themeColor="text1"/>
          <w:szCs w:val="21"/>
        </w:rPr>
        <w:t>年美国通胀回落明确，降息周期有望开启，外资流出压力减小。港股在经历调整之后，估值吸引力提升，依然是国内经济变化高弹性的标的。宏观经济对新兴行业成长个股影响较小，重点关注以下几个方向：一是新技术引领的高景气行业，如人工智能、人型机器人、智能驾驶等，二是估值合理，基本面即将迎来反转的成长行业，如医药、半导体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站在今天这个时点，新能源行业的市场空间在未来十年或有十倍的成长空间，行业的景气度没有发生大的变化，后面依然会有很多机会，调整之后应精选优质标的逢低布局。未来新能源车销量大概率继续保持较快增长，进一步拉动整个产业链需求。近期智能驾驶和人型机器人的发展出现了比较大的进步，利好新能源车产业链，我们未来会加强研究和关注。我们将深入研究产业，挖掘估值和业绩相对匹配的个股，力争为基金持有人创造持续超额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本报告期摩根动力精选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:-3.40%</w:t>
      </w:r>
      <w:r>
        <w:rPr>
          <w:rFonts w:eastAsiaTheme="minorEastAsia"/>
          <w:color w:val="000000" w:themeColor="text1"/>
          <w:szCs w:val="21"/>
        </w:rPr>
        <w:t>，同期业绩比较基准收益率为</w:t>
      </w:r>
      <w:r>
        <w:rPr>
          <w:rFonts w:eastAsiaTheme="minorEastAsia"/>
          <w:color w:val="000000" w:themeColor="text1"/>
          <w:szCs w:val="21"/>
        </w:rPr>
        <w:t>:-4.94%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摩根动力精选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:-3.50%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:-4.94%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920,689,567.19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87.73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920,689,567.19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87.73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123,408,927.35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5,356,138.13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1,049,454,632.67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1,238,386.56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876,617,006.33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10,674,636.50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854,941.84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31,304,595.96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920,689,567.19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88.68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D507D">
        <w:tc>
          <w:tcPr>
            <w:tcW w:w="817" w:type="dxa"/>
            <w:vAlign w:val="center"/>
          </w:tcPr>
          <w:p w:rsidR="00FD507D" w:rsidRDefault="000C4855">
            <w:pPr>
              <w:jc w:val="center"/>
            </w:pPr>
            <w:r>
              <w:rPr>
                <w:rFonts w:eastAsiaTheme="minorEastAsia"/>
                <w:kern w:val="0"/>
                <w:szCs w:val="21"/>
              </w:rPr>
              <w:t>1</w:t>
            </w:r>
          </w:p>
        </w:tc>
        <w:tc>
          <w:tcPr>
            <w:tcW w:w="1276" w:type="dxa"/>
            <w:vAlign w:val="center"/>
          </w:tcPr>
          <w:p w:rsidR="00FD507D" w:rsidRDefault="000C4855">
            <w:pPr>
              <w:jc w:val="center"/>
            </w:pPr>
            <w:r>
              <w:rPr>
                <w:rFonts w:eastAsiaTheme="minorEastAsia"/>
                <w:kern w:val="0"/>
                <w:szCs w:val="21"/>
              </w:rPr>
              <w:t>002050</w:t>
            </w:r>
          </w:p>
        </w:tc>
        <w:tc>
          <w:tcPr>
            <w:tcW w:w="1701" w:type="dxa"/>
            <w:vAlign w:val="center"/>
          </w:tcPr>
          <w:p w:rsidR="00FD507D" w:rsidRDefault="000C4855">
            <w:pPr>
              <w:jc w:val="center"/>
            </w:pPr>
            <w:r>
              <w:rPr>
                <w:rFonts w:eastAsiaTheme="minorEastAsia"/>
                <w:kern w:val="0"/>
                <w:szCs w:val="21"/>
              </w:rPr>
              <w:t>三花智控</w:t>
            </w:r>
          </w:p>
        </w:tc>
        <w:tc>
          <w:tcPr>
            <w:tcW w:w="1276" w:type="dxa"/>
            <w:vAlign w:val="center"/>
          </w:tcPr>
          <w:p w:rsidR="00FD507D" w:rsidRDefault="000C4855">
            <w:pPr>
              <w:jc w:val="right"/>
            </w:pPr>
            <w:r>
              <w:rPr>
                <w:rFonts w:eastAsiaTheme="minorEastAsia"/>
                <w:kern w:val="0"/>
                <w:szCs w:val="21"/>
              </w:rPr>
              <w:t>3,307,998.00</w:t>
            </w:r>
          </w:p>
        </w:tc>
        <w:tc>
          <w:tcPr>
            <w:tcW w:w="1842" w:type="dxa"/>
            <w:vAlign w:val="center"/>
          </w:tcPr>
          <w:p w:rsidR="00FD507D" w:rsidRDefault="000C4855">
            <w:pPr>
              <w:jc w:val="right"/>
            </w:pPr>
            <w:r>
              <w:rPr>
                <w:rFonts w:eastAsiaTheme="minorEastAsia"/>
                <w:kern w:val="0"/>
                <w:szCs w:val="21"/>
              </w:rPr>
              <w:t>97,255,141.20</w:t>
            </w:r>
          </w:p>
        </w:tc>
        <w:tc>
          <w:tcPr>
            <w:tcW w:w="1616" w:type="dxa"/>
            <w:vAlign w:val="center"/>
          </w:tcPr>
          <w:p w:rsidR="00FD507D" w:rsidRDefault="000C4855">
            <w:pPr>
              <w:jc w:val="right"/>
            </w:pPr>
            <w:r>
              <w:rPr>
                <w:rFonts w:eastAsiaTheme="minorEastAsia"/>
                <w:kern w:val="0"/>
                <w:szCs w:val="21"/>
              </w:rPr>
              <w:t>9.37</w:t>
            </w:r>
          </w:p>
        </w:tc>
      </w:tr>
      <w:tr w:rsidR="00FD507D">
        <w:tc>
          <w:tcPr>
            <w:tcW w:w="817" w:type="dxa"/>
            <w:vAlign w:val="center"/>
          </w:tcPr>
          <w:p w:rsidR="00FD507D" w:rsidRDefault="000C4855">
            <w:pPr>
              <w:jc w:val="center"/>
            </w:pPr>
            <w:r>
              <w:rPr>
                <w:rFonts w:eastAsiaTheme="minorEastAsia"/>
                <w:kern w:val="0"/>
                <w:szCs w:val="21"/>
              </w:rPr>
              <w:t>2</w:t>
            </w:r>
          </w:p>
        </w:tc>
        <w:tc>
          <w:tcPr>
            <w:tcW w:w="1276" w:type="dxa"/>
            <w:vAlign w:val="center"/>
          </w:tcPr>
          <w:p w:rsidR="00FD507D" w:rsidRDefault="000C4855">
            <w:pPr>
              <w:jc w:val="center"/>
            </w:pPr>
            <w:r>
              <w:rPr>
                <w:rFonts w:eastAsiaTheme="minorEastAsia"/>
                <w:kern w:val="0"/>
                <w:szCs w:val="21"/>
              </w:rPr>
              <w:t>000625</w:t>
            </w:r>
          </w:p>
        </w:tc>
        <w:tc>
          <w:tcPr>
            <w:tcW w:w="1701" w:type="dxa"/>
            <w:vAlign w:val="center"/>
          </w:tcPr>
          <w:p w:rsidR="00FD507D" w:rsidRDefault="000C4855">
            <w:pPr>
              <w:jc w:val="center"/>
            </w:pPr>
            <w:r>
              <w:rPr>
                <w:rFonts w:eastAsiaTheme="minorEastAsia"/>
                <w:kern w:val="0"/>
                <w:szCs w:val="21"/>
              </w:rPr>
              <w:t>长安汽车</w:t>
            </w:r>
          </w:p>
        </w:tc>
        <w:tc>
          <w:tcPr>
            <w:tcW w:w="1276" w:type="dxa"/>
            <w:vAlign w:val="center"/>
          </w:tcPr>
          <w:p w:rsidR="00FD507D" w:rsidRDefault="000C4855">
            <w:pPr>
              <w:jc w:val="right"/>
            </w:pPr>
            <w:r>
              <w:rPr>
                <w:rFonts w:eastAsiaTheme="minorEastAsia"/>
                <w:kern w:val="0"/>
                <w:szCs w:val="21"/>
              </w:rPr>
              <w:t>3,659,600.00</w:t>
            </w:r>
          </w:p>
        </w:tc>
        <w:tc>
          <w:tcPr>
            <w:tcW w:w="1842" w:type="dxa"/>
            <w:vAlign w:val="center"/>
          </w:tcPr>
          <w:p w:rsidR="00FD507D" w:rsidRDefault="000C4855">
            <w:pPr>
              <w:jc w:val="right"/>
            </w:pPr>
            <w:r>
              <w:rPr>
                <w:rFonts w:eastAsiaTheme="minorEastAsia"/>
                <w:kern w:val="0"/>
                <w:szCs w:val="21"/>
              </w:rPr>
              <w:t>61,591,068.00</w:t>
            </w:r>
          </w:p>
        </w:tc>
        <w:tc>
          <w:tcPr>
            <w:tcW w:w="1616" w:type="dxa"/>
            <w:vAlign w:val="center"/>
          </w:tcPr>
          <w:p w:rsidR="00FD507D" w:rsidRDefault="000C4855">
            <w:pPr>
              <w:jc w:val="right"/>
            </w:pPr>
            <w:r>
              <w:rPr>
                <w:rFonts w:eastAsiaTheme="minorEastAsia"/>
                <w:kern w:val="0"/>
                <w:szCs w:val="21"/>
              </w:rPr>
              <w:t>5.93</w:t>
            </w:r>
          </w:p>
        </w:tc>
      </w:tr>
      <w:tr w:rsidR="00FD507D">
        <w:tc>
          <w:tcPr>
            <w:tcW w:w="817" w:type="dxa"/>
            <w:vAlign w:val="center"/>
          </w:tcPr>
          <w:p w:rsidR="00FD507D" w:rsidRDefault="000C4855">
            <w:pPr>
              <w:jc w:val="center"/>
            </w:pPr>
            <w:r>
              <w:rPr>
                <w:rFonts w:eastAsiaTheme="minorEastAsia"/>
                <w:kern w:val="0"/>
                <w:szCs w:val="21"/>
              </w:rPr>
              <w:t>3</w:t>
            </w:r>
          </w:p>
        </w:tc>
        <w:tc>
          <w:tcPr>
            <w:tcW w:w="1276" w:type="dxa"/>
            <w:vAlign w:val="center"/>
          </w:tcPr>
          <w:p w:rsidR="00FD507D" w:rsidRDefault="000C4855">
            <w:pPr>
              <w:jc w:val="center"/>
            </w:pPr>
            <w:r>
              <w:rPr>
                <w:rFonts w:eastAsiaTheme="minorEastAsia"/>
                <w:kern w:val="0"/>
                <w:szCs w:val="21"/>
              </w:rPr>
              <w:t>603179</w:t>
            </w:r>
          </w:p>
        </w:tc>
        <w:tc>
          <w:tcPr>
            <w:tcW w:w="1701" w:type="dxa"/>
            <w:vAlign w:val="center"/>
          </w:tcPr>
          <w:p w:rsidR="00FD507D" w:rsidRDefault="000C4855">
            <w:pPr>
              <w:jc w:val="center"/>
            </w:pPr>
            <w:r>
              <w:rPr>
                <w:rFonts w:eastAsiaTheme="minorEastAsia"/>
                <w:kern w:val="0"/>
                <w:szCs w:val="21"/>
              </w:rPr>
              <w:t>新泉股份</w:t>
            </w:r>
          </w:p>
        </w:tc>
        <w:tc>
          <w:tcPr>
            <w:tcW w:w="1276" w:type="dxa"/>
            <w:vAlign w:val="center"/>
          </w:tcPr>
          <w:p w:rsidR="00FD507D" w:rsidRDefault="000C4855">
            <w:pPr>
              <w:jc w:val="right"/>
            </w:pPr>
            <w:r>
              <w:rPr>
                <w:rFonts w:eastAsiaTheme="minorEastAsia"/>
                <w:kern w:val="0"/>
                <w:szCs w:val="21"/>
              </w:rPr>
              <w:t>711,551.00</w:t>
            </w:r>
          </w:p>
        </w:tc>
        <w:tc>
          <w:tcPr>
            <w:tcW w:w="1842" w:type="dxa"/>
            <w:vAlign w:val="center"/>
          </w:tcPr>
          <w:p w:rsidR="00FD507D" w:rsidRDefault="000C4855">
            <w:pPr>
              <w:jc w:val="right"/>
            </w:pPr>
            <w:r>
              <w:rPr>
                <w:rFonts w:eastAsiaTheme="minorEastAsia"/>
                <w:kern w:val="0"/>
                <w:szCs w:val="21"/>
              </w:rPr>
              <w:t>36,082,751.21</w:t>
            </w:r>
          </w:p>
        </w:tc>
        <w:tc>
          <w:tcPr>
            <w:tcW w:w="1616" w:type="dxa"/>
            <w:vAlign w:val="center"/>
          </w:tcPr>
          <w:p w:rsidR="00FD507D" w:rsidRDefault="000C4855">
            <w:pPr>
              <w:jc w:val="right"/>
            </w:pPr>
            <w:r>
              <w:rPr>
                <w:rFonts w:eastAsiaTheme="minorEastAsia"/>
                <w:kern w:val="0"/>
                <w:szCs w:val="21"/>
              </w:rPr>
              <w:t>3.48</w:t>
            </w:r>
          </w:p>
        </w:tc>
      </w:tr>
      <w:tr w:rsidR="00FD507D">
        <w:tc>
          <w:tcPr>
            <w:tcW w:w="817" w:type="dxa"/>
            <w:vAlign w:val="center"/>
          </w:tcPr>
          <w:p w:rsidR="00FD507D" w:rsidRDefault="000C4855">
            <w:pPr>
              <w:jc w:val="center"/>
            </w:pPr>
            <w:r>
              <w:rPr>
                <w:rFonts w:eastAsiaTheme="minorEastAsia"/>
                <w:kern w:val="0"/>
                <w:szCs w:val="21"/>
              </w:rPr>
              <w:t>4</w:t>
            </w:r>
          </w:p>
        </w:tc>
        <w:tc>
          <w:tcPr>
            <w:tcW w:w="1276" w:type="dxa"/>
            <w:vAlign w:val="center"/>
          </w:tcPr>
          <w:p w:rsidR="00FD507D" w:rsidRDefault="000C4855">
            <w:pPr>
              <w:jc w:val="center"/>
            </w:pPr>
            <w:r>
              <w:rPr>
                <w:rFonts w:eastAsiaTheme="minorEastAsia"/>
                <w:kern w:val="0"/>
                <w:szCs w:val="21"/>
              </w:rPr>
              <w:t>601689</w:t>
            </w:r>
          </w:p>
        </w:tc>
        <w:tc>
          <w:tcPr>
            <w:tcW w:w="1701" w:type="dxa"/>
            <w:vAlign w:val="center"/>
          </w:tcPr>
          <w:p w:rsidR="00FD507D" w:rsidRDefault="000C4855">
            <w:pPr>
              <w:jc w:val="center"/>
            </w:pPr>
            <w:r>
              <w:rPr>
                <w:rFonts w:eastAsiaTheme="minorEastAsia"/>
                <w:kern w:val="0"/>
                <w:szCs w:val="21"/>
              </w:rPr>
              <w:t>拓普集团</w:t>
            </w:r>
          </w:p>
        </w:tc>
        <w:tc>
          <w:tcPr>
            <w:tcW w:w="1276" w:type="dxa"/>
            <w:vAlign w:val="center"/>
          </w:tcPr>
          <w:p w:rsidR="00FD507D" w:rsidRDefault="000C4855">
            <w:pPr>
              <w:jc w:val="right"/>
            </w:pPr>
            <w:r>
              <w:rPr>
                <w:rFonts w:eastAsiaTheme="minorEastAsia"/>
                <w:kern w:val="0"/>
                <w:szCs w:val="21"/>
              </w:rPr>
              <w:t>455,673.00</w:t>
            </w:r>
          </w:p>
        </w:tc>
        <w:tc>
          <w:tcPr>
            <w:tcW w:w="1842" w:type="dxa"/>
            <w:vAlign w:val="center"/>
          </w:tcPr>
          <w:p w:rsidR="00FD507D" w:rsidRDefault="000C4855">
            <w:pPr>
              <w:jc w:val="right"/>
            </w:pPr>
            <w:r>
              <w:rPr>
                <w:rFonts w:eastAsiaTheme="minorEastAsia"/>
                <w:kern w:val="0"/>
                <w:szCs w:val="21"/>
              </w:rPr>
              <w:t>33,491,965.50</w:t>
            </w:r>
          </w:p>
        </w:tc>
        <w:tc>
          <w:tcPr>
            <w:tcW w:w="1616" w:type="dxa"/>
            <w:vAlign w:val="center"/>
          </w:tcPr>
          <w:p w:rsidR="00FD507D" w:rsidRDefault="000C4855">
            <w:pPr>
              <w:jc w:val="right"/>
            </w:pPr>
            <w:r>
              <w:rPr>
                <w:rFonts w:eastAsiaTheme="minorEastAsia"/>
                <w:kern w:val="0"/>
                <w:szCs w:val="21"/>
              </w:rPr>
              <w:t>3.23</w:t>
            </w:r>
          </w:p>
        </w:tc>
      </w:tr>
      <w:tr w:rsidR="00FD507D">
        <w:tc>
          <w:tcPr>
            <w:tcW w:w="817" w:type="dxa"/>
            <w:vAlign w:val="center"/>
          </w:tcPr>
          <w:p w:rsidR="00FD507D" w:rsidRDefault="000C4855">
            <w:pPr>
              <w:jc w:val="center"/>
            </w:pPr>
            <w:r>
              <w:rPr>
                <w:rFonts w:eastAsiaTheme="minorEastAsia"/>
                <w:kern w:val="0"/>
                <w:szCs w:val="21"/>
              </w:rPr>
              <w:t>5</w:t>
            </w:r>
          </w:p>
        </w:tc>
        <w:tc>
          <w:tcPr>
            <w:tcW w:w="1276" w:type="dxa"/>
            <w:vAlign w:val="center"/>
          </w:tcPr>
          <w:p w:rsidR="00FD507D" w:rsidRDefault="000C4855">
            <w:pPr>
              <w:jc w:val="center"/>
            </w:pPr>
            <w:r>
              <w:rPr>
                <w:rFonts w:eastAsiaTheme="minorEastAsia"/>
                <w:kern w:val="0"/>
                <w:szCs w:val="21"/>
              </w:rPr>
              <w:t>688017</w:t>
            </w:r>
          </w:p>
        </w:tc>
        <w:tc>
          <w:tcPr>
            <w:tcW w:w="1701" w:type="dxa"/>
            <w:vAlign w:val="center"/>
          </w:tcPr>
          <w:p w:rsidR="00FD507D" w:rsidRDefault="000C4855">
            <w:pPr>
              <w:jc w:val="center"/>
            </w:pPr>
            <w:r>
              <w:rPr>
                <w:rFonts w:eastAsiaTheme="minorEastAsia"/>
                <w:kern w:val="0"/>
                <w:szCs w:val="21"/>
              </w:rPr>
              <w:t>绿的谐波</w:t>
            </w:r>
          </w:p>
        </w:tc>
        <w:tc>
          <w:tcPr>
            <w:tcW w:w="1276" w:type="dxa"/>
            <w:vAlign w:val="center"/>
          </w:tcPr>
          <w:p w:rsidR="00FD507D" w:rsidRDefault="000C4855">
            <w:pPr>
              <w:jc w:val="right"/>
            </w:pPr>
            <w:r>
              <w:rPr>
                <w:rFonts w:eastAsiaTheme="minorEastAsia"/>
                <w:kern w:val="0"/>
                <w:szCs w:val="21"/>
              </w:rPr>
              <w:t>208,994.00</w:t>
            </w:r>
          </w:p>
        </w:tc>
        <w:tc>
          <w:tcPr>
            <w:tcW w:w="1842" w:type="dxa"/>
            <w:vAlign w:val="center"/>
          </w:tcPr>
          <w:p w:rsidR="00FD507D" w:rsidRDefault="000C4855">
            <w:pPr>
              <w:jc w:val="right"/>
            </w:pPr>
            <w:r>
              <w:rPr>
                <w:rFonts w:eastAsiaTheme="minorEastAsia"/>
                <w:kern w:val="0"/>
                <w:szCs w:val="21"/>
              </w:rPr>
              <w:t>32,080,579.00</w:t>
            </w:r>
          </w:p>
        </w:tc>
        <w:tc>
          <w:tcPr>
            <w:tcW w:w="1616" w:type="dxa"/>
            <w:vAlign w:val="center"/>
          </w:tcPr>
          <w:p w:rsidR="00FD507D" w:rsidRDefault="000C4855">
            <w:pPr>
              <w:jc w:val="right"/>
            </w:pPr>
            <w:r>
              <w:rPr>
                <w:rFonts w:eastAsiaTheme="minorEastAsia"/>
                <w:kern w:val="0"/>
                <w:szCs w:val="21"/>
              </w:rPr>
              <w:t>3.09</w:t>
            </w:r>
          </w:p>
        </w:tc>
      </w:tr>
      <w:tr w:rsidR="00FD507D">
        <w:tc>
          <w:tcPr>
            <w:tcW w:w="817" w:type="dxa"/>
            <w:vAlign w:val="center"/>
          </w:tcPr>
          <w:p w:rsidR="00FD507D" w:rsidRDefault="000C4855">
            <w:pPr>
              <w:jc w:val="center"/>
            </w:pPr>
            <w:r>
              <w:rPr>
                <w:rFonts w:eastAsiaTheme="minorEastAsia"/>
                <w:kern w:val="0"/>
                <w:szCs w:val="21"/>
              </w:rPr>
              <w:t>6</w:t>
            </w:r>
          </w:p>
        </w:tc>
        <w:tc>
          <w:tcPr>
            <w:tcW w:w="1276" w:type="dxa"/>
            <w:vAlign w:val="center"/>
          </w:tcPr>
          <w:p w:rsidR="00FD507D" w:rsidRDefault="000C4855">
            <w:pPr>
              <w:jc w:val="center"/>
            </w:pPr>
            <w:r>
              <w:rPr>
                <w:rFonts w:eastAsiaTheme="minorEastAsia"/>
                <w:kern w:val="0"/>
                <w:szCs w:val="21"/>
              </w:rPr>
              <w:t>601965</w:t>
            </w:r>
          </w:p>
        </w:tc>
        <w:tc>
          <w:tcPr>
            <w:tcW w:w="1701" w:type="dxa"/>
            <w:vAlign w:val="center"/>
          </w:tcPr>
          <w:p w:rsidR="00FD507D" w:rsidRDefault="000C4855">
            <w:pPr>
              <w:jc w:val="center"/>
            </w:pPr>
            <w:r>
              <w:rPr>
                <w:rFonts w:eastAsiaTheme="minorEastAsia"/>
                <w:kern w:val="0"/>
                <w:szCs w:val="21"/>
              </w:rPr>
              <w:t>中国汽研</w:t>
            </w:r>
          </w:p>
        </w:tc>
        <w:tc>
          <w:tcPr>
            <w:tcW w:w="1276" w:type="dxa"/>
            <w:vAlign w:val="center"/>
          </w:tcPr>
          <w:p w:rsidR="00FD507D" w:rsidRDefault="000C4855">
            <w:pPr>
              <w:jc w:val="right"/>
            </w:pPr>
            <w:r>
              <w:rPr>
                <w:rFonts w:eastAsiaTheme="minorEastAsia"/>
                <w:kern w:val="0"/>
                <w:szCs w:val="21"/>
              </w:rPr>
              <w:t>1,419,066.00</w:t>
            </w:r>
          </w:p>
        </w:tc>
        <w:tc>
          <w:tcPr>
            <w:tcW w:w="1842" w:type="dxa"/>
            <w:vAlign w:val="center"/>
          </w:tcPr>
          <w:p w:rsidR="00FD507D" w:rsidRDefault="000C4855">
            <w:pPr>
              <w:jc w:val="right"/>
            </w:pPr>
            <w:r>
              <w:rPr>
                <w:rFonts w:eastAsiaTheme="minorEastAsia"/>
                <w:kern w:val="0"/>
                <w:szCs w:val="21"/>
              </w:rPr>
              <w:t>31,304,595.96</w:t>
            </w:r>
          </w:p>
        </w:tc>
        <w:tc>
          <w:tcPr>
            <w:tcW w:w="1616" w:type="dxa"/>
            <w:vAlign w:val="center"/>
          </w:tcPr>
          <w:p w:rsidR="00FD507D" w:rsidRDefault="000C4855">
            <w:pPr>
              <w:jc w:val="right"/>
            </w:pPr>
            <w:r>
              <w:rPr>
                <w:rFonts w:eastAsiaTheme="minorEastAsia"/>
                <w:kern w:val="0"/>
                <w:szCs w:val="21"/>
              </w:rPr>
              <w:t>3.02</w:t>
            </w:r>
          </w:p>
        </w:tc>
      </w:tr>
      <w:tr w:rsidR="00FD507D">
        <w:tc>
          <w:tcPr>
            <w:tcW w:w="817" w:type="dxa"/>
            <w:vAlign w:val="center"/>
          </w:tcPr>
          <w:p w:rsidR="00FD507D" w:rsidRDefault="000C4855">
            <w:pPr>
              <w:jc w:val="center"/>
            </w:pPr>
            <w:r>
              <w:rPr>
                <w:rFonts w:eastAsiaTheme="minorEastAsia"/>
                <w:kern w:val="0"/>
                <w:szCs w:val="21"/>
              </w:rPr>
              <w:t>7</w:t>
            </w:r>
          </w:p>
        </w:tc>
        <w:tc>
          <w:tcPr>
            <w:tcW w:w="1276" w:type="dxa"/>
            <w:vAlign w:val="center"/>
          </w:tcPr>
          <w:p w:rsidR="00FD507D" w:rsidRDefault="000C4855">
            <w:pPr>
              <w:jc w:val="center"/>
            </w:pPr>
            <w:r>
              <w:rPr>
                <w:rFonts w:eastAsiaTheme="minorEastAsia"/>
                <w:kern w:val="0"/>
                <w:szCs w:val="21"/>
              </w:rPr>
              <w:t>300809</w:t>
            </w:r>
          </w:p>
        </w:tc>
        <w:tc>
          <w:tcPr>
            <w:tcW w:w="1701" w:type="dxa"/>
            <w:vAlign w:val="center"/>
          </w:tcPr>
          <w:p w:rsidR="00FD507D" w:rsidRDefault="000C4855">
            <w:pPr>
              <w:jc w:val="center"/>
            </w:pPr>
            <w:r>
              <w:rPr>
                <w:rFonts w:eastAsiaTheme="minorEastAsia"/>
                <w:kern w:val="0"/>
                <w:szCs w:val="21"/>
              </w:rPr>
              <w:t>华辰装备</w:t>
            </w:r>
          </w:p>
        </w:tc>
        <w:tc>
          <w:tcPr>
            <w:tcW w:w="1276" w:type="dxa"/>
            <w:vAlign w:val="center"/>
          </w:tcPr>
          <w:p w:rsidR="00FD507D" w:rsidRDefault="000C4855">
            <w:pPr>
              <w:jc w:val="right"/>
            </w:pPr>
            <w:r>
              <w:rPr>
                <w:rFonts w:eastAsiaTheme="minorEastAsia"/>
                <w:kern w:val="0"/>
                <w:szCs w:val="21"/>
              </w:rPr>
              <w:t>1,052,240.00</w:t>
            </w:r>
          </w:p>
        </w:tc>
        <w:tc>
          <w:tcPr>
            <w:tcW w:w="1842" w:type="dxa"/>
            <w:vAlign w:val="center"/>
          </w:tcPr>
          <w:p w:rsidR="00FD507D" w:rsidRDefault="000C4855">
            <w:pPr>
              <w:jc w:val="right"/>
            </w:pPr>
            <w:r>
              <w:rPr>
                <w:rFonts w:eastAsiaTheme="minorEastAsia"/>
                <w:kern w:val="0"/>
                <w:szCs w:val="21"/>
              </w:rPr>
              <w:t>30,778,020.00</w:t>
            </w:r>
          </w:p>
        </w:tc>
        <w:tc>
          <w:tcPr>
            <w:tcW w:w="1616" w:type="dxa"/>
            <w:vAlign w:val="center"/>
          </w:tcPr>
          <w:p w:rsidR="00FD507D" w:rsidRDefault="000C4855">
            <w:pPr>
              <w:jc w:val="right"/>
            </w:pPr>
            <w:r>
              <w:rPr>
                <w:rFonts w:eastAsiaTheme="minorEastAsia"/>
                <w:kern w:val="0"/>
                <w:szCs w:val="21"/>
              </w:rPr>
              <w:t>2.96</w:t>
            </w:r>
          </w:p>
        </w:tc>
      </w:tr>
      <w:tr w:rsidR="00FD507D">
        <w:tc>
          <w:tcPr>
            <w:tcW w:w="817" w:type="dxa"/>
            <w:vAlign w:val="center"/>
          </w:tcPr>
          <w:p w:rsidR="00FD507D" w:rsidRDefault="000C4855">
            <w:pPr>
              <w:jc w:val="center"/>
            </w:pPr>
            <w:r>
              <w:rPr>
                <w:rFonts w:eastAsiaTheme="minorEastAsia"/>
                <w:kern w:val="0"/>
                <w:szCs w:val="21"/>
              </w:rPr>
              <w:t>8</w:t>
            </w:r>
          </w:p>
        </w:tc>
        <w:tc>
          <w:tcPr>
            <w:tcW w:w="1276" w:type="dxa"/>
            <w:vAlign w:val="center"/>
          </w:tcPr>
          <w:p w:rsidR="00FD507D" w:rsidRDefault="000C4855">
            <w:pPr>
              <w:jc w:val="center"/>
            </w:pPr>
            <w:r>
              <w:rPr>
                <w:rFonts w:eastAsiaTheme="minorEastAsia"/>
                <w:kern w:val="0"/>
                <w:szCs w:val="21"/>
              </w:rPr>
              <w:t>603728</w:t>
            </w:r>
          </w:p>
        </w:tc>
        <w:tc>
          <w:tcPr>
            <w:tcW w:w="1701" w:type="dxa"/>
            <w:vAlign w:val="center"/>
          </w:tcPr>
          <w:p w:rsidR="00FD507D" w:rsidRDefault="000C4855">
            <w:pPr>
              <w:jc w:val="center"/>
            </w:pPr>
            <w:r>
              <w:rPr>
                <w:rFonts w:eastAsiaTheme="minorEastAsia"/>
                <w:kern w:val="0"/>
                <w:szCs w:val="21"/>
              </w:rPr>
              <w:t>鸣志电器</w:t>
            </w:r>
          </w:p>
        </w:tc>
        <w:tc>
          <w:tcPr>
            <w:tcW w:w="1276" w:type="dxa"/>
            <w:vAlign w:val="center"/>
          </w:tcPr>
          <w:p w:rsidR="00FD507D" w:rsidRDefault="000C4855">
            <w:pPr>
              <w:jc w:val="right"/>
            </w:pPr>
            <w:r>
              <w:rPr>
                <w:rFonts w:eastAsiaTheme="minorEastAsia"/>
                <w:kern w:val="0"/>
                <w:szCs w:val="21"/>
              </w:rPr>
              <w:t>464,600.00</w:t>
            </w:r>
          </w:p>
        </w:tc>
        <w:tc>
          <w:tcPr>
            <w:tcW w:w="1842" w:type="dxa"/>
            <w:vAlign w:val="center"/>
          </w:tcPr>
          <w:p w:rsidR="00FD507D" w:rsidRDefault="000C4855">
            <w:pPr>
              <w:jc w:val="right"/>
            </w:pPr>
            <w:r>
              <w:rPr>
                <w:rFonts w:eastAsiaTheme="minorEastAsia"/>
                <w:kern w:val="0"/>
                <w:szCs w:val="21"/>
              </w:rPr>
              <w:t>30,593,910.00</w:t>
            </w:r>
          </w:p>
        </w:tc>
        <w:tc>
          <w:tcPr>
            <w:tcW w:w="1616" w:type="dxa"/>
            <w:vAlign w:val="center"/>
          </w:tcPr>
          <w:p w:rsidR="00FD507D" w:rsidRDefault="000C4855">
            <w:pPr>
              <w:jc w:val="right"/>
            </w:pPr>
            <w:r>
              <w:rPr>
                <w:rFonts w:eastAsiaTheme="minorEastAsia"/>
                <w:kern w:val="0"/>
                <w:szCs w:val="21"/>
              </w:rPr>
              <w:t>2.95</w:t>
            </w:r>
          </w:p>
        </w:tc>
      </w:tr>
      <w:tr w:rsidR="00FD507D">
        <w:tc>
          <w:tcPr>
            <w:tcW w:w="817" w:type="dxa"/>
            <w:vAlign w:val="center"/>
          </w:tcPr>
          <w:p w:rsidR="00FD507D" w:rsidRDefault="000C4855">
            <w:pPr>
              <w:jc w:val="center"/>
            </w:pPr>
            <w:r>
              <w:rPr>
                <w:rFonts w:eastAsiaTheme="minorEastAsia"/>
                <w:kern w:val="0"/>
                <w:szCs w:val="21"/>
              </w:rPr>
              <w:t>9</w:t>
            </w:r>
          </w:p>
        </w:tc>
        <w:tc>
          <w:tcPr>
            <w:tcW w:w="1276" w:type="dxa"/>
            <w:vAlign w:val="center"/>
          </w:tcPr>
          <w:p w:rsidR="00FD507D" w:rsidRDefault="000C4855">
            <w:pPr>
              <w:jc w:val="center"/>
            </w:pPr>
            <w:r>
              <w:rPr>
                <w:rFonts w:eastAsiaTheme="minorEastAsia"/>
                <w:kern w:val="0"/>
                <w:szCs w:val="21"/>
              </w:rPr>
              <w:t>300007</w:t>
            </w:r>
          </w:p>
        </w:tc>
        <w:tc>
          <w:tcPr>
            <w:tcW w:w="1701" w:type="dxa"/>
            <w:vAlign w:val="center"/>
          </w:tcPr>
          <w:p w:rsidR="00FD507D" w:rsidRDefault="000C4855">
            <w:pPr>
              <w:jc w:val="center"/>
            </w:pPr>
            <w:r>
              <w:rPr>
                <w:rFonts w:eastAsiaTheme="minorEastAsia"/>
                <w:kern w:val="0"/>
                <w:szCs w:val="21"/>
              </w:rPr>
              <w:t>汉威科技</w:t>
            </w:r>
          </w:p>
        </w:tc>
        <w:tc>
          <w:tcPr>
            <w:tcW w:w="1276" w:type="dxa"/>
            <w:vAlign w:val="center"/>
          </w:tcPr>
          <w:p w:rsidR="00FD507D" w:rsidRDefault="000C4855">
            <w:pPr>
              <w:jc w:val="right"/>
            </w:pPr>
            <w:r>
              <w:rPr>
                <w:rFonts w:eastAsiaTheme="minorEastAsia"/>
                <w:kern w:val="0"/>
                <w:szCs w:val="21"/>
              </w:rPr>
              <w:t>1,470,700.00</w:t>
            </w:r>
          </w:p>
        </w:tc>
        <w:tc>
          <w:tcPr>
            <w:tcW w:w="1842" w:type="dxa"/>
            <w:vAlign w:val="center"/>
          </w:tcPr>
          <w:p w:rsidR="00FD507D" w:rsidRDefault="000C4855">
            <w:pPr>
              <w:jc w:val="right"/>
            </w:pPr>
            <w:r>
              <w:rPr>
                <w:rFonts w:eastAsiaTheme="minorEastAsia"/>
                <w:kern w:val="0"/>
                <w:szCs w:val="21"/>
              </w:rPr>
              <w:t>30,561,146.00</w:t>
            </w:r>
          </w:p>
        </w:tc>
        <w:tc>
          <w:tcPr>
            <w:tcW w:w="1616" w:type="dxa"/>
            <w:vAlign w:val="center"/>
          </w:tcPr>
          <w:p w:rsidR="00FD507D" w:rsidRDefault="000C4855">
            <w:pPr>
              <w:jc w:val="right"/>
            </w:pPr>
            <w:r>
              <w:rPr>
                <w:rFonts w:eastAsiaTheme="minorEastAsia"/>
                <w:kern w:val="0"/>
                <w:szCs w:val="21"/>
              </w:rPr>
              <w:t>2.94</w:t>
            </w:r>
          </w:p>
        </w:tc>
      </w:tr>
      <w:tr w:rsidR="00FD507D">
        <w:tc>
          <w:tcPr>
            <w:tcW w:w="817" w:type="dxa"/>
            <w:vAlign w:val="center"/>
          </w:tcPr>
          <w:p w:rsidR="00FD507D" w:rsidRDefault="000C4855">
            <w:pPr>
              <w:jc w:val="center"/>
            </w:pPr>
            <w:r>
              <w:rPr>
                <w:rFonts w:eastAsiaTheme="minorEastAsia"/>
                <w:kern w:val="0"/>
                <w:szCs w:val="21"/>
              </w:rPr>
              <w:t>10</w:t>
            </w:r>
          </w:p>
        </w:tc>
        <w:tc>
          <w:tcPr>
            <w:tcW w:w="1276" w:type="dxa"/>
            <w:vAlign w:val="center"/>
          </w:tcPr>
          <w:p w:rsidR="00FD507D" w:rsidRDefault="000C4855">
            <w:pPr>
              <w:jc w:val="center"/>
            </w:pPr>
            <w:r>
              <w:rPr>
                <w:rFonts w:eastAsiaTheme="minorEastAsia"/>
                <w:kern w:val="0"/>
                <w:szCs w:val="21"/>
              </w:rPr>
              <w:t>300580</w:t>
            </w:r>
          </w:p>
        </w:tc>
        <w:tc>
          <w:tcPr>
            <w:tcW w:w="1701" w:type="dxa"/>
            <w:vAlign w:val="center"/>
          </w:tcPr>
          <w:p w:rsidR="00FD507D" w:rsidRDefault="000C4855">
            <w:pPr>
              <w:jc w:val="center"/>
            </w:pPr>
            <w:r>
              <w:rPr>
                <w:rFonts w:eastAsiaTheme="minorEastAsia"/>
                <w:kern w:val="0"/>
                <w:szCs w:val="21"/>
              </w:rPr>
              <w:t>贝斯特</w:t>
            </w:r>
          </w:p>
        </w:tc>
        <w:tc>
          <w:tcPr>
            <w:tcW w:w="1276" w:type="dxa"/>
            <w:vAlign w:val="center"/>
          </w:tcPr>
          <w:p w:rsidR="00FD507D" w:rsidRDefault="000C4855">
            <w:pPr>
              <w:jc w:val="right"/>
            </w:pPr>
            <w:r>
              <w:rPr>
                <w:rFonts w:eastAsiaTheme="minorEastAsia"/>
                <w:kern w:val="0"/>
                <w:szCs w:val="21"/>
              </w:rPr>
              <w:t>1,001,300.00</w:t>
            </w:r>
          </w:p>
        </w:tc>
        <w:tc>
          <w:tcPr>
            <w:tcW w:w="1842" w:type="dxa"/>
            <w:vAlign w:val="center"/>
          </w:tcPr>
          <w:p w:rsidR="00FD507D" w:rsidRDefault="000C4855">
            <w:pPr>
              <w:jc w:val="right"/>
            </w:pPr>
            <w:r>
              <w:rPr>
                <w:rFonts w:eastAsiaTheme="minorEastAsia"/>
                <w:kern w:val="0"/>
                <w:szCs w:val="21"/>
              </w:rPr>
              <w:t>30,319,364.00</w:t>
            </w:r>
          </w:p>
        </w:tc>
        <w:tc>
          <w:tcPr>
            <w:tcW w:w="1616" w:type="dxa"/>
            <w:vAlign w:val="center"/>
          </w:tcPr>
          <w:p w:rsidR="00FD507D" w:rsidRDefault="000C4855">
            <w:pPr>
              <w:jc w:val="right"/>
            </w:pPr>
            <w:r>
              <w:rPr>
                <w:rFonts w:eastAsiaTheme="minorEastAsia"/>
                <w:kern w:val="0"/>
                <w:szCs w:val="21"/>
              </w:rPr>
              <w:t>2.92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328,251.83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4,661,569.38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366,316.92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5,356,138.13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431,991,574.32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62,591,361.90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6,304,940.65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25,038,375.69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16,553,458.83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3,605,722.81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421,743,056.14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84,024,014.78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0C4855" w:rsidRDefault="000C4855" w:rsidP="000C4855">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0C4855" w:rsidRDefault="000C4855" w:rsidP="000C485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hint="eastAsia"/>
          <w:color w:val="000000" w:themeColor="text1"/>
          <w:szCs w:val="21"/>
        </w:rPr>
        <w:t>无。</w:t>
      </w:r>
    </w:p>
    <w:p w:rsidR="000C4855" w:rsidRPr="000C4855" w:rsidRDefault="000C4855">
      <w:pPr>
        <w:autoSpaceDE w:val="0"/>
        <w:autoSpaceDN w:val="0"/>
        <w:adjustRightInd w:val="0"/>
        <w:spacing w:line="360" w:lineRule="auto"/>
        <w:ind w:firstLineChars="200" w:firstLine="420"/>
        <w:jc w:val="left"/>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FD507D">
        <w:tc>
          <w:tcPr>
            <w:tcW w:w="993" w:type="dxa"/>
            <w:vMerge w:val="restart"/>
            <w:vAlign w:val="center"/>
          </w:tcPr>
          <w:p w:rsidR="00FD507D" w:rsidRDefault="000C4855">
            <w:r>
              <w:rPr>
                <w:bCs/>
                <w:color w:val="000000"/>
                <w:kern w:val="0"/>
                <w:szCs w:val="21"/>
              </w:rPr>
              <w:t>机构</w:t>
            </w:r>
          </w:p>
        </w:tc>
        <w:tc>
          <w:tcPr>
            <w:tcW w:w="992" w:type="dxa"/>
            <w:vAlign w:val="center"/>
          </w:tcPr>
          <w:p w:rsidR="00FD507D" w:rsidRDefault="000C4855">
            <w:pPr>
              <w:jc w:val="center"/>
            </w:pPr>
            <w:r>
              <w:rPr>
                <w:color w:val="000000"/>
                <w:kern w:val="0"/>
                <w:szCs w:val="21"/>
              </w:rPr>
              <w:t>1</w:t>
            </w:r>
          </w:p>
        </w:tc>
        <w:tc>
          <w:tcPr>
            <w:tcW w:w="1843" w:type="dxa"/>
            <w:vAlign w:val="center"/>
          </w:tcPr>
          <w:p w:rsidR="00FD507D" w:rsidRDefault="000C4855">
            <w:pPr>
              <w:jc w:val="center"/>
            </w:pPr>
            <w:r>
              <w:rPr>
                <w:color w:val="000000"/>
                <w:kern w:val="0"/>
                <w:szCs w:val="21"/>
              </w:rPr>
              <w:t>20231001-20231231</w:t>
            </w:r>
          </w:p>
        </w:tc>
        <w:tc>
          <w:tcPr>
            <w:tcW w:w="851" w:type="dxa"/>
            <w:vAlign w:val="center"/>
          </w:tcPr>
          <w:p w:rsidR="00FD507D" w:rsidRDefault="000C4855">
            <w:pPr>
              <w:jc w:val="center"/>
            </w:pPr>
            <w:r>
              <w:rPr>
                <w:color w:val="000000"/>
                <w:kern w:val="0"/>
                <w:szCs w:val="21"/>
              </w:rPr>
              <w:t>107,546,694.31</w:t>
            </w:r>
          </w:p>
        </w:tc>
        <w:tc>
          <w:tcPr>
            <w:tcW w:w="850" w:type="dxa"/>
            <w:vAlign w:val="center"/>
          </w:tcPr>
          <w:p w:rsidR="00FD507D" w:rsidRDefault="000C4855">
            <w:pPr>
              <w:jc w:val="center"/>
            </w:pPr>
            <w:r>
              <w:rPr>
                <w:color w:val="000000"/>
                <w:kern w:val="0"/>
                <w:szCs w:val="21"/>
              </w:rPr>
              <w:t>0.00</w:t>
            </w:r>
          </w:p>
        </w:tc>
        <w:tc>
          <w:tcPr>
            <w:tcW w:w="1134" w:type="dxa"/>
            <w:vAlign w:val="center"/>
          </w:tcPr>
          <w:p w:rsidR="00FD507D" w:rsidRDefault="000C4855">
            <w:pPr>
              <w:jc w:val="center"/>
            </w:pPr>
            <w:r>
              <w:rPr>
                <w:color w:val="000000"/>
                <w:kern w:val="0"/>
                <w:szCs w:val="21"/>
              </w:rPr>
              <w:t>0.00</w:t>
            </w:r>
          </w:p>
        </w:tc>
        <w:tc>
          <w:tcPr>
            <w:tcW w:w="1419" w:type="dxa"/>
            <w:vAlign w:val="center"/>
          </w:tcPr>
          <w:p w:rsidR="00FD507D" w:rsidRDefault="000C4855">
            <w:pPr>
              <w:jc w:val="center"/>
            </w:pPr>
            <w:r>
              <w:rPr>
                <w:color w:val="000000"/>
                <w:kern w:val="0"/>
                <w:szCs w:val="21"/>
              </w:rPr>
              <w:t>107,546,694.31</w:t>
            </w:r>
          </w:p>
        </w:tc>
        <w:tc>
          <w:tcPr>
            <w:tcW w:w="1130" w:type="dxa"/>
            <w:vAlign w:val="center"/>
          </w:tcPr>
          <w:p w:rsidR="00FD507D" w:rsidRDefault="000C4855">
            <w:pPr>
              <w:jc w:val="center"/>
            </w:pPr>
            <w:r>
              <w:rPr>
                <w:color w:val="000000"/>
                <w:kern w:val="0"/>
                <w:szCs w:val="21"/>
              </w:rPr>
              <w:t>21.26%</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（一）中国证监会准予本基金募集注册的文件</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（二）摩根动力精选混合型证券投资基金基金合同</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（三）摩根动力精选混合型证券投资基金托管协议</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FD507D" w:rsidRDefault="000C4855">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（八）中国证监会要求的其他文件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D180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D180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D180E">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摩根动力精选混合型证券投资基金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855"/>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180E"/>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07D"/>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4982">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50C01-0B3B-41F6-9CCE-EE6ACED8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14</Pages>
  <Words>1184</Words>
  <Characters>6751</Characters>
  <Application>Microsoft Office Word</Application>
  <DocSecurity>0</DocSecurity>
  <Lines>56</Lines>
  <Paragraphs>15</Paragraphs>
  <ScaleCrop>false</ScaleCrop>
  <Company>TRT. Ltd. Co.</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Niki.Jiang@GMC</cp:lastModifiedBy>
  <cp:revision>221</cp:revision>
  <cp:lastPrinted>2007-07-19T00:46:00Z</cp:lastPrinted>
  <dcterms:created xsi:type="dcterms:W3CDTF">2013-06-21T06:56:00Z</dcterms:created>
  <dcterms:modified xsi:type="dcterms:W3CDTF">2024-01-19T05:48:00Z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