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摩根丰瑞债券型证券投资基金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摩根丰瑞债券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005366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547,289,117.15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在合理充分的定量分析及定性研究基础上，在风险可控的原则下，通过参与债券类资产的投资运作，力争获取超越基准的稳健回报。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763DD" w:rsidRDefault="0047420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F763DD" w:rsidRDefault="0047420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w:t>
            </w:r>
            <w:r>
              <w:rPr>
                <w:rFonts w:eastAsiaTheme="minorEastAsia"/>
                <w:color w:val="000000" w:themeColor="text1"/>
                <w:kern w:val="0"/>
                <w:szCs w:val="21"/>
              </w:rPr>
              <w:lastRenderedPageBreak/>
              <w:t>整。</w:t>
            </w:r>
          </w:p>
          <w:p w:rsidR="00F763DD" w:rsidRDefault="0047420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、久期管理策略</w:t>
            </w:r>
          </w:p>
          <w:p w:rsidR="00F763DD" w:rsidRDefault="0047420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rsidR="00F763DD" w:rsidRDefault="0047420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F763DD" w:rsidRDefault="0047420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、其他投资策略：包括信用策略、回购策略、中小企业私募债券投资策略、资产支持证券投资策略、证券公司短期公司债券投资策略。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中证综合债券指数收益率</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763DD" w:rsidRDefault="0047420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005366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005367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547,264,852.06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24,265.09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2,066,694.73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101.78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3,841,535.38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159.03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576,556,395.84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25,493.26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1.0506</w:t>
            </w:r>
          </w:p>
        </w:tc>
      </w:tr>
    </w:tbl>
    <w:p w:rsidR="00F763DD" w:rsidRDefault="0047420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摩根丰瑞债券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763DD">
        <w:tc>
          <w:tcPr>
            <w:tcW w:w="1290" w:type="dxa"/>
            <w:vAlign w:val="center"/>
          </w:tcPr>
          <w:p w:rsidR="00F763DD" w:rsidRDefault="00474204">
            <w:pPr>
              <w:jc w:val="left"/>
            </w:pPr>
            <w:r>
              <w:rPr>
                <w:rFonts w:eastAsiaTheme="minorEastAsia"/>
                <w:color w:val="000000" w:themeColor="text1"/>
                <w:szCs w:val="21"/>
              </w:rPr>
              <w:t>过去三个月</w:t>
            </w:r>
          </w:p>
        </w:tc>
        <w:tc>
          <w:tcPr>
            <w:tcW w:w="1291" w:type="dxa"/>
            <w:vAlign w:val="center"/>
          </w:tcPr>
          <w:p w:rsidR="00F763DD" w:rsidRDefault="00474204">
            <w:pPr>
              <w:jc w:val="right"/>
            </w:pPr>
            <w:r>
              <w:rPr>
                <w:rFonts w:eastAsiaTheme="minorEastAsia"/>
                <w:color w:val="000000" w:themeColor="text1"/>
                <w:szCs w:val="21"/>
              </w:rPr>
              <w:t>0.67%</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1.33%</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-0.66%</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过去六个月</w:t>
            </w:r>
          </w:p>
        </w:tc>
        <w:tc>
          <w:tcPr>
            <w:tcW w:w="1291" w:type="dxa"/>
            <w:vAlign w:val="center"/>
          </w:tcPr>
          <w:p w:rsidR="00F763DD" w:rsidRDefault="00474204">
            <w:pPr>
              <w:jc w:val="right"/>
            </w:pPr>
            <w:r>
              <w:rPr>
                <w:rFonts w:eastAsiaTheme="minorEastAsia"/>
                <w:color w:val="000000" w:themeColor="text1"/>
                <w:szCs w:val="21"/>
              </w:rPr>
              <w:t>1.02%</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2.03%</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-1.01%</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过去一年</w:t>
            </w:r>
          </w:p>
        </w:tc>
        <w:tc>
          <w:tcPr>
            <w:tcW w:w="1291" w:type="dxa"/>
            <w:vAlign w:val="center"/>
          </w:tcPr>
          <w:p w:rsidR="00F763DD" w:rsidRDefault="00474204">
            <w:pPr>
              <w:jc w:val="right"/>
            </w:pPr>
            <w:r>
              <w:rPr>
                <w:rFonts w:eastAsiaTheme="minorEastAsia"/>
                <w:color w:val="000000" w:themeColor="text1"/>
                <w:szCs w:val="21"/>
              </w:rPr>
              <w:t>2.74%</w:t>
            </w:r>
          </w:p>
        </w:tc>
        <w:tc>
          <w:tcPr>
            <w:tcW w:w="1291" w:type="dxa"/>
            <w:vAlign w:val="center"/>
          </w:tcPr>
          <w:p w:rsidR="00F763DD" w:rsidRDefault="00474204">
            <w:pPr>
              <w:jc w:val="right"/>
            </w:pPr>
            <w:r>
              <w:rPr>
                <w:rFonts w:eastAsiaTheme="minorEastAsia"/>
                <w:color w:val="000000" w:themeColor="text1"/>
                <w:szCs w:val="21"/>
              </w:rPr>
              <w:t>0.04%</w:t>
            </w:r>
          </w:p>
        </w:tc>
        <w:tc>
          <w:tcPr>
            <w:tcW w:w="1291" w:type="dxa"/>
            <w:vAlign w:val="center"/>
          </w:tcPr>
          <w:p w:rsidR="00F763DD" w:rsidRDefault="00474204">
            <w:pPr>
              <w:jc w:val="right"/>
            </w:pPr>
            <w:r>
              <w:rPr>
                <w:rFonts w:eastAsiaTheme="minorEastAsia"/>
                <w:color w:val="000000" w:themeColor="text1"/>
                <w:szCs w:val="21"/>
              </w:rPr>
              <w:t>4.81%</w:t>
            </w:r>
          </w:p>
        </w:tc>
        <w:tc>
          <w:tcPr>
            <w:tcW w:w="1291" w:type="dxa"/>
            <w:vAlign w:val="center"/>
          </w:tcPr>
          <w:p w:rsidR="00F763DD" w:rsidRDefault="00474204">
            <w:pPr>
              <w:jc w:val="right"/>
            </w:pPr>
            <w:r>
              <w:rPr>
                <w:rFonts w:eastAsiaTheme="minorEastAsia"/>
                <w:color w:val="000000" w:themeColor="text1"/>
                <w:szCs w:val="21"/>
              </w:rPr>
              <w:t>0.04%</w:t>
            </w:r>
          </w:p>
        </w:tc>
        <w:tc>
          <w:tcPr>
            <w:tcW w:w="1291" w:type="dxa"/>
            <w:vAlign w:val="center"/>
          </w:tcPr>
          <w:p w:rsidR="00F763DD" w:rsidRDefault="00474204">
            <w:pPr>
              <w:jc w:val="right"/>
            </w:pPr>
            <w:r>
              <w:rPr>
                <w:rFonts w:eastAsiaTheme="minorEastAsia"/>
                <w:color w:val="000000" w:themeColor="text1"/>
                <w:szCs w:val="21"/>
              </w:rPr>
              <w:t>-2.07%</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过去三年</w:t>
            </w:r>
          </w:p>
        </w:tc>
        <w:tc>
          <w:tcPr>
            <w:tcW w:w="1291" w:type="dxa"/>
            <w:vAlign w:val="center"/>
          </w:tcPr>
          <w:p w:rsidR="00F763DD" w:rsidRDefault="00474204">
            <w:pPr>
              <w:jc w:val="right"/>
            </w:pPr>
            <w:r>
              <w:rPr>
                <w:rFonts w:eastAsiaTheme="minorEastAsia"/>
                <w:color w:val="000000" w:themeColor="text1"/>
                <w:szCs w:val="21"/>
              </w:rPr>
              <w:t>8.61%</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13.95%</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-5.34%</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lastRenderedPageBreak/>
              <w:t>过去五年</w:t>
            </w:r>
          </w:p>
        </w:tc>
        <w:tc>
          <w:tcPr>
            <w:tcW w:w="1291" w:type="dxa"/>
            <w:vAlign w:val="center"/>
          </w:tcPr>
          <w:p w:rsidR="00F763DD" w:rsidRDefault="00474204">
            <w:pPr>
              <w:jc w:val="right"/>
            </w:pPr>
            <w:r>
              <w:rPr>
                <w:rFonts w:eastAsiaTheme="minorEastAsia"/>
                <w:color w:val="000000" w:themeColor="text1"/>
                <w:szCs w:val="21"/>
              </w:rPr>
              <w:t>14.58%</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22.81%</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-8.23%</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自基金合同生效起至今</w:t>
            </w:r>
          </w:p>
        </w:tc>
        <w:tc>
          <w:tcPr>
            <w:tcW w:w="1291" w:type="dxa"/>
            <w:vAlign w:val="center"/>
          </w:tcPr>
          <w:p w:rsidR="00F763DD" w:rsidRDefault="00474204">
            <w:pPr>
              <w:jc w:val="right"/>
            </w:pPr>
            <w:r>
              <w:rPr>
                <w:rFonts w:eastAsiaTheme="minorEastAsia"/>
                <w:color w:val="000000" w:themeColor="text1"/>
                <w:szCs w:val="21"/>
              </w:rPr>
              <w:t>22.20%</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33.17%</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-10.97%</w:t>
            </w:r>
          </w:p>
        </w:tc>
        <w:tc>
          <w:tcPr>
            <w:tcW w:w="1291" w:type="dxa"/>
            <w:vAlign w:val="center"/>
          </w:tcPr>
          <w:p w:rsidR="00F763DD" w:rsidRDefault="00474204">
            <w:pPr>
              <w:jc w:val="right"/>
            </w:pPr>
            <w:r>
              <w:rPr>
                <w:rFonts w:eastAsiaTheme="minorEastAsia"/>
                <w:color w:val="000000" w:themeColor="text1"/>
                <w:szCs w:val="21"/>
              </w:rPr>
              <w:t>0.00%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摩根丰瑞债券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763DD">
        <w:tc>
          <w:tcPr>
            <w:tcW w:w="1290" w:type="dxa"/>
            <w:vAlign w:val="center"/>
          </w:tcPr>
          <w:p w:rsidR="00F763DD" w:rsidRDefault="00474204">
            <w:pPr>
              <w:jc w:val="left"/>
            </w:pPr>
            <w:r>
              <w:rPr>
                <w:rFonts w:eastAsiaTheme="minorEastAsia"/>
                <w:color w:val="000000" w:themeColor="text1"/>
                <w:szCs w:val="21"/>
              </w:rPr>
              <w:t>过去三个月</w:t>
            </w:r>
          </w:p>
        </w:tc>
        <w:tc>
          <w:tcPr>
            <w:tcW w:w="1291" w:type="dxa"/>
            <w:vAlign w:val="center"/>
          </w:tcPr>
          <w:p w:rsidR="00F763DD" w:rsidRDefault="00474204">
            <w:pPr>
              <w:jc w:val="right"/>
            </w:pPr>
            <w:r>
              <w:rPr>
                <w:rFonts w:eastAsiaTheme="minorEastAsia"/>
                <w:color w:val="000000" w:themeColor="text1"/>
                <w:szCs w:val="21"/>
              </w:rPr>
              <w:t>0.64%</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1.33%</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-0.69%</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过去六个月</w:t>
            </w:r>
          </w:p>
        </w:tc>
        <w:tc>
          <w:tcPr>
            <w:tcW w:w="1291" w:type="dxa"/>
            <w:vAlign w:val="center"/>
          </w:tcPr>
          <w:p w:rsidR="00F763DD" w:rsidRDefault="00474204">
            <w:pPr>
              <w:jc w:val="right"/>
            </w:pPr>
            <w:r>
              <w:rPr>
                <w:rFonts w:eastAsiaTheme="minorEastAsia"/>
                <w:color w:val="000000" w:themeColor="text1"/>
                <w:szCs w:val="21"/>
              </w:rPr>
              <w:t>0.97%</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2.03%</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-1.06%</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过去一年</w:t>
            </w:r>
          </w:p>
        </w:tc>
        <w:tc>
          <w:tcPr>
            <w:tcW w:w="1291" w:type="dxa"/>
            <w:vAlign w:val="center"/>
          </w:tcPr>
          <w:p w:rsidR="00F763DD" w:rsidRDefault="00474204">
            <w:pPr>
              <w:jc w:val="right"/>
            </w:pPr>
            <w:r>
              <w:rPr>
                <w:rFonts w:eastAsiaTheme="minorEastAsia"/>
                <w:color w:val="000000" w:themeColor="text1"/>
                <w:szCs w:val="21"/>
              </w:rPr>
              <w:t>2.67%</w:t>
            </w:r>
          </w:p>
        </w:tc>
        <w:tc>
          <w:tcPr>
            <w:tcW w:w="1291" w:type="dxa"/>
            <w:vAlign w:val="center"/>
          </w:tcPr>
          <w:p w:rsidR="00F763DD" w:rsidRDefault="00474204">
            <w:pPr>
              <w:jc w:val="right"/>
            </w:pPr>
            <w:r>
              <w:rPr>
                <w:rFonts w:eastAsiaTheme="minorEastAsia"/>
                <w:color w:val="000000" w:themeColor="text1"/>
                <w:szCs w:val="21"/>
              </w:rPr>
              <w:t>0.04%</w:t>
            </w:r>
          </w:p>
        </w:tc>
        <w:tc>
          <w:tcPr>
            <w:tcW w:w="1291" w:type="dxa"/>
            <w:vAlign w:val="center"/>
          </w:tcPr>
          <w:p w:rsidR="00F763DD" w:rsidRDefault="00474204">
            <w:pPr>
              <w:jc w:val="right"/>
            </w:pPr>
            <w:r>
              <w:rPr>
                <w:rFonts w:eastAsiaTheme="minorEastAsia"/>
                <w:color w:val="000000" w:themeColor="text1"/>
                <w:szCs w:val="21"/>
              </w:rPr>
              <w:t>4.81%</w:t>
            </w:r>
          </w:p>
        </w:tc>
        <w:tc>
          <w:tcPr>
            <w:tcW w:w="1291" w:type="dxa"/>
            <w:vAlign w:val="center"/>
          </w:tcPr>
          <w:p w:rsidR="00F763DD" w:rsidRDefault="00474204">
            <w:pPr>
              <w:jc w:val="right"/>
            </w:pPr>
            <w:r>
              <w:rPr>
                <w:rFonts w:eastAsiaTheme="minorEastAsia"/>
                <w:color w:val="000000" w:themeColor="text1"/>
                <w:szCs w:val="21"/>
              </w:rPr>
              <w:t>0.04%</w:t>
            </w:r>
          </w:p>
        </w:tc>
        <w:tc>
          <w:tcPr>
            <w:tcW w:w="1291" w:type="dxa"/>
            <w:vAlign w:val="center"/>
          </w:tcPr>
          <w:p w:rsidR="00F763DD" w:rsidRDefault="00474204">
            <w:pPr>
              <w:jc w:val="right"/>
            </w:pPr>
            <w:r>
              <w:rPr>
                <w:rFonts w:eastAsiaTheme="minorEastAsia"/>
                <w:color w:val="000000" w:themeColor="text1"/>
                <w:szCs w:val="21"/>
              </w:rPr>
              <w:t>-2.14%</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过去三年</w:t>
            </w:r>
          </w:p>
        </w:tc>
        <w:tc>
          <w:tcPr>
            <w:tcW w:w="1291" w:type="dxa"/>
            <w:vAlign w:val="center"/>
          </w:tcPr>
          <w:p w:rsidR="00F763DD" w:rsidRDefault="00474204">
            <w:pPr>
              <w:jc w:val="right"/>
            </w:pPr>
            <w:r>
              <w:rPr>
                <w:rFonts w:eastAsiaTheme="minorEastAsia"/>
                <w:color w:val="000000" w:themeColor="text1"/>
                <w:szCs w:val="21"/>
              </w:rPr>
              <w:t>8.32%</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13.95%</w:t>
            </w:r>
          </w:p>
        </w:tc>
        <w:tc>
          <w:tcPr>
            <w:tcW w:w="1291" w:type="dxa"/>
            <w:vAlign w:val="center"/>
          </w:tcPr>
          <w:p w:rsidR="00F763DD" w:rsidRDefault="00474204">
            <w:pPr>
              <w:jc w:val="right"/>
            </w:pPr>
            <w:r>
              <w:rPr>
                <w:rFonts w:eastAsiaTheme="minorEastAsia"/>
                <w:color w:val="000000" w:themeColor="text1"/>
                <w:szCs w:val="21"/>
              </w:rPr>
              <w:t>0.05%</w:t>
            </w:r>
          </w:p>
        </w:tc>
        <w:tc>
          <w:tcPr>
            <w:tcW w:w="1291" w:type="dxa"/>
            <w:vAlign w:val="center"/>
          </w:tcPr>
          <w:p w:rsidR="00F763DD" w:rsidRDefault="00474204">
            <w:pPr>
              <w:jc w:val="right"/>
            </w:pPr>
            <w:r>
              <w:rPr>
                <w:rFonts w:eastAsiaTheme="minorEastAsia"/>
                <w:color w:val="000000" w:themeColor="text1"/>
                <w:szCs w:val="21"/>
              </w:rPr>
              <w:t>-5.63%</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过去五年</w:t>
            </w:r>
          </w:p>
        </w:tc>
        <w:tc>
          <w:tcPr>
            <w:tcW w:w="1291" w:type="dxa"/>
            <w:vAlign w:val="center"/>
          </w:tcPr>
          <w:p w:rsidR="00F763DD" w:rsidRDefault="00474204">
            <w:pPr>
              <w:jc w:val="right"/>
            </w:pPr>
            <w:r>
              <w:rPr>
                <w:rFonts w:eastAsiaTheme="minorEastAsia"/>
                <w:color w:val="000000" w:themeColor="text1"/>
                <w:szCs w:val="21"/>
              </w:rPr>
              <w:t>14.31%</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22.81%</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-8.50%</w:t>
            </w:r>
          </w:p>
        </w:tc>
        <w:tc>
          <w:tcPr>
            <w:tcW w:w="1291" w:type="dxa"/>
            <w:vAlign w:val="center"/>
          </w:tcPr>
          <w:p w:rsidR="00F763DD" w:rsidRDefault="00474204">
            <w:pPr>
              <w:jc w:val="right"/>
            </w:pPr>
            <w:r>
              <w:rPr>
                <w:rFonts w:eastAsiaTheme="minorEastAsia"/>
                <w:color w:val="000000" w:themeColor="text1"/>
                <w:szCs w:val="21"/>
              </w:rPr>
              <w:t>0.00%</w:t>
            </w:r>
          </w:p>
        </w:tc>
      </w:tr>
      <w:tr w:rsidR="00F763DD">
        <w:tc>
          <w:tcPr>
            <w:tcW w:w="1290" w:type="dxa"/>
            <w:vAlign w:val="center"/>
          </w:tcPr>
          <w:p w:rsidR="00F763DD" w:rsidRDefault="00474204">
            <w:pPr>
              <w:jc w:val="left"/>
            </w:pPr>
            <w:r>
              <w:rPr>
                <w:rFonts w:eastAsiaTheme="minorEastAsia"/>
                <w:color w:val="000000" w:themeColor="text1"/>
                <w:szCs w:val="21"/>
              </w:rPr>
              <w:t>自基金合同生效起至今</w:t>
            </w:r>
          </w:p>
        </w:tc>
        <w:tc>
          <w:tcPr>
            <w:tcW w:w="1291" w:type="dxa"/>
            <w:vAlign w:val="center"/>
          </w:tcPr>
          <w:p w:rsidR="00F763DD" w:rsidRDefault="00474204">
            <w:pPr>
              <w:jc w:val="right"/>
            </w:pPr>
            <w:r>
              <w:rPr>
                <w:rFonts w:eastAsiaTheme="minorEastAsia"/>
                <w:color w:val="000000" w:themeColor="text1"/>
                <w:szCs w:val="21"/>
              </w:rPr>
              <w:t>22.02%</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33.17%</w:t>
            </w:r>
          </w:p>
        </w:tc>
        <w:tc>
          <w:tcPr>
            <w:tcW w:w="1291" w:type="dxa"/>
            <w:vAlign w:val="center"/>
          </w:tcPr>
          <w:p w:rsidR="00F763DD" w:rsidRDefault="00474204">
            <w:pPr>
              <w:jc w:val="right"/>
            </w:pPr>
            <w:r>
              <w:rPr>
                <w:rFonts w:eastAsiaTheme="minorEastAsia"/>
                <w:color w:val="000000" w:themeColor="text1"/>
                <w:szCs w:val="21"/>
              </w:rPr>
              <w:t>0.06%</w:t>
            </w:r>
          </w:p>
        </w:tc>
        <w:tc>
          <w:tcPr>
            <w:tcW w:w="1291" w:type="dxa"/>
            <w:vAlign w:val="center"/>
          </w:tcPr>
          <w:p w:rsidR="00F763DD" w:rsidRDefault="00474204">
            <w:pPr>
              <w:jc w:val="right"/>
            </w:pPr>
            <w:r>
              <w:rPr>
                <w:rFonts w:eastAsiaTheme="minorEastAsia"/>
                <w:color w:val="000000" w:themeColor="text1"/>
                <w:szCs w:val="21"/>
              </w:rPr>
              <w:t>-11.15%</w:t>
            </w:r>
          </w:p>
        </w:tc>
        <w:tc>
          <w:tcPr>
            <w:tcW w:w="1291" w:type="dxa"/>
            <w:vAlign w:val="center"/>
          </w:tcPr>
          <w:p w:rsidR="00F763DD" w:rsidRDefault="00474204">
            <w:pPr>
              <w:jc w:val="right"/>
            </w:pPr>
            <w:r>
              <w:rPr>
                <w:rFonts w:eastAsiaTheme="minorEastAsia"/>
                <w:color w:val="000000" w:themeColor="text1"/>
                <w:szCs w:val="21"/>
              </w:rPr>
              <w:t>0.00%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摩根丰瑞债券型证券投资基金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．摩根丰瑞债券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．摩根丰瑞债券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763DD">
        <w:tc>
          <w:tcPr>
            <w:tcW w:w="952" w:type="dxa"/>
            <w:vAlign w:val="center"/>
          </w:tcPr>
          <w:p w:rsidR="00F763DD" w:rsidRDefault="00474204">
            <w:pPr>
              <w:jc w:val="center"/>
            </w:pPr>
            <w:r>
              <w:rPr>
                <w:rFonts w:eastAsiaTheme="minorEastAsia"/>
                <w:color w:val="000000" w:themeColor="text1"/>
                <w:szCs w:val="21"/>
              </w:rPr>
              <w:t>雷杨娟</w:t>
            </w:r>
          </w:p>
        </w:tc>
        <w:tc>
          <w:tcPr>
            <w:tcW w:w="930" w:type="dxa"/>
            <w:vAlign w:val="center"/>
          </w:tcPr>
          <w:p w:rsidR="00F763DD" w:rsidRDefault="00474204">
            <w:pPr>
              <w:jc w:val="center"/>
            </w:pPr>
            <w:r>
              <w:rPr>
                <w:rFonts w:eastAsiaTheme="minorEastAsia"/>
                <w:color w:val="000000" w:themeColor="text1"/>
                <w:szCs w:val="21"/>
              </w:rPr>
              <w:t>本基金基金经理</w:t>
            </w:r>
          </w:p>
        </w:tc>
        <w:tc>
          <w:tcPr>
            <w:tcW w:w="1210" w:type="dxa"/>
            <w:vAlign w:val="center"/>
          </w:tcPr>
          <w:p w:rsidR="00F763DD" w:rsidRDefault="00474204">
            <w:pPr>
              <w:jc w:val="center"/>
            </w:pPr>
            <w:r>
              <w:rPr>
                <w:rFonts w:eastAsiaTheme="minorEastAsia"/>
                <w:color w:val="000000" w:themeColor="text1"/>
                <w:szCs w:val="21"/>
              </w:rPr>
              <w:t>2020-07-31</w:t>
            </w:r>
          </w:p>
        </w:tc>
        <w:tc>
          <w:tcPr>
            <w:tcW w:w="1309" w:type="dxa"/>
            <w:vAlign w:val="center"/>
          </w:tcPr>
          <w:p w:rsidR="00F763DD" w:rsidRDefault="00474204">
            <w:pPr>
              <w:jc w:val="center"/>
            </w:pPr>
            <w:r>
              <w:rPr>
                <w:rFonts w:eastAsiaTheme="minorEastAsia"/>
                <w:color w:val="000000" w:themeColor="text1"/>
                <w:szCs w:val="21"/>
              </w:rPr>
              <w:t>-</w:t>
            </w:r>
          </w:p>
        </w:tc>
        <w:tc>
          <w:tcPr>
            <w:tcW w:w="1254" w:type="dxa"/>
            <w:vAlign w:val="center"/>
          </w:tcPr>
          <w:p w:rsidR="00F763DD" w:rsidRDefault="00474204">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F763DD" w:rsidRDefault="00474204">
            <w:r>
              <w:rPr>
                <w:rFonts w:eastAsiaTheme="minorEastAsia"/>
                <w:color w:val="000000" w:themeColor="text1"/>
                <w:szCs w:val="21"/>
              </w:rPr>
              <w:t>雷杨娟女士曾任厦门国际银行总裁（总经理）办公室副行长秘书兼集团秘书、资金运营部外汇及外币债券交易员，中国民生银行人民币债券自营交易员、银行账户投资经理、投顾账户投资经理。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月起加入摩根基金管理（中国）有</w:t>
            </w:r>
            <w:r>
              <w:rPr>
                <w:rFonts w:eastAsiaTheme="minorEastAsia"/>
                <w:color w:val="000000" w:themeColor="text1"/>
                <w:szCs w:val="21"/>
              </w:rPr>
              <w:lastRenderedPageBreak/>
              <w:t>限公司（原上投摩根基金管理有限公司），历任专户投资二部副总监兼资深投资经理，现任债券投资部副总监兼资深基金经理。</w:t>
            </w:r>
          </w:p>
        </w:tc>
      </w:tr>
    </w:tbl>
    <w:p w:rsidR="00F763DD" w:rsidRDefault="0047420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w:t>
      </w:r>
      <w:r>
        <w:rPr>
          <w:rFonts w:eastAsiaTheme="minorEastAsia"/>
          <w:color w:val="000000" w:themeColor="text1"/>
          <w:szCs w:val="21"/>
        </w:rPr>
        <w:t>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w:t>
      </w:r>
      <w:r>
        <w:rPr>
          <w:rFonts w:eastAsiaTheme="minorEastAsia"/>
          <w:color w:val="000000" w:themeColor="text1"/>
          <w:szCs w:val="21"/>
        </w:rPr>
        <w:t>，根据事前独立申报的价格和数量对交易结果进行公平分配。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国内经济方面，</w:t>
      </w:r>
      <w:r>
        <w:rPr>
          <w:rFonts w:eastAsiaTheme="minorEastAsia"/>
          <w:color w:val="000000" w:themeColor="text1"/>
          <w:szCs w:val="21"/>
        </w:rPr>
        <w:t>2023</w:t>
      </w:r>
      <w:r>
        <w:rPr>
          <w:rFonts w:eastAsiaTheme="minorEastAsia"/>
          <w:color w:val="000000" w:themeColor="text1"/>
          <w:szCs w:val="21"/>
        </w:rPr>
        <w:t>年第一季度，国内疫情政策明显转变，社会和经济生活逐渐正常化，经济呈现复苏态势。第二季度经济复苏进入阶段性瓶颈期，复苏斜率有所放缓，市场对于政策的预期升温。第三季度，政策组合拳持续发力，经济探底后企稳回升，全国范围内地产需求端的放松政策不断加码；城中村改造计划逐步明晰；地方化债工作稳步推进；再融资债券发债计划逐步明确。消费复苏势头明显。第四季度，经济环比增长动能有所放缓，但受益于去年低基数，同比增速加快。</w:t>
      </w:r>
      <w:r>
        <w:rPr>
          <w:rFonts w:eastAsiaTheme="minorEastAsia"/>
          <w:color w:val="000000" w:themeColor="text1"/>
          <w:szCs w:val="21"/>
        </w:rPr>
        <w:t>12</w:t>
      </w:r>
      <w:r>
        <w:rPr>
          <w:rFonts w:eastAsiaTheme="minorEastAsia"/>
          <w:color w:val="000000" w:themeColor="text1"/>
          <w:szCs w:val="21"/>
        </w:rPr>
        <w:t>月召开了政治局会议以及中央经济工作会议，会议确立了</w:t>
      </w:r>
      <w:r>
        <w:rPr>
          <w:rFonts w:eastAsiaTheme="minorEastAsia"/>
          <w:color w:val="000000" w:themeColor="text1"/>
          <w:szCs w:val="21"/>
        </w:rPr>
        <w:t>“</w:t>
      </w:r>
      <w:r>
        <w:rPr>
          <w:rFonts w:eastAsiaTheme="minorEastAsia"/>
          <w:color w:val="000000" w:themeColor="text1"/>
          <w:szCs w:val="21"/>
        </w:rPr>
        <w:t>稳中求进、以进促稳、先立后破</w:t>
      </w:r>
      <w:r>
        <w:rPr>
          <w:rFonts w:eastAsiaTheme="minorEastAsia"/>
          <w:color w:val="000000" w:themeColor="text1"/>
          <w:szCs w:val="21"/>
        </w:rPr>
        <w:t>”</w:t>
      </w:r>
      <w:r>
        <w:rPr>
          <w:rFonts w:eastAsiaTheme="minorEastAsia"/>
          <w:color w:val="000000" w:themeColor="text1"/>
          <w:szCs w:val="21"/>
        </w:rPr>
        <w:t>的经济发展方向。</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货币政策方面，流动性相对宽松。央行</w:t>
      </w:r>
      <w:r>
        <w:rPr>
          <w:rFonts w:eastAsiaTheme="minorEastAsia"/>
          <w:color w:val="000000" w:themeColor="text1"/>
          <w:szCs w:val="21"/>
        </w:rPr>
        <w:t>3</w:t>
      </w:r>
      <w:r>
        <w:rPr>
          <w:rFonts w:eastAsiaTheme="minorEastAsia"/>
          <w:color w:val="000000" w:themeColor="text1"/>
          <w:szCs w:val="21"/>
        </w:rPr>
        <w:t>月份宣布全面降准</w:t>
      </w:r>
      <w:r>
        <w:rPr>
          <w:rFonts w:eastAsiaTheme="minorEastAsia"/>
          <w:color w:val="000000" w:themeColor="text1"/>
          <w:szCs w:val="21"/>
        </w:rPr>
        <w:t>0.25</w:t>
      </w:r>
      <w:r>
        <w:rPr>
          <w:rFonts w:eastAsiaTheme="minorEastAsia"/>
          <w:color w:val="000000" w:themeColor="text1"/>
          <w:szCs w:val="21"/>
        </w:rPr>
        <w:t>个百分点，</w:t>
      </w:r>
      <w:r>
        <w:rPr>
          <w:rFonts w:eastAsiaTheme="minorEastAsia"/>
          <w:color w:val="000000" w:themeColor="text1"/>
          <w:szCs w:val="21"/>
        </w:rPr>
        <w:t>4</w:t>
      </w:r>
      <w:r>
        <w:rPr>
          <w:rFonts w:eastAsiaTheme="minorEastAsia"/>
          <w:color w:val="000000" w:themeColor="text1"/>
          <w:szCs w:val="21"/>
        </w:rPr>
        <w:t>月以来不断压降银行存款利率，</w:t>
      </w:r>
      <w:r>
        <w:rPr>
          <w:rFonts w:eastAsiaTheme="minorEastAsia"/>
          <w:color w:val="000000" w:themeColor="text1"/>
          <w:szCs w:val="21"/>
        </w:rPr>
        <w:t>6</w:t>
      </w:r>
      <w:r>
        <w:rPr>
          <w:rFonts w:eastAsiaTheme="minorEastAsia"/>
          <w:color w:val="000000" w:themeColor="text1"/>
          <w:szCs w:val="21"/>
        </w:rPr>
        <w:t>月先后调降公开市场操作（</w:t>
      </w:r>
      <w:r>
        <w:rPr>
          <w:rFonts w:eastAsiaTheme="minorEastAsia"/>
          <w:color w:val="000000" w:themeColor="text1"/>
          <w:szCs w:val="21"/>
        </w:rPr>
        <w:t>OMO</w:t>
      </w:r>
      <w:r>
        <w:rPr>
          <w:rFonts w:eastAsiaTheme="minorEastAsia"/>
          <w:color w:val="000000" w:themeColor="text1"/>
          <w:szCs w:val="21"/>
        </w:rPr>
        <w:t>）利率和中期借贷便利（</w:t>
      </w:r>
      <w:r>
        <w:rPr>
          <w:rFonts w:eastAsiaTheme="minorEastAsia"/>
          <w:color w:val="000000" w:themeColor="text1"/>
          <w:szCs w:val="21"/>
        </w:rPr>
        <w:t>MLF</w:t>
      </w:r>
      <w:r>
        <w:rPr>
          <w:rFonts w:eastAsiaTheme="minorEastAsia"/>
          <w:color w:val="000000" w:themeColor="text1"/>
          <w:szCs w:val="21"/>
        </w:rPr>
        <w:t>）利率，</w:t>
      </w:r>
      <w:r>
        <w:rPr>
          <w:rFonts w:eastAsiaTheme="minorEastAsia"/>
          <w:color w:val="000000" w:themeColor="text1"/>
          <w:szCs w:val="21"/>
        </w:rPr>
        <w:t>8</w:t>
      </w:r>
      <w:r>
        <w:rPr>
          <w:rFonts w:eastAsiaTheme="minorEastAsia"/>
          <w:color w:val="000000" w:themeColor="text1"/>
          <w:szCs w:val="21"/>
        </w:rPr>
        <w:t>月分别调低</w:t>
      </w:r>
      <w:r>
        <w:rPr>
          <w:rFonts w:eastAsiaTheme="minorEastAsia"/>
          <w:color w:val="000000" w:themeColor="text1"/>
          <w:szCs w:val="21"/>
        </w:rPr>
        <w:t>MLF</w:t>
      </w:r>
      <w:r>
        <w:rPr>
          <w:rFonts w:eastAsiaTheme="minorEastAsia"/>
          <w:color w:val="000000" w:themeColor="text1"/>
          <w:szCs w:val="21"/>
        </w:rPr>
        <w:t>和公开市场</w:t>
      </w:r>
      <w:r>
        <w:rPr>
          <w:rFonts w:eastAsiaTheme="minorEastAsia"/>
          <w:color w:val="000000" w:themeColor="text1"/>
          <w:szCs w:val="21"/>
        </w:rPr>
        <w:t>7</w:t>
      </w:r>
      <w:r>
        <w:rPr>
          <w:rFonts w:eastAsiaTheme="minorEastAsia"/>
          <w:color w:val="000000" w:themeColor="text1"/>
          <w:szCs w:val="21"/>
        </w:rPr>
        <w:t>天回购利率</w:t>
      </w:r>
      <w:r>
        <w:rPr>
          <w:rFonts w:eastAsiaTheme="minorEastAsia"/>
          <w:color w:val="000000" w:themeColor="text1"/>
          <w:szCs w:val="21"/>
        </w:rPr>
        <w:t>15bp</w:t>
      </w:r>
      <w:r>
        <w:rPr>
          <w:rFonts w:eastAsiaTheme="minorEastAsia"/>
          <w:color w:val="000000" w:themeColor="text1"/>
          <w:szCs w:val="21"/>
        </w:rPr>
        <w:t>和</w:t>
      </w:r>
      <w:r>
        <w:rPr>
          <w:rFonts w:eastAsiaTheme="minorEastAsia"/>
          <w:color w:val="000000" w:themeColor="text1"/>
          <w:szCs w:val="21"/>
        </w:rPr>
        <w:t>10bp</w:t>
      </w:r>
      <w:r>
        <w:rPr>
          <w:rFonts w:eastAsiaTheme="minorEastAsia"/>
          <w:color w:val="000000" w:themeColor="text1"/>
          <w:szCs w:val="21"/>
        </w:rPr>
        <w:t>，并紧接着在</w:t>
      </w:r>
      <w:r>
        <w:rPr>
          <w:rFonts w:eastAsiaTheme="minorEastAsia"/>
          <w:color w:val="000000" w:themeColor="text1"/>
          <w:szCs w:val="21"/>
        </w:rPr>
        <w:t>9</w:t>
      </w:r>
      <w:r>
        <w:rPr>
          <w:rFonts w:eastAsiaTheme="minorEastAsia"/>
          <w:color w:val="000000" w:themeColor="text1"/>
          <w:szCs w:val="21"/>
        </w:rPr>
        <w:t>月份调降存款准备金率</w:t>
      </w:r>
      <w:r>
        <w:rPr>
          <w:rFonts w:eastAsiaTheme="minorEastAsia"/>
          <w:color w:val="000000" w:themeColor="text1"/>
          <w:szCs w:val="21"/>
        </w:rPr>
        <w:t>25bp</w:t>
      </w:r>
      <w:r>
        <w:rPr>
          <w:rFonts w:eastAsiaTheme="minorEastAsia"/>
          <w:color w:val="000000" w:themeColor="text1"/>
          <w:szCs w:val="21"/>
        </w:rPr>
        <w:t>，呵护市场流动性的态度坚定。</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从债券收益率的全年走势来看，以</w:t>
      </w:r>
      <w:r>
        <w:rPr>
          <w:rFonts w:eastAsiaTheme="minorEastAsia"/>
          <w:color w:val="000000" w:themeColor="text1"/>
          <w:szCs w:val="21"/>
        </w:rPr>
        <w:t>10</w:t>
      </w:r>
      <w:r>
        <w:rPr>
          <w:rFonts w:eastAsiaTheme="minorEastAsia"/>
          <w:color w:val="000000" w:themeColor="text1"/>
          <w:szCs w:val="21"/>
        </w:rPr>
        <w:t>年期国债为例，</w:t>
      </w:r>
      <w:r>
        <w:rPr>
          <w:rFonts w:eastAsiaTheme="minorEastAsia"/>
          <w:color w:val="000000" w:themeColor="text1"/>
          <w:szCs w:val="21"/>
        </w:rPr>
        <w:t>1</w:t>
      </w:r>
      <w:r>
        <w:rPr>
          <w:rFonts w:eastAsiaTheme="minorEastAsia"/>
          <w:color w:val="000000" w:themeColor="text1"/>
          <w:szCs w:val="21"/>
        </w:rPr>
        <w:t>月债市延续了</w:t>
      </w:r>
      <w:r>
        <w:rPr>
          <w:rFonts w:eastAsiaTheme="minorEastAsia"/>
          <w:color w:val="000000" w:themeColor="text1"/>
          <w:szCs w:val="21"/>
        </w:rPr>
        <w:t>2022</w:t>
      </w:r>
      <w:r>
        <w:rPr>
          <w:rFonts w:eastAsiaTheme="minorEastAsia"/>
          <w:color w:val="000000" w:themeColor="text1"/>
          <w:szCs w:val="21"/>
        </w:rPr>
        <w:t>年四季度的下跌，</w:t>
      </w:r>
      <w:r>
        <w:rPr>
          <w:rFonts w:eastAsiaTheme="minorEastAsia"/>
          <w:color w:val="000000" w:themeColor="text1"/>
          <w:szCs w:val="21"/>
        </w:rPr>
        <w:t>10</w:t>
      </w:r>
      <w:r>
        <w:rPr>
          <w:rFonts w:eastAsiaTheme="minorEastAsia"/>
          <w:color w:val="000000" w:themeColor="text1"/>
          <w:szCs w:val="21"/>
        </w:rPr>
        <w:t>年期国债收益率先是小幅冲高，从</w:t>
      </w:r>
      <w:r>
        <w:rPr>
          <w:rFonts w:eastAsiaTheme="minorEastAsia"/>
          <w:color w:val="000000" w:themeColor="text1"/>
          <w:szCs w:val="21"/>
        </w:rPr>
        <w:t>2.84%</w:t>
      </w:r>
      <w:r>
        <w:rPr>
          <w:rFonts w:eastAsiaTheme="minorEastAsia"/>
          <w:color w:val="000000" w:themeColor="text1"/>
          <w:szCs w:val="21"/>
        </w:rPr>
        <w:t>回升至</w:t>
      </w:r>
      <w:r>
        <w:rPr>
          <w:rFonts w:eastAsiaTheme="minorEastAsia"/>
          <w:color w:val="000000" w:themeColor="text1"/>
          <w:szCs w:val="21"/>
        </w:rPr>
        <w:t>2.93%</w:t>
      </w:r>
      <w:r>
        <w:rPr>
          <w:rFonts w:eastAsiaTheme="minorEastAsia"/>
          <w:color w:val="000000" w:themeColor="text1"/>
          <w:szCs w:val="21"/>
        </w:rPr>
        <w:t>，创</w:t>
      </w:r>
      <w:r>
        <w:rPr>
          <w:rFonts w:eastAsiaTheme="minorEastAsia"/>
          <w:color w:val="000000" w:themeColor="text1"/>
          <w:szCs w:val="21"/>
        </w:rPr>
        <w:t xml:space="preserve"> 2022</w:t>
      </w:r>
      <w:r>
        <w:rPr>
          <w:rFonts w:eastAsiaTheme="minorEastAsia"/>
          <w:color w:val="000000" w:themeColor="text1"/>
          <w:szCs w:val="21"/>
        </w:rPr>
        <w:t>年以来新高；</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年期国</w:t>
      </w:r>
      <w:r>
        <w:rPr>
          <w:rFonts w:eastAsiaTheme="minorEastAsia"/>
          <w:color w:val="000000" w:themeColor="text1"/>
          <w:szCs w:val="21"/>
        </w:rPr>
        <w:t>债收益率稳步下行，</w:t>
      </w:r>
      <w:r>
        <w:rPr>
          <w:rFonts w:eastAsiaTheme="minorEastAsia"/>
          <w:color w:val="000000" w:themeColor="text1"/>
          <w:szCs w:val="21"/>
        </w:rPr>
        <w:t>8</w:t>
      </w:r>
      <w:r>
        <w:rPr>
          <w:rFonts w:eastAsiaTheme="minorEastAsia"/>
          <w:color w:val="000000" w:themeColor="text1"/>
          <w:szCs w:val="21"/>
        </w:rPr>
        <w:t>月下旬</w:t>
      </w:r>
      <w:r>
        <w:rPr>
          <w:rFonts w:eastAsiaTheme="minorEastAsia"/>
          <w:color w:val="000000" w:themeColor="text1"/>
          <w:szCs w:val="21"/>
        </w:rPr>
        <w:t xml:space="preserve">10 </w:t>
      </w:r>
      <w:r>
        <w:rPr>
          <w:rFonts w:eastAsiaTheme="minorEastAsia"/>
          <w:color w:val="000000" w:themeColor="text1"/>
          <w:szCs w:val="21"/>
        </w:rPr>
        <w:t>年期国债收益率最低点</w:t>
      </w:r>
      <w:r>
        <w:rPr>
          <w:rFonts w:eastAsiaTheme="minorEastAsia"/>
          <w:color w:val="000000" w:themeColor="text1"/>
          <w:szCs w:val="21"/>
        </w:rPr>
        <w:t>2.54%</w:t>
      </w:r>
      <w:r>
        <w:rPr>
          <w:rFonts w:eastAsiaTheme="minorEastAsia"/>
          <w:color w:val="000000" w:themeColor="text1"/>
          <w:szCs w:val="21"/>
        </w:rPr>
        <w:t>；</w:t>
      </w:r>
      <w:r>
        <w:rPr>
          <w:rFonts w:eastAsiaTheme="minorEastAsia"/>
          <w:color w:val="000000" w:themeColor="text1"/>
          <w:szCs w:val="21"/>
        </w:rPr>
        <w:t>9</w:t>
      </w:r>
      <w:r>
        <w:rPr>
          <w:rFonts w:eastAsiaTheme="minorEastAsia"/>
          <w:color w:val="000000" w:themeColor="text1"/>
          <w:szCs w:val="21"/>
        </w:rPr>
        <w:t>月和</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年期国债收益率反弹</w:t>
      </w:r>
      <w:r>
        <w:rPr>
          <w:rFonts w:eastAsiaTheme="minorEastAsia"/>
          <w:color w:val="000000" w:themeColor="text1"/>
          <w:szCs w:val="21"/>
        </w:rPr>
        <w:t>20BP</w:t>
      </w:r>
      <w:r>
        <w:rPr>
          <w:rFonts w:eastAsiaTheme="minorEastAsia"/>
          <w:color w:val="000000" w:themeColor="text1"/>
          <w:szCs w:val="21"/>
        </w:rPr>
        <w:t>，回升至</w:t>
      </w:r>
      <w:r>
        <w:rPr>
          <w:rFonts w:eastAsiaTheme="minorEastAsia"/>
          <w:color w:val="000000" w:themeColor="text1"/>
          <w:szCs w:val="21"/>
        </w:rPr>
        <w:t>2.72%</w:t>
      </w:r>
      <w:r>
        <w:rPr>
          <w:rFonts w:eastAsiaTheme="minorEastAsia"/>
          <w:color w:val="000000" w:themeColor="text1"/>
          <w:szCs w:val="21"/>
        </w:rPr>
        <w:t>；</w:t>
      </w:r>
      <w:r>
        <w:rPr>
          <w:rFonts w:eastAsiaTheme="minorEastAsia"/>
          <w:color w:val="000000" w:themeColor="text1"/>
          <w:szCs w:val="21"/>
        </w:rPr>
        <w:t>11</w:t>
      </w:r>
      <w:r>
        <w:rPr>
          <w:rFonts w:eastAsiaTheme="minorEastAsia"/>
          <w:color w:val="000000" w:themeColor="text1"/>
          <w:szCs w:val="21"/>
        </w:rPr>
        <w:t>月以来，</w:t>
      </w:r>
      <w:r>
        <w:rPr>
          <w:rFonts w:eastAsiaTheme="minorEastAsia"/>
          <w:color w:val="000000" w:themeColor="text1"/>
          <w:szCs w:val="21"/>
        </w:rPr>
        <w:t>10</w:t>
      </w:r>
      <w:r>
        <w:rPr>
          <w:rFonts w:eastAsiaTheme="minorEastAsia"/>
          <w:color w:val="000000" w:themeColor="text1"/>
          <w:szCs w:val="21"/>
        </w:rPr>
        <w:t>年期国债收益率维持</w:t>
      </w:r>
      <w:r>
        <w:rPr>
          <w:rFonts w:eastAsiaTheme="minorEastAsia"/>
          <w:color w:val="000000" w:themeColor="text1"/>
          <w:szCs w:val="21"/>
        </w:rPr>
        <w:t>10bp</w:t>
      </w:r>
      <w:r>
        <w:rPr>
          <w:rFonts w:eastAsiaTheme="minorEastAsia"/>
          <w:color w:val="000000" w:themeColor="text1"/>
          <w:szCs w:val="21"/>
        </w:rPr>
        <w:t>以内的窄幅震荡，</w:t>
      </w:r>
      <w:r>
        <w:rPr>
          <w:rFonts w:eastAsiaTheme="minorEastAsia"/>
          <w:color w:val="000000" w:themeColor="text1"/>
          <w:szCs w:val="21"/>
        </w:rPr>
        <w:t>12</w:t>
      </w:r>
      <w:r>
        <w:rPr>
          <w:rFonts w:eastAsiaTheme="minorEastAsia"/>
          <w:color w:val="000000" w:themeColor="text1"/>
          <w:szCs w:val="21"/>
        </w:rPr>
        <w:t>月中旬收益率下行逐渐突破此前的震荡区间，收在非常接近</w:t>
      </w:r>
      <w:r>
        <w:rPr>
          <w:rFonts w:eastAsiaTheme="minorEastAsia"/>
          <w:color w:val="000000" w:themeColor="text1"/>
          <w:szCs w:val="21"/>
        </w:rPr>
        <w:t>2023</w:t>
      </w:r>
      <w:r>
        <w:rPr>
          <w:rFonts w:eastAsiaTheme="minorEastAsia"/>
          <w:color w:val="000000" w:themeColor="text1"/>
          <w:szCs w:val="21"/>
        </w:rPr>
        <w:t>年年内最低点的位置</w:t>
      </w:r>
      <w:r>
        <w:rPr>
          <w:rFonts w:eastAsiaTheme="minorEastAsia"/>
          <w:color w:val="000000" w:themeColor="text1"/>
          <w:szCs w:val="21"/>
        </w:rPr>
        <w:t>2.555%</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年期国债收益率全年下行约</w:t>
      </w:r>
      <w:r>
        <w:rPr>
          <w:rFonts w:eastAsiaTheme="minorEastAsia"/>
          <w:color w:val="000000" w:themeColor="text1"/>
          <w:szCs w:val="21"/>
        </w:rPr>
        <w:t>28bp</w:t>
      </w:r>
      <w:r>
        <w:rPr>
          <w:rFonts w:eastAsiaTheme="minorEastAsia"/>
          <w:color w:val="000000" w:themeColor="text1"/>
          <w:szCs w:val="21"/>
        </w:rPr>
        <w:t>。</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年上半年，本基金明显提升了账户杠杆水平，大幅增加了信用品种的占比。下半年，降低了杠杆水平，增加了长久期债券的配置。</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2024</w:t>
      </w:r>
      <w:r w:rsidRPr="00B27A29">
        <w:rPr>
          <w:rFonts w:eastAsiaTheme="minorEastAsia"/>
          <w:color w:val="000000" w:themeColor="text1"/>
          <w:szCs w:val="21"/>
        </w:rPr>
        <w:t>年，美国预计将进入降息周期，国内经济预计维持弱复苏态势，为配合财政政策的实物工作量，流动性预计仍将维持相对宽松的态势，缺乏持续收紧流动性的必要条件，因此，预计债券仍将维持牛市行情。但在不断波动的政策预期扰动下，收益率的波动率和波动幅度预计将有所上升。</w:t>
      </w:r>
      <w:r w:rsidRPr="00B27A29">
        <w:rPr>
          <w:rFonts w:eastAsiaTheme="minorEastAsia"/>
          <w:color w:val="000000" w:themeColor="text1"/>
          <w:szCs w:val="21"/>
        </w:rPr>
        <w:t>2024</w:t>
      </w:r>
      <w:r w:rsidRPr="00B27A29">
        <w:rPr>
          <w:rFonts w:eastAsiaTheme="minorEastAsia"/>
          <w:color w:val="000000" w:themeColor="text1"/>
          <w:szCs w:val="21"/>
        </w:rPr>
        <w:t>年计划控制杠杆，采用比较积极灵活的久期策略。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本报告期摩根丰瑞</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:0.67%</w:t>
      </w:r>
      <w:r>
        <w:rPr>
          <w:rFonts w:eastAsiaTheme="minorEastAsia"/>
          <w:color w:val="000000" w:themeColor="text1"/>
          <w:szCs w:val="21"/>
        </w:rPr>
        <w:t>，同期业绩比较基准收益率为</w:t>
      </w:r>
      <w:r>
        <w:rPr>
          <w:rFonts w:eastAsiaTheme="minorEastAsia"/>
          <w:color w:val="000000" w:themeColor="text1"/>
          <w:szCs w:val="21"/>
        </w:rPr>
        <w:t>:1.33%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摩根丰瑞</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:0.64%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:1.33%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609,129,952.54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99.52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609,129,952.54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99.52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2,968,089.80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0.48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500.00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612,098,542.34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243,477,996.26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42.23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316,473,295.08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54.89</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173,417,923.50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49,178,661.20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609,129,952.54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105.65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763DD">
        <w:tc>
          <w:tcPr>
            <w:tcW w:w="1504" w:type="dxa"/>
            <w:vAlign w:val="center"/>
          </w:tcPr>
          <w:p w:rsidR="00F763DD" w:rsidRDefault="00474204">
            <w:pPr>
              <w:jc w:val="center"/>
            </w:pPr>
            <w:r>
              <w:rPr>
                <w:rFonts w:eastAsiaTheme="minorEastAsia"/>
                <w:color w:val="000000" w:themeColor="text1"/>
                <w:szCs w:val="21"/>
              </w:rPr>
              <w:t>1</w:t>
            </w:r>
          </w:p>
        </w:tc>
        <w:tc>
          <w:tcPr>
            <w:tcW w:w="1504" w:type="dxa"/>
            <w:vAlign w:val="center"/>
          </w:tcPr>
          <w:p w:rsidR="00F763DD" w:rsidRDefault="00474204">
            <w:pPr>
              <w:jc w:val="center"/>
            </w:pPr>
            <w:r>
              <w:rPr>
                <w:rFonts w:eastAsiaTheme="minorEastAsia"/>
                <w:color w:val="000000" w:themeColor="text1"/>
                <w:szCs w:val="21"/>
              </w:rPr>
              <w:t>230022</w:t>
            </w:r>
          </w:p>
        </w:tc>
        <w:tc>
          <w:tcPr>
            <w:tcW w:w="1504" w:type="dxa"/>
            <w:vAlign w:val="center"/>
          </w:tcPr>
          <w:p w:rsidR="00F763DD" w:rsidRDefault="00474204">
            <w:pPr>
              <w:jc w:val="center"/>
            </w:pPr>
            <w:r>
              <w:rPr>
                <w:rFonts w:eastAsiaTheme="minorEastAsia"/>
                <w:color w:val="000000" w:themeColor="text1"/>
                <w:szCs w:val="21"/>
              </w:rPr>
              <w:t>23</w:t>
            </w:r>
            <w:r>
              <w:rPr>
                <w:rFonts w:eastAsiaTheme="minorEastAsia"/>
                <w:color w:val="000000" w:themeColor="text1"/>
                <w:szCs w:val="21"/>
              </w:rPr>
              <w:t>附息国债</w:t>
            </w:r>
            <w:r>
              <w:rPr>
                <w:rFonts w:eastAsiaTheme="minorEastAsia"/>
                <w:color w:val="000000" w:themeColor="text1"/>
                <w:szCs w:val="21"/>
              </w:rPr>
              <w:t>22</w:t>
            </w:r>
          </w:p>
        </w:tc>
        <w:tc>
          <w:tcPr>
            <w:tcW w:w="1503" w:type="dxa"/>
            <w:vAlign w:val="center"/>
          </w:tcPr>
          <w:p w:rsidR="00F763DD" w:rsidRDefault="00474204">
            <w:pPr>
              <w:jc w:val="right"/>
            </w:pPr>
            <w:r>
              <w:rPr>
                <w:rFonts w:eastAsiaTheme="minorEastAsia"/>
                <w:color w:val="000000" w:themeColor="text1"/>
                <w:szCs w:val="21"/>
              </w:rPr>
              <w:t>1,600,000</w:t>
            </w:r>
          </w:p>
        </w:tc>
        <w:tc>
          <w:tcPr>
            <w:tcW w:w="1503" w:type="dxa"/>
            <w:vAlign w:val="center"/>
          </w:tcPr>
          <w:p w:rsidR="00F763DD" w:rsidRDefault="00474204">
            <w:pPr>
              <w:jc w:val="right"/>
            </w:pPr>
            <w:r>
              <w:rPr>
                <w:rFonts w:eastAsiaTheme="minorEastAsia"/>
                <w:color w:val="000000" w:themeColor="text1"/>
                <w:szCs w:val="21"/>
              </w:rPr>
              <w:t>162,021,508.20</w:t>
            </w:r>
          </w:p>
        </w:tc>
        <w:tc>
          <w:tcPr>
            <w:tcW w:w="1503" w:type="dxa"/>
            <w:vAlign w:val="center"/>
          </w:tcPr>
          <w:p w:rsidR="00F763DD" w:rsidRDefault="00474204">
            <w:pPr>
              <w:jc w:val="right"/>
            </w:pPr>
            <w:r>
              <w:rPr>
                <w:rFonts w:eastAsiaTheme="minorEastAsia"/>
                <w:color w:val="000000" w:themeColor="text1"/>
                <w:szCs w:val="21"/>
              </w:rPr>
              <w:t>28.10</w:t>
            </w:r>
          </w:p>
        </w:tc>
      </w:tr>
      <w:tr w:rsidR="00F763DD">
        <w:tc>
          <w:tcPr>
            <w:tcW w:w="1504" w:type="dxa"/>
            <w:vAlign w:val="center"/>
          </w:tcPr>
          <w:p w:rsidR="00F763DD" w:rsidRDefault="00474204">
            <w:pPr>
              <w:jc w:val="center"/>
            </w:pPr>
            <w:r>
              <w:rPr>
                <w:rFonts w:eastAsiaTheme="minorEastAsia"/>
                <w:color w:val="000000" w:themeColor="text1"/>
                <w:szCs w:val="21"/>
              </w:rPr>
              <w:t>2</w:t>
            </w:r>
          </w:p>
        </w:tc>
        <w:tc>
          <w:tcPr>
            <w:tcW w:w="1504" w:type="dxa"/>
            <w:vAlign w:val="center"/>
          </w:tcPr>
          <w:p w:rsidR="00F763DD" w:rsidRDefault="00474204">
            <w:pPr>
              <w:jc w:val="center"/>
            </w:pPr>
            <w:r>
              <w:rPr>
                <w:rFonts w:eastAsiaTheme="minorEastAsia"/>
                <w:color w:val="000000" w:themeColor="text1"/>
                <w:szCs w:val="21"/>
              </w:rPr>
              <w:t>200212</w:t>
            </w:r>
          </w:p>
        </w:tc>
        <w:tc>
          <w:tcPr>
            <w:tcW w:w="1504" w:type="dxa"/>
            <w:vAlign w:val="center"/>
          </w:tcPr>
          <w:p w:rsidR="00F763DD" w:rsidRDefault="00474204">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12</w:t>
            </w:r>
          </w:p>
        </w:tc>
        <w:tc>
          <w:tcPr>
            <w:tcW w:w="1503" w:type="dxa"/>
            <w:vAlign w:val="center"/>
          </w:tcPr>
          <w:p w:rsidR="00F763DD" w:rsidRDefault="00474204">
            <w:pPr>
              <w:jc w:val="right"/>
            </w:pPr>
            <w:r>
              <w:rPr>
                <w:rFonts w:eastAsiaTheme="minorEastAsia"/>
                <w:color w:val="000000" w:themeColor="text1"/>
                <w:szCs w:val="21"/>
              </w:rPr>
              <w:t>500,000</w:t>
            </w:r>
          </w:p>
        </w:tc>
        <w:tc>
          <w:tcPr>
            <w:tcW w:w="1503" w:type="dxa"/>
            <w:vAlign w:val="center"/>
          </w:tcPr>
          <w:p w:rsidR="00F763DD" w:rsidRDefault="00474204">
            <w:pPr>
              <w:jc w:val="right"/>
            </w:pPr>
            <w:r>
              <w:rPr>
                <w:rFonts w:eastAsiaTheme="minorEastAsia"/>
                <w:color w:val="000000" w:themeColor="text1"/>
                <w:szCs w:val="21"/>
              </w:rPr>
              <w:t>51,555,245.90</w:t>
            </w:r>
          </w:p>
        </w:tc>
        <w:tc>
          <w:tcPr>
            <w:tcW w:w="1503" w:type="dxa"/>
            <w:vAlign w:val="center"/>
          </w:tcPr>
          <w:p w:rsidR="00F763DD" w:rsidRDefault="00474204">
            <w:pPr>
              <w:jc w:val="right"/>
            </w:pPr>
            <w:r>
              <w:rPr>
                <w:rFonts w:eastAsiaTheme="minorEastAsia"/>
                <w:color w:val="000000" w:themeColor="text1"/>
                <w:szCs w:val="21"/>
              </w:rPr>
              <w:t>8.94</w:t>
            </w:r>
          </w:p>
        </w:tc>
      </w:tr>
      <w:tr w:rsidR="00F763DD">
        <w:tc>
          <w:tcPr>
            <w:tcW w:w="1504" w:type="dxa"/>
            <w:vAlign w:val="center"/>
          </w:tcPr>
          <w:p w:rsidR="00F763DD" w:rsidRDefault="00474204">
            <w:pPr>
              <w:jc w:val="center"/>
            </w:pPr>
            <w:r>
              <w:rPr>
                <w:rFonts w:eastAsiaTheme="minorEastAsia"/>
                <w:color w:val="000000" w:themeColor="text1"/>
                <w:szCs w:val="21"/>
              </w:rPr>
              <w:t>3</w:t>
            </w:r>
          </w:p>
        </w:tc>
        <w:tc>
          <w:tcPr>
            <w:tcW w:w="1504" w:type="dxa"/>
            <w:vAlign w:val="center"/>
          </w:tcPr>
          <w:p w:rsidR="00F763DD" w:rsidRDefault="00474204">
            <w:pPr>
              <w:jc w:val="center"/>
            </w:pPr>
            <w:r>
              <w:rPr>
                <w:rFonts w:eastAsiaTheme="minorEastAsia"/>
                <w:color w:val="000000" w:themeColor="text1"/>
                <w:szCs w:val="21"/>
              </w:rPr>
              <w:t>220207</w:t>
            </w:r>
          </w:p>
        </w:tc>
        <w:tc>
          <w:tcPr>
            <w:tcW w:w="1504" w:type="dxa"/>
            <w:vAlign w:val="center"/>
          </w:tcPr>
          <w:p w:rsidR="00F763DD" w:rsidRDefault="00474204">
            <w:pPr>
              <w:jc w:val="center"/>
            </w:pPr>
            <w:r>
              <w:rPr>
                <w:rFonts w:eastAsiaTheme="minorEastAsia"/>
                <w:color w:val="000000" w:themeColor="text1"/>
                <w:szCs w:val="21"/>
              </w:rPr>
              <w:t>22</w:t>
            </w:r>
            <w:r>
              <w:rPr>
                <w:rFonts w:eastAsiaTheme="minorEastAsia"/>
                <w:color w:val="000000" w:themeColor="text1"/>
                <w:szCs w:val="21"/>
              </w:rPr>
              <w:t>国开</w:t>
            </w:r>
            <w:r>
              <w:rPr>
                <w:rFonts w:eastAsiaTheme="minorEastAsia"/>
                <w:color w:val="000000" w:themeColor="text1"/>
                <w:szCs w:val="21"/>
              </w:rPr>
              <w:t>07</w:t>
            </w:r>
          </w:p>
        </w:tc>
        <w:tc>
          <w:tcPr>
            <w:tcW w:w="1503" w:type="dxa"/>
            <w:vAlign w:val="center"/>
          </w:tcPr>
          <w:p w:rsidR="00F763DD" w:rsidRDefault="00474204">
            <w:pPr>
              <w:jc w:val="right"/>
            </w:pPr>
            <w:r>
              <w:rPr>
                <w:rFonts w:eastAsiaTheme="minorEastAsia"/>
                <w:color w:val="000000" w:themeColor="text1"/>
                <w:szCs w:val="21"/>
              </w:rPr>
              <w:t>500,000</w:t>
            </w:r>
          </w:p>
        </w:tc>
        <w:tc>
          <w:tcPr>
            <w:tcW w:w="1503" w:type="dxa"/>
            <w:vAlign w:val="center"/>
          </w:tcPr>
          <w:p w:rsidR="00F763DD" w:rsidRDefault="00474204">
            <w:pPr>
              <w:jc w:val="right"/>
            </w:pPr>
            <w:r>
              <w:rPr>
                <w:rFonts w:eastAsiaTheme="minorEastAsia"/>
                <w:color w:val="000000" w:themeColor="text1"/>
                <w:szCs w:val="21"/>
              </w:rPr>
              <w:t>50,336,229.51</w:t>
            </w:r>
          </w:p>
        </w:tc>
        <w:tc>
          <w:tcPr>
            <w:tcW w:w="1503" w:type="dxa"/>
            <w:vAlign w:val="center"/>
          </w:tcPr>
          <w:p w:rsidR="00F763DD" w:rsidRDefault="00474204">
            <w:pPr>
              <w:jc w:val="right"/>
            </w:pPr>
            <w:r>
              <w:rPr>
                <w:rFonts w:eastAsiaTheme="minorEastAsia"/>
                <w:color w:val="000000" w:themeColor="text1"/>
                <w:szCs w:val="21"/>
              </w:rPr>
              <w:t>8.73</w:t>
            </w:r>
          </w:p>
        </w:tc>
      </w:tr>
      <w:tr w:rsidR="00F763DD">
        <w:tc>
          <w:tcPr>
            <w:tcW w:w="1504" w:type="dxa"/>
            <w:vAlign w:val="center"/>
          </w:tcPr>
          <w:p w:rsidR="00F763DD" w:rsidRDefault="00474204">
            <w:pPr>
              <w:jc w:val="center"/>
            </w:pPr>
            <w:r>
              <w:rPr>
                <w:rFonts w:eastAsiaTheme="minorEastAsia"/>
                <w:color w:val="000000" w:themeColor="text1"/>
                <w:szCs w:val="21"/>
              </w:rPr>
              <w:t>4</w:t>
            </w:r>
          </w:p>
        </w:tc>
        <w:tc>
          <w:tcPr>
            <w:tcW w:w="1504" w:type="dxa"/>
            <w:vAlign w:val="center"/>
          </w:tcPr>
          <w:p w:rsidR="00F763DD" w:rsidRDefault="00474204">
            <w:pPr>
              <w:jc w:val="center"/>
            </w:pPr>
            <w:r>
              <w:rPr>
                <w:rFonts w:eastAsiaTheme="minorEastAsia"/>
                <w:color w:val="000000" w:themeColor="text1"/>
                <w:szCs w:val="21"/>
              </w:rPr>
              <w:t>230018</w:t>
            </w:r>
          </w:p>
        </w:tc>
        <w:tc>
          <w:tcPr>
            <w:tcW w:w="1504" w:type="dxa"/>
            <w:vAlign w:val="center"/>
          </w:tcPr>
          <w:p w:rsidR="00F763DD" w:rsidRDefault="00474204">
            <w:pPr>
              <w:jc w:val="center"/>
            </w:pPr>
            <w:r>
              <w:rPr>
                <w:rFonts w:eastAsiaTheme="minorEastAsia"/>
                <w:color w:val="000000" w:themeColor="text1"/>
                <w:szCs w:val="21"/>
              </w:rPr>
              <w:t>23</w:t>
            </w:r>
            <w:r>
              <w:rPr>
                <w:rFonts w:eastAsiaTheme="minorEastAsia"/>
                <w:color w:val="000000" w:themeColor="text1"/>
                <w:szCs w:val="21"/>
              </w:rPr>
              <w:t>附息国债</w:t>
            </w:r>
            <w:r>
              <w:rPr>
                <w:rFonts w:eastAsiaTheme="minorEastAsia"/>
                <w:color w:val="000000" w:themeColor="text1"/>
                <w:szCs w:val="21"/>
              </w:rPr>
              <w:t>18</w:t>
            </w:r>
          </w:p>
        </w:tc>
        <w:tc>
          <w:tcPr>
            <w:tcW w:w="1503" w:type="dxa"/>
            <w:vAlign w:val="center"/>
          </w:tcPr>
          <w:p w:rsidR="00F763DD" w:rsidRDefault="00474204">
            <w:pPr>
              <w:jc w:val="right"/>
            </w:pPr>
            <w:r>
              <w:rPr>
                <w:rFonts w:eastAsiaTheme="minorEastAsia"/>
                <w:color w:val="000000" w:themeColor="text1"/>
                <w:szCs w:val="21"/>
              </w:rPr>
              <w:t>500,000</w:t>
            </w:r>
          </w:p>
        </w:tc>
        <w:tc>
          <w:tcPr>
            <w:tcW w:w="1503" w:type="dxa"/>
            <w:vAlign w:val="center"/>
          </w:tcPr>
          <w:p w:rsidR="00F763DD" w:rsidRDefault="00474204">
            <w:pPr>
              <w:jc w:val="right"/>
            </w:pPr>
            <w:r>
              <w:rPr>
                <w:rFonts w:eastAsiaTheme="minorEastAsia"/>
                <w:color w:val="000000" w:themeColor="text1"/>
                <w:szCs w:val="21"/>
              </w:rPr>
              <w:t>50,211,684.78</w:t>
            </w:r>
          </w:p>
        </w:tc>
        <w:tc>
          <w:tcPr>
            <w:tcW w:w="1503" w:type="dxa"/>
            <w:vAlign w:val="center"/>
          </w:tcPr>
          <w:p w:rsidR="00F763DD" w:rsidRDefault="00474204">
            <w:pPr>
              <w:jc w:val="right"/>
            </w:pPr>
            <w:r>
              <w:rPr>
                <w:rFonts w:eastAsiaTheme="minorEastAsia"/>
                <w:color w:val="000000" w:themeColor="text1"/>
                <w:szCs w:val="21"/>
              </w:rPr>
              <w:t>8.71</w:t>
            </w:r>
          </w:p>
        </w:tc>
      </w:tr>
      <w:tr w:rsidR="00F763DD">
        <w:tc>
          <w:tcPr>
            <w:tcW w:w="1504" w:type="dxa"/>
            <w:vAlign w:val="center"/>
          </w:tcPr>
          <w:p w:rsidR="00F763DD" w:rsidRDefault="00474204">
            <w:pPr>
              <w:jc w:val="center"/>
            </w:pPr>
            <w:r>
              <w:rPr>
                <w:rFonts w:eastAsiaTheme="minorEastAsia"/>
                <w:color w:val="000000" w:themeColor="text1"/>
                <w:szCs w:val="21"/>
              </w:rPr>
              <w:t>5</w:t>
            </w:r>
          </w:p>
        </w:tc>
        <w:tc>
          <w:tcPr>
            <w:tcW w:w="1504" w:type="dxa"/>
            <w:vAlign w:val="center"/>
          </w:tcPr>
          <w:p w:rsidR="00F763DD" w:rsidRDefault="00474204">
            <w:pPr>
              <w:jc w:val="center"/>
            </w:pPr>
            <w:r>
              <w:rPr>
                <w:rFonts w:eastAsiaTheme="minorEastAsia"/>
                <w:color w:val="000000" w:themeColor="text1"/>
                <w:szCs w:val="21"/>
              </w:rPr>
              <w:t>112303200</w:t>
            </w:r>
          </w:p>
        </w:tc>
        <w:tc>
          <w:tcPr>
            <w:tcW w:w="1504" w:type="dxa"/>
            <w:vAlign w:val="center"/>
          </w:tcPr>
          <w:p w:rsidR="00F763DD" w:rsidRDefault="00474204">
            <w:pPr>
              <w:jc w:val="center"/>
            </w:pPr>
            <w:r>
              <w:rPr>
                <w:rFonts w:eastAsiaTheme="minorEastAsia"/>
                <w:color w:val="000000" w:themeColor="text1"/>
                <w:szCs w:val="21"/>
              </w:rPr>
              <w:t>23</w:t>
            </w:r>
            <w:r>
              <w:rPr>
                <w:rFonts w:eastAsiaTheme="minorEastAsia"/>
                <w:color w:val="000000" w:themeColor="text1"/>
                <w:szCs w:val="21"/>
              </w:rPr>
              <w:t>农业银行</w:t>
            </w:r>
            <w:r>
              <w:rPr>
                <w:rFonts w:eastAsiaTheme="minorEastAsia"/>
                <w:color w:val="000000" w:themeColor="text1"/>
                <w:szCs w:val="21"/>
              </w:rPr>
              <w:t>CD200</w:t>
            </w:r>
          </w:p>
        </w:tc>
        <w:tc>
          <w:tcPr>
            <w:tcW w:w="1503" w:type="dxa"/>
            <w:vAlign w:val="center"/>
          </w:tcPr>
          <w:p w:rsidR="00F763DD" w:rsidRDefault="00474204">
            <w:pPr>
              <w:jc w:val="right"/>
            </w:pPr>
            <w:r>
              <w:rPr>
                <w:rFonts w:eastAsiaTheme="minorEastAsia"/>
                <w:color w:val="000000" w:themeColor="text1"/>
                <w:szCs w:val="21"/>
              </w:rPr>
              <w:t>500,000</w:t>
            </w:r>
          </w:p>
        </w:tc>
        <w:tc>
          <w:tcPr>
            <w:tcW w:w="1503" w:type="dxa"/>
            <w:vAlign w:val="center"/>
          </w:tcPr>
          <w:p w:rsidR="00F763DD" w:rsidRDefault="00474204">
            <w:pPr>
              <w:jc w:val="right"/>
            </w:pPr>
            <w:r>
              <w:rPr>
                <w:rFonts w:eastAsiaTheme="minorEastAsia"/>
                <w:color w:val="000000" w:themeColor="text1"/>
                <w:szCs w:val="21"/>
              </w:rPr>
              <w:t>49,178,661.20</w:t>
            </w:r>
          </w:p>
        </w:tc>
        <w:tc>
          <w:tcPr>
            <w:tcW w:w="1503" w:type="dxa"/>
            <w:vAlign w:val="center"/>
          </w:tcPr>
          <w:p w:rsidR="00F763DD" w:rsidRDefault="00474204">
            <w:pPr>
              <w:jc w:val="right"/>
            </w:pPr>
            <w:r>
              <w:rPr>
                <w:rFonts w:eastAsiaTheme="minorEastAsia"/>
                <w:color w:val="000000" w:themeColor="text1"/>
                <w:szCs w:val="21"/>
              </w:rPr>
              <w:t>8.53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500.00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547,246,218.60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36,989.20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28,368.67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1,911.48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9,735.21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14,635.59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547,264,852.06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24,265.09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摩根丰瑞债券</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72,667.38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72,667.38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0.01</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lastRenderedPageBreak/>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F763DD">
        <w:tc>
          <w:tcPr>
            <w:tcW w:w="993" w:type="dxa"/>
            <w:vMerge w:val="restart"/>
            <w:vAlign w:val="center"/>
          </w:tcPr>
          <w:p w:rsidR="00F763DD" w:rsidRDefault="00474204">
            <w:r>
              <w:rPr>
                <w:bCs/>
                <w:color w:val="000000"/>
                <w:kern w:val="0"/>
                <w:szCs w:val="21"/>
              </w:rPr>
              <w:t>机构</w:t>
            </w:r>
          </w:p>
        </w:tc>
        <w:tc>
          <w:tcPr>
            <w:tcW w:w="992" w:type="dxa"/>
            <w:vAlign w:val="center"/>
          </w:tcPr>
          <w:p w:rsidR="00F763DD" w:rsidRDefault="00474204">
            <w:pPr>
              <w:jc w:val="center"/>
            </w:pPr>
            <w:r>
              <w:rPr>
                <w:color w:val="000000"/>
                <w:kern w:val="0"/>
                <w:szCs w:val="21"/>
              </w:rPr>
              <w:t>1</w:t>
            </w:r>
          </w:p>
        </w:tc>
        <w:tc>
          <w:tcPr>
            <w:tcW w:w="1843" w:type="dxa"/>
            <w:vAlign w:val="center"/>
          </w:tcPr>
          <w:p w:rsidR="00F763DD" w:rsidRDefault="00474204">
            <w:pPr>
              <w:jc w:val="center"/>
            </w:pPr>
            <w:r>
              <w:rPr>
                <w:color w:val="000000"/>
                <w:kern w:val="0"/>
                <w:szCs w:val="21"/>
              </w:rPr>
              <w:t>20231001-20231231</w:t>
            </w:r>
          </w:p>
        </w:tc>
        <w:tc>
          <w:tcPr>
            <w:tcW w:w="851" w:type="dxa"/>
            <w:vAlign w:val="center"/>
          </w:tcPr>
          <w:p w:rsidR="00F763DD" w:rsidRDefault="00474204">
            <w:pPr>
              <w:jc w:val="center"/>
            </w:pPr>
            <w:r>
              <w:rPr>
                <w:color w:val="000000"/>
                <w:kern w:val="0"/>
                <w:szCs w:val="21"/>
              </w:rPr>
              <w:t>447,993,162.82</w:t>
            </w:r>
          </w:p>
        </w:tc>
        <w:tc>
          <w:tcPr>
            <w:tcW w:w="850" w:type="dxa"/>
            <w:vAlign w:val="center"/>
          </w:tcPr>
          <w:p w:rsidR="00F763DD" w:rsidRDefault="00474204">
            <w:pPr>
              <w:jc w:val="center"/>
            </w:pPr>
            <w:r>
              <w:rPr>
                <w:color w:val="000000"/>
                <w:kern w:val="0"/>
                <w:szCs w:val="21"/>
              </w:rPr>
              <w:t>0.00</w:t>
            </w:r>
          </w:p>
        </w:tc>
        <w:tc>
          <w:tcPr>
            <w:tcW w:w="1134" w:type="dxa"/>
            <w:vAlign w:val="center"/>
          </w:tcPr>
          <w:p w:rsidR="00F763DD" w:rsidRDefault="00474204">
            <w:pPr>
              <w:jc w:val="center"/>
            </w:pPr>
            <w:r>
              <w:rPr>
                <w:color w:val="000000"/>
                <w:kern w:val="0"/>
                <w:szCs w:val="21"/>
              </w:rPr>
              <w:t>0.00</w:t>
            </w:r>
          </w:p>
        </w:tc>
        <w:tc>
          <w:tcPr>
            <w:tcW w:w="1419" w:type="dxa"/>
            <w:vAlign w:val="center"/>
          </w:tcPr>
          <w:p w:rsidR="00F763DD" w:rsidRDefault="00474204">
            <w:pPr>
              <w:jc w:val="center"/>
            </w:pPr>
            <w:r>
              <w:rPr>
                <w:color w:val="000000"/>
                <w:kern w:val="0"/>
                <w:szCs w:val="21"/>
              </w:rPr>
              <w:t>447,993,162.82</w:t>
            </w:r>
          </w:p>
        </w:tc>
        <w:tc>
          <w:tcPr>
            <w:tcW w:w="1130" w:type="dxa"/>
            <w:vAlign w:val="center"/>
          </w:tcPr>
          <w:p w:rsidR="00F763DD" w:rsidRDefault="00474204">
            <w:pPr>
              <w:jc w:val="center"/>
            </w:pPr>
            <w:r>
              <w:rPr>
                <w:color w:val="000000"/>
                <w:kern w:val="0"/>
                <w:szCs w:val="21"/>
              </w:rPr>
              <w:t>81.86%</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《摩根丰瑞债券型证券投资基金基金合同》；</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《摩根丰瑞债券型证券投资基金托管协议》；</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F763DD" w:rsidRDefault="00474204">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74204">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74204">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74204">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摩根丰瑞债券型证券投资基金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74204"/>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63DD"/>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9EC45-CA29-45E2-8BEB-6BD07025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13</Pages>
  <Words>1143</Words>
  <Characters>6520</Characters>
  <Application>Microsoft Office Word</Application>
  <DocSecurity>0</DocSecurity>
  <Lines>54</Lines>
  <Paragraphs>15</Paragraphs>
  <ScaleCrop>false</ScaleCrop>
  <Company>TRT. Ltd. Co.</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220</cp:revision>
  <cp:lastPrinted>2007-07-19T00:46:00Z</cp:lastPrinted>
  <dcterms:created xsi:type="dcterms:W3CDTF">2013-06-21T06:56:00Z</dcterms:created>
  <dcterms:modified xsi:type="dcterms:W3CDTF">2024-01-19T05:22:00Z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